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CE30" w14:textId="1A74503B" w:rsidR="003F5E48" w:rsidRDefault="003F5E48">
      <w:pPr>
        <w:spacing w:after="160" w:line="259" w:lineRule="auto"/>
        <w:rPr>
          <w:b/>
        </w:rPr>
      </w:pPr>
    </w:p>
    <w:p w14:paraId="1A47C70E" w14:textId="7B369EA7" w:rsidR="003F5E48" w:rsidRDefault="00701C0F">
      <w:pPr>
        <w:spacing w:after="160" w:line="259" w:lineRule="auto"/>
        <w:rPr>
          <w:b/>
        </w:rPr>
      </w:pPr>
      <w:r w:rsidRPr="005D517B">
        <w:rPr>
          <w:rFonts w:ascii="Times New Roman" w:hAnsi="Times New Roman" w:cs="Times New Roman"/>
          <w:b/>
          <w:noProof/>
          <w:color w:val="000000" w:themeColor="text1"/>
          <w:lang w:val="en-GB" w:eastAsia="en-GB"/>
        </w:rPr>
        <w:drawing>
          <wp:anchor distT="0" distB="0" distL="114300" distR="114300" simplePos="0" relativeHeight="251664384" behindDoc="1" locked="0" layoutInCell="1" allowOverlap="1" wp14:anchorId="7F97090F" wp14:editId="2636F45E">
            <wp:simplePos x="0" y="0"/>
            <wp:positionH relativeFrom="margin">
              <wp:align>center</wp:align>
            </wp:positionH>
            <wp:positionV relativeFrom="paragraph">
              <wp:posOffset>8890</wp:posOffset>
            </wp:positionV>
            <wp:extent cx="3905250" cy="1308100"/>
            <wp:effectExtent l="0" t="0" r="0" b="6350"/>
            <wp:wrapTight wrapText="bothSides">
              <wp:wrapPolygon edited="0">
                <wp:start x="0" y="0"/>
                <wp:lineTo x="0" y="21390"/>
                <wp:lineTo x="21495" y="21390"/>
                <wp:lineTo x="21495" y="0"/>
                <wp:lineTo x="0" y="0"/>
              </wp:wrapPolygon>
            </wp:wrapTight>
            <wp:docPr id="2" name="Picture 2" descr="C:\Users\stewarte\AppData\Local\Microsoft\Windows\INetCache\Content.Outlook\3YVLTZPO\iris 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warte\AppData\Local\Microsoft\Windows\INetCache\Content.Outlook\3YVLTZPO\iris uo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C1FBA" w14:textId="77777777" w:rsidR="003F5E48" w:rsidRDefault="003F5E48">
      <w:pPr>
        <w:spacing w:after="160" w:line="259" w:lineRule="auto"/>
        <w:rPr>
          <w:b/>
        </w:rPr>
      </w:pPr>
    </w:p>
    <w:p w14:paraId="00C37306" w14:textId="77777777" w:rsidR="003F5E48" w:rsidRDefault="003F5E48">
      <w:pPr>
        <w:spacing w:after="160" w:line="259" w:lineRule="auto"/>
        <w:rPr>
          <w:b/>
        </w:rPr>
      </w:pPr>
    </w:p>
    <w:p w14:paraId="4A514F66" w14:textId="77777777" w:rsidR="00701C0F" w:rsidRDefault="00701C0F" w:rsidP="003F5E48">
      <w:pPr>
        <w:spacing w:after="160" w:line="259" w:lineRule="auto"/>
        <w:jc w:val="center"/>
        <w:rPr>
          <w:b/>
          <w:sz w:val="40"/>
          <w:szCs w:val="40"/>
        </w:rPr>
      </w:pPr>
    </w:p>
    <w:p w14:paraId="3A5CC8B2" w14:textId="77777777" w:rsidR="00701C0F" w:rsidRDefault="00701C0F" w:rsidP="003F5E48">
      <w:pPr>
        <w:spacing w:after="160" w:line="259" w:lineRule="auto"/>
        <w:jc w:val="center"/>
        <w:rPr>
          <w:b/>
          <w:sz w:val="40"/>
          <w:szCs w:val="40"/>
        </w:rPr>
      </w:pPr>
    </w:p>
    <w:p w14:paraId="0F35B8AC" w14:textId="77777777" w:rsidR="00701C0F" w:rsidRDefault="00701C0F" w:rsidP="003F5E48">
      <w:pPr>
        <w:spacing w:after="160" w:line="259" w:lineRule="auto"/>
        <w:jc w:val="center"/>
        <w:rPr>
          <w:b/>
          <w:sz w:val="40"/>
          <w:szCs w:val="40"/>
        </w:rPr>
      </w:pPr>
    </w:p>
    <w:p w14:paraId="4078067F" w14:textId="77777777" w:rsidR="00701C0F" w:rsidRDefault="00701C0F" w:rsidP="003F5E48">
      <w:pPr>
        <w:spacing w:after="160" w:line="259" w:lineRule="auto"/>
        <w:jc w:val="center"/>
        <w:rPr>
          <w:b/>
          <w:sz w:val="40"/>
          <w:szCs w:val="40"/>
        </w:rPr>
      </w:pPr>
    </w:p>
    <w:p w14:paraId="65205783" w14:textId="1BC710BB" w:rsidR="00280E7B" w:rsidRDefault="009E33BE" w:rsidP="003F5E48">
      <w:pPr>
        <w:spacing w:after="160" w:line="259" w:lineRule="auto"/>
        <w:jc w:val="center"/>
        <w:rPr>
          <w:b/>
          <w:sz w:val="40"/>
          <w:szCs w:val="40"/>
        </w:rPr>
      </w:pPr>
      <w:bookmarkStart w:id="0" w:name="_GoBack"/>
      <w:r>
        <w:rPr>
          <w:b/>
          <w:sz w:val="40"/>
          <w:szCs w:val="40"/>
        </w:rPr>
        <w:t>Defining Sexual and Gender-Based Violence in the Refugee Context</w:t>
      </w:r>
    </w:p>
    <w:bookmarkEnd w:id="0"/>
    <w:p w14:paraId="3ED9A835" w14:textId="77777777" w:rsidR="00701C0F" w:rsidRPr="003F5E48" w:rsidRDefault="00701C0F" w:rsidP="003F5E48">
      <w:pPr>
        <w:spacing w:after="160" w:line="259" w:lineRule="auto"/>
        <w:jc w:val="center"/>
        <w:rPr>
          <w:b/>
          <w:sz w:val="40"/>
          <w:szCs w:val="40"/>
        </w:rPr>
      </w:pPr>
    </w:p>
    <w:p w14:paraId="24CA2E7C" w14:textId="4BB91757" w:rsidR="003F5E48" w:rsidRPr="00701C0F" w:rsidRDefault="009E33BE" w:rsidP="003F5E48">
      <w:pPr>
        <w:spacing w:after="160" w:line="259" w:lineRule="auto"/>
        <w:jc w:val="center"/>
        <w:rPr>
          <w:sz w:val="32"/>
          <w:szCs w:val="32"/>
        </w:rPr>
      </w:pPr>
      <w:r w:rsidRPr="00701C0F">
        <w:rPr>
          <w:sz w:val="32"/>
          <w:szCs w:val="32"/>
        </w:rPr>
        <w:t>Andrew Simon-Butler and Professor Bernadette McSherry</w:t>
      </w:r>
    </w:p>
    <w:p w14:paraId="3116D171" w14:textId="71EA7D0F" w:rsidR="009E33BE" w:rsidRDefault="009E33BE" w:rsidP="003F5E48">
      <w:pPr>
        <w:spacing w:after="160" w:line="259" w:lineRule="auto"/>
        <w:jc w:val="center"/>
        <w:rPr>
          <w:sz w:val="36"/>
          <w:szCs w:val="36"/>
        </w:rPr>
      </w:pPr>
    </w:p>
    <w:p w14:paraId="33A29518" w14:textId="6528938E" w:rsidR="009E33BE" w:rsidRPr="00701C0F" w:rsidRDefault="009E33BE" w:rsidP="003F5E48">
      <w:pPr>
        <w:spacing w:after="160" w:line="259" w:lineRule="auto"/>
        <w:jc w:val="center"/>
        <w:rPr>
          <w:smallCaps/>
        </w:rPr>
      </w:pPr>
      <w:proofErr w:type="spellStart"/>
      <w:r w:rsidRPr="00701C0F">
        <w:rPr>
          <w:smallCaps/>
        </w:rPr>
        <w:t>IRiS</w:t>
      </w:r>
      <w:proofErr w:type="spellEnd"/>
      <w:r w:rsidRPr="00701C0F">
        <w:rPr>
          <w:smallCaps/>
        </w:rPr>
        <w:t xml:space="preserve"> WORKING PAPER SERIES, No. </w:t>
      </w:r>
      <w:r w:rsidR="00701C0F" w:rsidRPr="00701C0F">
        <w:rPr>
          <w:smallCaps/>
        </w:rPr>
        <w:t>2/2019</w:t>
      </w:r>
    </w:p>
    <w:p w14:paraId="7B660D94" w14:textId="77777777" w:rsidR="003F5E48" w:rsidRDefault="003F5E48" w:rsidP="00DB3ABD">
      <w:pPr>
        <w:jc w:val="both"/>
        <w:rPr>
          <w:b/>
          <w:u w:val="single"/>
        </w:rPr>
      </w:pPr>
    </w:p>
    <w:p w14:paraId="1563BCD9" w14:textId="77777777" w:rsidR="003F5E48" w:rsidRDefault="003F5E48" w:rsidP="00DB3ABD">
      <w:pPr>
        <w:jc w:val="both"/>
        <w:rPr>
          <w:b/>
          <w:u w:val="single"/>
        </w:rPr>
      </w:pPr>
    </w:p>
    <w:p w14:paraId="2E508728" w14:textId="77777777" w:rsidR="003F5E48" w:rsidRDefault="003F5E48" w:rsidP="00DB3ABD">
      <w:pPr>
        <w:jc w:val="both"/>
        <w:rPr>
          <w:b/>
          <w:u w:val="single"/>
        </w:rPr>
      </w:pPr>
    </w:p>
    <w:p w14:paraId="625DD774" w14:textId="77777777" w:rsidR="003F5E48" w:rsidRDefault="003F5E48" w:rsidP="00DB3ABD">
      <w:pPr>
        <w:jc w:val="both"/>
        <w:rPr>
          <w:b/>
          <w:u w:val="single"/>
        </w:rPr>
      </w:pPr>
    </w:p>
    <w:p w14:paraId="451F79BF" w14:textId="77777777" w:rsidR="003F5E48" w:rsidRDefault="003F5E48" w:rsidP="00DB3ABD">
      <w:pPr>
        <w:jc w:val="both"/>
        <w:rPr>
          <w:b/>
          <w:u w:val="single"/>
        </w:rPr>
      </w:pPr>
    </w:p>
    <w:p w14:paraId="638E70D9" w14:textId="77777777" w:rsidR="003F5E48" w:rsidRDefault="003F5E48" w:rsidP="00DB3ABD">
      <w:pPr>
        <w:jc w:val="both"/>
        <w:rPr>
          <w:b/>
          <w:u w:val="single"/>
        </w:rPr>
      </w:pPr>
    </w:p>
    <w:p w14:paraId="6A8C1437" w14:textId="77777777" w:rsidR="003F5E48" w:rsidRDefault="003F5E48" w:rsidP="00DB3ABD">
      <w:pPr>
        <w:jc w:val="both"/>
        <w:rPr>
          <w:b/>
          <w:u w:val="single"/>
        </w:rPr>
      </w:pPr>
    </w:p>
    <w:p w14:paraId="1AF06497" w14:textId="77777777" w:rsidR="003F5E48" w:rsidRDefault="003F5E48" w:rsidP="00DB3ABD">
      <w:pPr>
        <w:jc w:val="both"/>
        <w:rPr>
          <w:b/>
          <w:u w:val="single"/>
        </w:rPr>
      </w:pPr>
    </w:p>
    <w:p w14:paraId="134FA9D5" w14:textId="5E37B10B" w:rsidR="003F5E48" w:rsidRDefault="00BF6446" w:rsidP="009E33BE">
      <w:pPr>
        <w:rPr>
          <w:b/>
          <w:noProof/>
          <w:color w:val="FFFFFF" w:themeColor="background1"/>
          <w:u w:val="single"/>
          <w:lang w:val="en-GB" w:eastAsia="en-GB"/>
        </w:rPr>
      </w:pPr>
      <w:r w:rsidRPr="00BF6446">
        <w:rPr>
          <w:b/>
          <w:color w:val="FFFFFF" w:themeColor="background1"/>
          <w:u w:val="single"/>
        </w:rPr>
        <w:tab/>
      </w:r>
      <w:r>
        <w:rPr>
          <w:b/>
          <w:color w:val="FFFFFF" w:themeColor="background1"/>
          <w:u w:val="single"/>
        </w:rPr>
        <w:t xml:space="preserve">       </w:t>
      </w:r>
      <w:r w:rsidRPr="00BF6446">
        <w:rPr>
          <w:b/>
          <w:color w:val="FFFFFF" w:themeColor="background1"/>
          <w:u w:val="single"/>
        </w:rPr>
        <w:tab/>
      </w:r>
      <w:r w:rsidRPr="00BF6446">
        <w:rPr>
          <w:b/>
          <w:color w:val="FFFFFF" w:themeColor="background1"/>
          <w:u w:val="single"/>
        </w:rPr>
        <w:tab/>
      </w:r>
    </w:p>
    <w:p w14:paraId="198FCA4A" w14:textId="67962259" w:rsidR="00701C0F" w:rsidRDefault="00701C0F" w:rsidP="009E33BE">
      <w:pPr>
        <w:rPr>
          <w:b/>
          <w:noProof/>
          <w:color w:val="FFFFFF" w:themeColor="background1"/>
          <w:u w:val="single"/>
          <w:lang w:val="en-GB" w:eastAsia="en-GB"/>
        </w:rPr>
      </w:pPr>
    </w:p>
    <w:p w14:paraId="05B0950A" w14:textId="7DC9A0D2" w:rsidR="00701C0F" w:rsidRDefault="00701C0F" w:rsidP="009E33BE">
      <w:pPr>
        <w:rPr>
          <w:b/>
          <w:noProof/>
          <w:color w:val="FFFFFF" w:themeColor="background1"/>
          <w:u w:val="single"/>
          <w:lang w:val="en-GB" w:eastAsia="en-GB"/>
        </w:rPr>
      </w:pPr>
    </w:p>
    <w:p w14:paraId="3B2B9964" w14:textId="5D3335B9" w:rsidR="00701C0F" w:rsidRDefault="00701C0F" w:rsidP="009E33BE">
      <w:pPr>
        <w:rPr>
          <w:b/>
          <w:noProof/>
          <w:color w:val="FFFFFF" w:themeColor="background1"/>
          <w:u w:val="single"/>
          <w:lang w:val="en-GB" w:eastAsia="en-GB"/>
        </w:rPr>
      </w:pPr>
    </w:p>
    <w:p w14:paraId="10A0F17F" w14:textId="7CC324D6" w:rsidR="00701C0F" w:rsidRDefault="00701C0F" w:rsidP="009E33BE">
      <w:pPr>
        <w:rPr>
          <w:b/>
          <w:noProof/>
          <w:color w:val="FFFFFF" w:themeColor="background1"/>
          <w:u w:val="single"/>
          <w:lang w:val="en-GB" w:eastAsia="en-GB"/>
        </w:rPr>
      </w:pPr>
    </w:p>
    <w:p w14:paraId="65691861" w14:textId="437BAB2F" w:rsidR="00701C0F" w:rsidRDefault="00701C0F" w:rsidP="009E33BE">
      <w:pPr>
        <w:rPr>
          <w:b/>
          <w:noProof/>
          <w:color w:val="FFFFFF" w:themeColor="background1"/>
          <w:u w:val="single"/>
          <w:lang w:val="en-GB" w:eastAsia="en-GB"/>
        </w:rPr>
      </w:pPr>
    </w:p>
    <w:p w14:paraId="7A630A47" w14:textId="77777777" w:rsidR="00701C0F" w:rsidRPr="00BF6446" w:rsidRDefault="00701C0F" w:rsidP="009E33BE">
      <w:pPr>
        <w:rPr>
          <w:b/>
          <w:color w:val="FFFFFF" w:themeColor="background1"/>
          <w:u w:val="single"/>
        </w:rPr>
      </w:pPr>
    </w:p>
    <w:p w14:paraId="723313F6" w14:textId="77777777" w:rsidR="003F5E48" w:rsidRDefault="003F5E48" w:rsidP="00DB3ABD">
      <w:pPr>
        <w:jc w:val="both"/>
        <w:rPr>
          <w:b/>
          <w:u w:val="single"/>
        </w:rPr>
      </w:pPr>
    </w:p>
    <w:p w14:paraId="2C91BE6D" w14:textId="417880A9" w:rsidR="003F5E48" w:rsidRPr="00A83C10" w:rsidRDefault="00A83C10" w:rsidP="00A83C10">
      <w:pPr>
        <w:jc w:val="center"/>
        <w:rPr>
          <w:b/>
        </w:rPr>
      </w:pPr>
      <w:r>
        <w:rPr>
          <w:b/>
        </w:rPr>
        <w:t>www.birmingham.ac.uk/iris</w:t>
      </w:r>
    </w:p>
    <w:p w14:paraId="6B66D3B6" w14:textId="09627E65" w:rsidR="00FB2E7F" w:rsidRDefault="00FB2E7F">
      <w:pPr>
        <w:spacing w:after="160" w:line="259" w:lineRule="auto"/>
        <w:rPr>
          <w:b/>
          <w:u w:val="single"/>
        </w:rPr>
      </w:pPr>
    </w:p>
    <w:p w14:paraId="15F95C30" w14:textId="77777777" w:rsidR="00701C0F" w:rsidRPr="00E63F8C" w:rsidRDefault="00701C0F" w:rsidP="00701C0F">
      <w:pPr>
        <w:rPr>
          <w:rFonts w:cs="Times New Roman"/>
          <w:b/>
          <w:noProof/>
          <w:color w:val="000000" w:themeColor="text1"/>
          <w:sz w:val="22"/>
          <w:szCs w:val="22"/>
          <w:lang w:val="en-GB"/>
        </w:rPr>
      </w:pPr>
      <w:r w:rsidRPr="00E63F8C">
        <w:rPr>
          <w:rFonts w:cs="Times New Roman"/>
          <w:b/>
          <w:noProof/>
          <w:color w:val="000000" w:themeColor="text1"/>
          <w:sz w:val="22"/>
          <w:szCs w:val="22"/>
          <w:lang w:val="en-GB"/>
        </w:rPr>
        <w:lastRenderedPageBreak/>
        <w:t>IRiS Working Paper Series</w:t>
      </w:r>
    </w:p>
    <w:p w14:paraId="1A525E67" w14:textId="77777777" w:rsidR="00701C0F" w:rsidRPr="00E63F8C" w:rsidRDefault="00701C0F" w:rsidP="00701C0F">
      <w:pPr>
        <w:rPr>
          <w:rFonts w:ascii="Times New Roman" w:hAnsi="Times New Roman" w:cs="Times New Roman"/>
          <w:b/>
          <w:noProof/>
          <w:color w:val="000000" w:themeColor="text1"/>
          <w:sz w:val="22"/>
          <w:szCs w:val="22"/>
          <w:lang w:val="en-GB"/>
        </w:rPr>
      </w:pPr>
    </w:p>
    <w:p w14:paraId="64FC5B66" w14:textId="2FFC2CC8" w:rsidR="00701C0F" w:rsidRPr="00E63F8C" w:rsidRDefault="00701C0F" w:rsidP="00E736A8">
      <w:pPr>
        <w:jc w:val="both"/>
        <w:rPr>
          <w:sz w:val="22"/>
          <w:szCs w:val="22"/>
        </w:rPr>
      </w:pPr>
      <w:r w:rsidRPr="00E63F8C">
        <w:rPr>
          <w:sz w:val="22"/>
          <w:szCs w:val="22"/>
        </w:rPr>
        <w:t>The Institute for Research into Superdiversity (</w:t>
      </w:r>
      <w:proofErr w:type="spellStart"/>
      <w:r w:rsidRPr="00E63F8C">
        <w:rPr>
          <w:sz w:val="22"/>
          <w:szCs w:val="22"/>
        </w:rPr>
        <w:t>IRiS</w:t>
      </w:r>
      <w:proofErr w:type="spellEnd"/>
      <w:r w:rsidRPr="00E63F8C">
        <w:rPr>
          <w:sz w:val="22"/>
          <w:szCs w:val="22"/>
        </w:rPr>
        <w:t xml:space="preserve">) Working Paper Series is intended to aid the rapid distribution of work in progress, research findings and special lectures by researchers and associates of the Institute. Papers aim to stimulate discussion among scholars, policymakers and practitioners and will address a range of topics including issues surrounding population dynamics, security, cohesion and integration, identity, global networks, rights and citizenship, diasporic and transnational activities, service delivery, wellbeing, social exclusion and the opportunities which superdiverse societies offer to support economic recovery. </w:t>
      </w:r>
    </w:p>
    <w:p w14:paraId="404B4AEC" w14:textId="77777777" w:rsidR="00701C0F" w:rsidRPr="00E63F8C" w:rsidRDefault="00701C0F" w:rsidP="00E736A8">
      <w:pPr>
        <w:jc w:val="both"/>
        <w:rPr>
          <w:sz w:val="22"/>
          <w:szCs w:val="22"/>
        </w:rPr>
      </w:pPr>
    </w:p>
    <w:p w14:paraId="238604AC" w14:textId="77777777" w:rsidR="00701C0F" w:rsidRPr="00E63F8C" w:rsidRDefault="00701C0F" w:rsidP="00E736A8">
      <w:pPr>
        <w:jc w:val="both"/>
        <w:rPr>
          <w:sz w:val="22"/>
          <w:szCs w:val="22"/>
        </w:rPr>
      </w:pPr>
      <w:r w:rsidRPr="00E63F8C">
        <w:rPr>
          <w:sz w:val="22"/>
          <w:szCs w:val="22"/>
        </w:rPr>
        <w:t xml:space="preserve">The </w:t>
      </w:r>
      <w:proofErr w:type="spellStart"/>
      <w:r w:rsidRPr="00E63F8C">
        <w:rPr>
          <w:sz w:val="22"/>
          <w:szCs w:val="22"/>
        </w:rPr>
        <w:t>IRiS</w:t>
      </w:r>
      <w:proofErr w:type="spellEnd"/>
      <w:r w:rsidRPr="00E63F8C">
        <w:rPr>
          <w:sz w:val="22"/>
          <w:szCs w:val="22"/>
        </w:rPr>
        <w:t xml:space="preserve"> WP Series is edited by </w:t>
      </w:r>
      <w:proofErr w:type="spellStart"/>
      <w:r w:rsidRPr="00E63F8C">
        <w:rPr>
          <w:sz w:val="22"/>
          <w:szCs w:val="22"/>
        </w:rPr>
        <w:t>Dr</w:t>
      </w:r>
      <w:proofErr w:type="spellEnd"/>
      <w:r w:rsidRPr="00E63F8C">
        <w:rPr>
          <w:sz w:val="22"/>
          <w:szCs w:val="22"/>
        </w:rPr>
        <w:t xml:space="preserve"> Nando </w:t>
      </w:r>
      <w:proofErr w:type="spellStart"/>
      <w:r w:rsidRPr="00E63F8C">
        <w:rPr>
          <w:sz w:val="22"/>
          <w:szCs w:val="22"/>
        </w:rPr>
        <w:t>Sigona</w:t>
      </w:r>
      <w:proofErr w:type="spellEnd"/>
      <w:r w:rsidRPr="00E63F8C">
        <w:rPr>
          <w:sz w:val="22"/>
          <w:szCs w:val="22"/>
        </w:rPr>
        <w:t xml:space="preserve"> and </w:t>
      </w:r>
      <w:proofErr w:type="spellStart"/>
      <w:r w:rsidRPr="00E63F8C">
        <w:rPr>
          <w:sz w:val="22"/>
          <w:szCs w:val="22"/>
        </w:rPr>
        <w:t>Dr</w:t>
      </w:r>
      <w:proofErr w:type="spellEnd"/>
      <w:r w:rsidRPr="00E63F8C">
        <w:rPr>
          <w:sz w:val="22"/>
          <w:szCs w:val="22"/>
        </w:rPr>
        <w:t xml:space="preserve"> Aleksandra </w:t>
      </w:r>
      <w:proofErr w:type="spellStart"/>
      <w:r w:rsidRPr="00E63F8C">
        <w:rPr>
          <w:sz w:val="22"/>
          <w:szCs w:val="22"/>
        </w:rPr>
        <w:t>Kazlowska</w:t>
      </w:r>
      <w:proofErr w:type="spellEnd"/>
      <w:r w:rsidRPr="00E63F8C">
        <w:rPr>
          <w:sz w:val="22"/>
          <w:szCs w:val="22"/>
        </w:rPr>
        <w:t xml:space="preserve"> at the Institute for Research into Superdiversity, University of Birmingham. We welcome proposals for Working Papers from researchers, policymakers and practitioners; for queries and proposals, please contact: n.sigona@bham.ac.uk. All papers are peer-reviewed before publication. </w:t>
      </w:r>
    </w:p>
    <w:p w14:paraId="676DF227" w14:textId="77777777" w:rsidR="00701C0F" w:rsidRPr="00E63F8C" w:rsidRDefault="00701C0F" w:rsidP="00E736A8">
      <w:pPr>
        <w:jc w:val="both"/>
        <w:rPr>
          <w:sz w:val="22"/>
          <w:szCs w:val="22"/>
        </w:rPr>
      </w:pPr>
    </w:p>
    <w:p w14:paraId="7FEFC0CB" w14:textId="77777777" w:rsidR="00701C0F" w:rsidRPr="00E63F8C" w:rsidRDefault="00701C0F" w:rsidP="00E736A8">
      <w:pPr>
        <w:jc w:val="both"/>
        <w:rPr>
          <w:sz w:val="22"/>
          <w:szCs w:val="22"/>
        </w:rPr>
      </w:pPr>
      <w:r w:rsidRPr="00E63F8C">
        <w:rPr>
          <w:sz w:val="22"/>
          <w:szCs w:val="22"/>
        </w:rPr>
        <w:t xml:space="preserve">The opinions expressed in the papers are solely those of the author/s who retain the copyright. They should not be attributed to the project funders or the Institute for Research into Superdiversity, the School of Social Policy or the University of Birmingham. </w:t>
      </w:r>
    </w:p>
    <w:p w14:paraId="2BC42AE7" w14:textId="77777777" w:rsidR="00701C0F" w:rsidRPr="00E63F8C" w:rsidRDefault="00701C0F" w:rsidP="00E736A8">
      <w:pPr>
        <w:jc w:val="both"/>
        <w:rPr>
          <w:sz w:val="22"/>
          <w:szCs w:val="22"/>
        </w:rPr>
      </w:pPr>
    </w:p>
    <w:p w14:paraId="1FAE9CD6" w14:textId="77777777" w:rsidR="00701C0F" w:rsidRPr="00E63F8C" w:rsidRDefault="00701C0F" w:rsidP="00E736A8">
      <w:pPr>
        <w:jc w:val="both"/>
        <w:rPr>
          <w:rFonts w:ascii="Times New Roman" w:hAnsi="Times New Roman" w:cs="Times New Roman"/>
          <w:b/>
          <w:noProof/>
          <w:color w:val="000000" w:themeColor="text1"/>
          <w:sz w:val="22"/>
          <w:szCs w:val="22"/>
          <w:lang w:val="en-GB"/>
        </w:rPr>
      </w:pPr>
      <w:r w:rsidRPr="00E63F8C">
        <w:rPr>
          <w:sz w:val="22"/>
          <w:szCs w:val="22"/>
        </w:rPr>
        <w:t xml:space="preserve">Papers are distributed free of charge in PDF format via the </w:t>
      </w:r>
      <w:proofErr w:type="spellStart"/>
      <w:r w:rsidRPr="00E63F8C">
        <w:rPr>
          <w:sz w:val="22"/>
          <w:szCs w:val="22"/>
        </w:rPr>
        <w:t>IRiS</w:t>
      </w:r>
      <w:proofErr w:type="spellEnd"/>
      <w:r w:rsidRPr="00E63F8C">
        <w:rPr>
          <w:sz w:val="22"/>
          <w:szCs w:val="22"/>
        </w:rPr>
        <w:t xml:space="preserve"> website. Hard copies will be occasionally available at </w:t>
      </w:r>
      <w:proofErr w:type="spellStart"/>
      <w:r w:rsidRPr="00E63F8C">
        <w:rPr>
          <w:sz w:val="22"/>
          <w:szCs w:val="22"/>
        </w:rPr>
        <w:t>IRiS</w:t>
      </w:r>
      <w:proofErr w:type="spellEnd"/>
      <w:r w:rsidRPr="00E63F8C">
        <w:rPr>
          <w:sz w:val="22"/>
          <w:szCs w:val="22"/>
        </w:rPr>
        <w:t xml:space="preserve"> public events.</w:t>
      </w:r>
    </w:p>
    <w:p w14:paraId="08C38B12" w14:textId="77777777" w:rsidR="00701C0F" w:rsidRPr="00E63F8C" w:rsidRDefault="00701C0F" w:rsidP="00701C0F">
      <w:pPr>
        <w:rPr>
          <w:rFonts w:ascii="Times New Roman" w:hAnsi="Times New Roman" w:cs="Times New Roman"/>
          <w:b/>
          <w:noProof/>
          <w:color w:val="000000" w:themeColor="text1"/>
          <w:sz w:val="22"/>
          <w:szCs w:val="22"/>
          <w:lang w:val="en-GB"/>
        </w:rPr>
      </w:pPr>
    </w:p>
    <w:p w14:paraId="50BAF666" w14:textId="77777777" w:rsidR="00701C0F" w:rsidRPr="00E63F8C" w:rsidRDefault="00701C0F" w:rsidP="00701C0F">
      <w:pPr>
        <w:rPr>
          <w:rFonts w:ascii="Times New Roman" w:hAnsi="Times New Roman" w:cs="Times New Roman"/>
          <w:b/>
          <w:noProof/>
          <w:color w:val="000000" w:themeColor="text1"/>
          <w:sz w:val="22"/>
          <w:szCs w:val="22"/>
          <w:lang w:val="en-GB"/>
        </w:rPr>
      </w:pPr>
    </w:p>
    <w:p w14:paraId="2F8B7E1F" w14:textId="77777777" w:rsidR="00701C0F" w:rsidRPr="00E63F8C" w:rsidRDefault="00701C0F" w:rsidP="00701C0F">
      <w:pPr>
        <w:rPr>
          <w:rFonts w:ascii="Times New Roman" w:hAnsi="Times New Roman" w:cs="Times New Roman"/>
          <w:b/>
          <w:noProof/>
          <w:color w:val="000000" w:themeColor="text1"/>
          <w:sz w:val="22"/>
          <w:szCs w:val="22"/>
          <w:lang w:val="en-GB"/>
        </w:rPr>
      </w:pPr>
    </w:p>
    <w:p w14:paraId="157247A7" w14:textId="69A264C1" w:rsidR="00701C0F" w:rsidRPr="00E63F8C" w:rsidRDefault="00701C0F" w:rsidP="00701C0F">
      <w:pPr>
        <w:spacing w:line="480" w:lineRule="auto"/>
        <w:jc w:val="both"/>
        <w:rPr>
          <w:rFonts w:cstheme="minorHAnsi"/>
          <w:b/>
          <w:sz w:val="22"/>
          <w:szCs w:val="22"/>
          <w:lang w:val="en-GB"/>
        </w:rPr>
      </w:pPr>
      <w:r w:rsidRPr="00BF6446">
        <w:rPr>
          <w:b/>
          <w:noProof/>
          <w:color w:val="FFFFFF" w:themeColor="background1"/>
          <w:u w:val="single"/>
          <w:lang w:val="en-GB" w:eastAsia="en-GB"/>
        </w:rPr>
        <w:drawing>
          <wp:anchor distT="0" distB="0" distL="114300" distR="114300" simplePos="0" relativeHeight="251662336" behindDoc="1" locked="0" layoutInCell="1" allowOverlap="1" wp14:anchorId="73C081DC" wp14:editId="5C19BFC2">
            <wp:simplePos x="0" y="0"/>
            <wp:positionH relativeFrom="margin">
              <wp:posOffset>4516755</wp:posOffset>
            </wp:positionH>
            <wp:positionV relativeFrom="paragraph">
              <wp:posOffset>4445</wp:posOffset>
            </wp:positionV>
            <wp:extent cx="1212850" cy="1212850"/>
            <wp:effectExtent l="0" t="0" r="6350" b="6350"/>
            <wp:wrapTight wrapText="bothSides">
              <wp:wrapPolygon edited="0">
                <wp:start x="0" y="0"/>
                <wp:lineTo x="0" y="21374"/>
                <wp:lineTo x="21374" y="21374"/>
                <wp:lineTo x="213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_A_Vertical_Housed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r w:rsidRPr="00E63F8C">
        <w:rPr>
          <w:rFonts w:cstheme="minorHAnsi"/>
          <w:b/>
          <w:noProof/>
          <w:sz w:val="22"/>
          <w:szCs w:val="22"/>
          <w:lang w:val="en-GB" w:eastAsia="en-GB"/>
        </w:rPr>
        <w:drawing>
          <wp:anchor distT="0" distB="0" distL="114300" distR="114300" simplePos="0" relativeHeight="251660288" behindDoc="1" locked="0" layoutInCell="1" allowOverlap="1" wp14:anchorId="024EDBBC" wp14:editId="26506D20">
            <wp:simplePos x="0" y="0"/>
            <wp:positionH relativeFrom="margin">
              <wp:align>left</wp:align>
            </wp:positionH>
            <wp:positionV relativeFrom="paragraph">
              <wp:posOffset>88265</wp:posOffset>
            </wp:positionV>
            <wp:extent cx="609600" cy="816708"/>
            <wp:effectExtent l="0" t="0" r="0" b="2540"/>
            <wp:wrapTight wrapText="bothSides">
              <wp:wrapPolygon edited="0">
                <wp:start x="0" y="0"/>
                <wp:lineTo x="0" y="21163"/>
                <wp:lineTo x="20925" y="21163"/>
                <wp:lineTo x="20925" y="0"/>
                <wp:lineTo x="0" y="0"/>
              </wp:wrapPolygon>
            </wp:wrapTight>
            <wp:docPr id="4" name="Picture 4" descr="K:\Staff\SocialPolicy\IASS\IRiS\Logo\IRIS bl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ff\SocialPolicy\IASS\IRiS\Logo\IRIS black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16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383B8" w14:textId="51594B16" w:rsidR="00701C0F" w:rsidRPr="00E63F8C" w:rsidRDefault="00701C0F" w:rsidP="00701C0F">
      <w:pPr>
        <w:spacing w:line="480" w:lineRule="auto"/>
        <w:jc w:val="both"/>
        <w:rPr>
          <w:rFonts w:cstheme="minorHAnsi"/>
          <w:b/>
          <w:sz w:val="22"/>
          <w:szCs w:val="22"/>
          <w:lang w:val="en-GB"/>
        </w:rPr>
      </w:pPr>
    </w:p>
    <w:p w14:paraId="3F511092" w14:textId="77777777" w:rsidR="00701C0F" w:rsidRPr="00E63F8C" w:rsidRDefault="00701C0F" w:rsidP="00701C0F">
      <w:pPr>
        <w:spacing w:line="480" w:lineRule="auto"/>
        <w:jc w:val="both"/>
        <w:rPr>
          <w:rFonts w:cstheme="minorHAnsi"/>
          <w:b/>
          <w:sz w:val="22"/>
          <w:szCs w:val="22"/>
          <w:lang w:val="en-GB"/>
        </w:rPr>
      </w:pPr>
    </w:p>
    <w:p w14:paraId="23F58C01" w14:textId="77777777" w:rsidR="00701C0F" w:rsidRPr="00E63F8C" w:rsidRDefault="00701C0F" w:rsidP="00701C0F">
      <w:pPr>
        <w:rPr>
          <w:rFonts w:cstheme="minorHAnsi"/>
          <w:sz w:val="22"/>
          <w:szCs w:val="22"/>
          <w:lang w:val="en-GB"/>
        </w:rPr>
      </w:pPr>
      <w:r w:rsidRPr="00E63F8C">
        <w:rPr>
          <w:rFonts w:cstheme="minorHAnsi"/>
          <w:sz w:val="22"/>
          <w:szCs w:val="22"/>
          <w:lang w:val="en-GB"/>
        </w:rPr>
        <w:t>Institute for Research into Superdiversity</w:t>
      </w:r>
      <w:r w:rsidRPr="00E63F8C">
        <w:rPr>
          <w:rFonts w:cstheme="minorHAnsi"/>
          <w:sz w:val="22"/>
          <w:szCs w:val="22"/>
          <w:lang w:val="en-GB"/>
        </w:rPr>
        <w:br/>
        <w:t>University of Birmingham</w:t>
      </w:r>
      <w:r w:rsidRPr="00E63F8C">
        <w:rPr>
          <w:rFonts w:cstheme="minorHAnsi"/>
          <w:sz w:val="22"/>
          <w:szCs w:val="22"/>
          <w:lang w:val="en-GB"/>
        </w:rPr>
        <w:br/>
        <w:t>Edgbaston</w:t>
      </w:r>
      <w:r w:rsidRPr="00E63F8C">
        <w:rPr>
          <w:rFonts w:cstheme="minorHAnsi"/>
          <w:sz w:val="22"/>
          <w:szCs w:val="22"/>
          <w:lang w:val="en-GB"/>
        </w:rPr>
        <w:br/>
        <w:t>B15 2TT Birmingham UK</w:t>
      </w:r>
      <w:r w:rsidRPr="00E63F8C">
        <w:rPr>
          <w:rFonts w:cstheme="minorHAnsi"/>
          <w:sz w:val="22"/>
          <w:szCs w:val="22"/>
          <w:lang w:val="en-GB"/>
        </w:rPr>
        <w:br/>
      </w:r>
      <w:hyperlink r:id="rId11" w:history="1">
        <w:r w:rsidRPr="00E63F8C">
          <w:rPr>
            <w:rStyle w:val="Hyperlink"/>
            <w:rFonts w:cstheme="minorHAnsi"/>
            <w:sz w:val="22"/>
            <w:szCs w:val="22"/>
            <w:lang w:val="en-GB"/>
          </w:rPr>
          <w:t>www.birmingham.ac.uk/iris</w:t>
        </w:r>
      </w:hyperlink>
    </w:p>
    <w:p w14:paraId="1E08C979" w14:textId="77777777" w:rsidR="00701C0F" w:rsidRDefault="00701C0F" w:rsidP="00701C0F">
      <w:pPr>
        <w:rPr>
          <w:rFonts w:cstheme="minorHAnsi"/>
          <w:sz w:val="20"/>
          <w:szCs w:val="20"/>
          <w:lang w:val="en-GB"/>
        </w:rPr>
      </w:pPr>
    </w:p>
    <w:p w14:paraId="5225E8E5" w14:textId="77777777" w:rsidR="00701C0F" w:rsidRDefault="00701C0F" w:rsidP="00701C0F">
      <w:pPr>
        <w:rPr>
          <w:rFonts w:cstheme="minorHAnsi"/>
          <w:sz w:val="20"/>
          <w:szCs w:val="20"/>
          <w:lang w:val="en-GB"/>
        </w:rPr>
      </w:pPr>
    </w:p>
    <w:p w14:paraId="13646D0A" w14:textId="77777777" w:rsidR="00701C0F" w:rsidRDefault="00701C0F" w:rsidP="00701C0F">
      <w:pPr>
        <w:rPr>
          <w:rFonts w:cstheme="minorHAnsi"/>
          <w:sz w:val="20"/>
          <w:szCs w:val="20"/>
          <w:lang w:val="en-GB"/>
        </w:rPr>
      </w:pPr>
    </w:p>
    <w:p w14:paraId="0EB7D5ED" w14:textId="77777777" w:rsidR="00701C0F" w:rsidRDefault="00701C0F" w:rsidP="00701C0F">
      <w:pPr>
        <w:rPr>
          <w:rFonts w:cstheme="minorHAnsi"/>
          <w:sz w:val="20"/>
          <w:szCs w:val="20"/>
          <w:lang w:val="en-GB"/>
        </w:rPr>
      </w:pPr>
    </w:p>
    <w:p w14:paraId="3D96AEE7" w14:textId="77777777" w:rsidR="00701C0F" w:rsidRDefault="00701C0F" w:rsidP="00701C0F">
      <w:pPr>
        <w:rPr>
          <w:rFonts w:cstheme="minorHAnsi"/>
          <w:sz w:val="20"/>
          <w:szCs w:val="20"/>
          <w:lang w:val="en-GB"/>
        </w:rPr>
      </w:pPr>
    </w:p>
    <w:p w14:paraId="58C0AA89" w14:textId="77777777" w:rsidR="00701C0F" w:rsidRDefault="00701C0F" w:rsidP="00701C0F">
      <w:pPr>
        <w:rPr>
          <w:rFonts w:cstheme="minorHAnsi"/>
          <w:sz w:val="20"/>
          <w:szCs w:val="20"/>
          <w:lang w:val="en-GB"/>
        </w:rPr>
      </w:pPr>
    </w:p>
    <w:p w14:paraId="725B22B5" w14:textId="77777777" w:rsidR="00701C0F" w:rsidRDefault="00701C0F" w:rsidP="00701C0F">
      <w:pPr>
        <w:rPr>
          <w:rFonts w:cstheme="minorHAnsi"/>
          <w:sz w:val="20"/>
          <w:szCs w:val="20"/>
          <w:lang w:val="en-GB"/>
        </w:rPr>
      </w:pPr>
    </w:p>
    <w:p w14:paraId="2D4F6AE6" w14:textId="77777777" w:rsidR="00701C0F" w:rsidRDefault="00701C0F" w:rsidP="00701C0F">
      <w:pPr>
        <w:rPr>
          <w:rFonts w:cstheme="minorHAnsi"/>
          <w:sz w:val="20"/>
          <w:szCs w:val="20"/>
          <w:lang w:val="en-GB"/>
        </w:rPr>
      </w:pPr>
    </w:p>
    <w:p w14:paraId="5AC4B7D2" w14:textId="77777777" w:rsidR="00701C0F" w:rsidRDefault="00701C0F" w:rsidP="00701C0F">
      <w:pPr>
        <w:rPr>
          <w:rFonts w:cstheme="minorHAnsi"/>
          <w:sz w:val="20"/>
          <w:szCs w:val="20"/>
          <w:lang w:val="en-GB"/>
        </w:rPr>
      </w:pPr>
      <w:r>
        <w:rPr>
          <w:rFonts w:ascii="Times New Roman" w:hAnsi="Times New Roman" w:cs="Times New Roman"/>
          <w:b/>
          <w:noProof/>
          <w:color w:val="000000" w:themeColor="text1"/>
          <w:lang w:val="en-GB" w:eastAsia="en-GB"/>
        </w:rPr>
        <w:drawing>
          <wp:anchor distT="0" distB="0" distL="114300" distR="114300" simplePos="0" relativeHeight="251659264" behindDoc="1" locked="0" layoutInCell="1" allowOverlap="1" wp14:anchorId="76773672" wp14:editId="5670B1BE">
            <wp:simplePos x="0" y="0"/>
            <wp:positionH relativeFrom="margin">
              <wp:align>center</wp:align>
            </wp:positionH>
            <wp:positionV relativeFrom="paragraph">
              <wp:posOffset>5715</wp:posOffset>
            </wp:positionV>
            <wp:extent cx="3435350" cy="648970"/>
            <wp:effectExtent l="0" t="0" r="0" b="0"/>
            <wp:wrapTight wrapText="bothSides">
              <wp:wrapPolygon edited="0">
                <wp:start x="0" y="0"/>
                <wp:lineTo x="0" y="20924"/>
                <wp:lineTo x="21440" y="20924"/>
                <wp:lineTo x="21440" y="0"/>
                <wp:lineTo x="0" y="0"/>
              </wp:wrapPolygon>
            </wp:wrapTight>
            <wp:docPr id="3" name="Picture 3" descr="C:\Users\bilkent\Downloads\SERE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kent\Downloads\SEREDA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3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CCAF4" w14:textId="77777777" w:rsidR="00701C0F" w:rsidRDefault="00701C0F" w:rsidP="00701C0F">
      <w:pPr>
        <w:rPr>
          <w:rFonts w:cstheme="minorHAnsi"/>
          <w:sz w:val="20"/>
          <w:szCs w:val="20"/>
          <w:lang w:val="en-GB"/>
        </w:rPr>
      </w:pPr>
    </w:p>
    <w:p w14:paraId="1692E06A" w14:textId="77777777" w:rsidR="00701C0F" w:rsidRDefault="00701C0F" w:rsidP="00701C0F">
      <w:pPr>
        <w:rPr>
          <w:rFonts w:cstheme="minorHAnsi"/>
          <w:sz w:val="20"/>
          <w:szCs w:val="20"/>
          <w:lang w:val="en-GB"/>
        </w:rPr>
      </w:pPr>
    </w:p>
    <w:p w14:paraId="1BB7F9F5" w14:textId="77777777" w:rsidR="00701C0F" w:rsidRDefault="00701C0F" w:rsidP="00701C0F">
      <w:pPr>
        <w:rPr>
          <w:rFonts w:cstheme="minorHAnsi"/>
          <w:sz w:val="20"/>
          <w:szCs w:val="20"/>
          <w:lang w:val="en-GB"/>
        </w:rPr>
      </w:pPr>
    </w:p>
    <w:p w14:paraId="7BFCEF5C" w14:textId="77777777" w:rsidR="00701C0F" w:rsidRDefault="00701C0F" w:rsidP="00701C0F">
      <w:pPr>
        <w:rPr>
          <w:rFonts w:cstheme="minorHAnsi"/>
          <w:sz w:val="20"/>
          <w:szCs w:val="20"/>
          <w:lang w:val="en-GB"/>
        </w:rPr>
      </w:pPr>
    </w:p>
    <w:p w14:paraId="3177A7F1" w14:textId="77777777" w:rsidR="00701C0F" w:rsidRDefault="00701C0F" w:rsidP="00701C0F">
      <w:pPr>
        <w:rPr>
          <w:rFonts w:cstheme="minorHAnsi"/>
          <w:sz w:val="20"/>
          <w:szCs w:val="20"/>
          <w:lang w:val="en-GB"/>
        </w:rPr>
      </w:pPr>
    </w:p>
    <w:p w14:paraId="5672846B" w14:textId="6421AA52" w:rsidR="00701C0F" w:rsidRDefault="00701C0F" w:rsidP="00701C0F">
      <w:pPr>
        <w:jc w:val="center"/>
        <w:rPr>
          <w:rFonts w:cstheme="minorHAnsi"/>
          <w:sz w:val="20"/>
          <w:szCs w:val="20"/>
          <w:lang w:val="en-GB"/>
        </w:rPr>
      </w:pPr>
      <w:r>
        <w:rPr>
          <w:rFonts w:cstheme="minorHAnsi"/>
          <w:sz w:val="20"/>
          <w:szCs w:val="20"/>
          <w:lang w:val="en-GB"/>
        </w:rPr>
        <w:t xml:space="preserve">This Working Paper is also part of the </w:t>
      </w:r>
      <w:r w:rsidRPr="00EE0AC1">
        <w:rPr>
          <w:rFonts w:cstheme="minorHAnsi"/>
          <w:b/>
          <w:sz w:val="20"/>
          <w:szCs w:val="20"/>
          <w:lang w:val="en-GB"/>
        </w:rPr>
        <w:t>SEREDA Working Paper Series</w:t>
      </w:r>
      <w:r>
        <w:rPr>
          <w:rFonts w:cstheme="minorHAnsi"/>
          <w:sz w:val="20"/>
          <w:szCs w:val="20"/>
          <w:lang w:val="en-GB"/>
        </w:rPr>
        <w:t xml:space="preserve"> (No.2/2019)</w:t>
      </w:r>
      <w:r>
        <w:rPr>
          <w:rFonts w:cstheme="minorHAnsi"/>
          <w:sz w:val="20"/>
          <w:szCs w:val="20"/>
          <w:lang w:val="en-GB"/>
        </w:rPr>
        <w:br/>
      </w:r>
      <w:r>
        <w:rPr>
          <w:rFonts w:cstheme="minorHAnsi"/>
          <w:sz w:val="20"/>
          <w:szCs w:val="20"/>
          <w:lang w:val="en-GB"/>
        </w:rPr>
        <w:br/>
        <w:t>For more information on SEREDA: https://www.birmingham.ac.uk/sereda</w:t>
      </w:r>
    </w:p>
    <w:p w14:paraId="0BB1171E" w14:textId="72E0AE54" w:rsidR="00701C0F" w:rsidRDefault="00701C0F">
      <w:pPr>
        <w:spacing w:after="160" w:line="259" w:lineRule="auto"/>
        <w:rPr>
          <w:b/>
          <w:u w:val="single"/>
        </w:rPr>
      </w:pPr>
    </w:p>
    <w:p w14:paraId="4D528B1B" w14:textId="77777777" w:rsidR="00FB2E7F" w:rsidRDefault="00FB2E7F" w:rsidP="00FB2E7F">
      <w:pPr>
        <w:spacing w:after="160" w:line="259" w:lineRule="auto"/>
        <w:rPr>
          <w:rFonts w:eastAsia="Times New Roman"/>
          <w:b/>
        </w:rPr>
      </w:pPr>
      <w:r>
        <w:rPr>
          <w:rFonts w:eastAsia="Times New Roman"/>
          <w:b/>
        </w:rPr>
        <w:lastRenderedPageBreak/>
        <w:t>Abstract</w:t>
      </w:r>
    </w:p>
    <w:p w14:paraId="72AF6BC3" w14:textId="6059A8C6" w:rsidR="00FB2E7F" w:rsidRPr="009A12CC" w:rsidRDefault="009A12CC" w:rsidP="009A12CC">
      <w:pPr>
        <w:jc w:val="both"/>
        <w:rPr>
          <w:rFonts w:eastAsia="Times New Roman"/>
        </w:rPr>
      </w:pPr>
      <w:r w:rsidRPr="00107369">
        <w:rPr>
          <w:rFonts w:eastAsia="Times New Roman"/>
        </w:rPr>
        <w:t xml:space="preserve">The term ‘sexual and gender-based violence’ (SGBV) has gained prominence in international human rights documents and within </w:t>
      </w:r>
      <w:r w:rsidR="00107369">
        <w:rPr>
          <w:rFonts w:eastAsia="Times New Roman"/>
        </w:rPr>
        <w:t xml:space="preserve">the </w:t>
      </w:r>
      <w:r w:rsidRPr="00107369">
        <w:rPr>
          <w:rFonts w:eastAsia="Times New Roman"/>
        </w:rPr>
        <w:t>academic discourse relating to refugees. The SEREDA project (</w:t>
      </w:r>
      <w:proofErr w:type="spellStart"/>
      <w:r w:rsidRPr="00107369">
        <w:rPr>
          <w:rFonts w:eastAsia="Times New Roman"/>
          <w:b/>
        </w:rPr>
        <w:t>SE</w:t>
      </w:r>
      <w:r w:rsidRPr="00107369">
        <w:rPr>
          <w:rFonts w:eastAsia="Times New Roman"/>
        </w:rPr>
        <w:t>xual</w:t>
      </w:r>
      <w:proofErr w:type="spellEnd"/>
      <w:r w:rsidRPr="00107369">
        <w:rPr>
          <w:rFonts w:eastAsia="Times New Roman"/>
        </w:rPr>
        <w:t xml:space="preserve"> and Gender Based Violence in the </w:t>
      </w:r>
      <w:proofErr w:type="spellStart"/>
      <w:r w:rsidRPr="00107369">
        <w:rPr>
          <w:rFonts w:eastAsia="Times New Roman"/>
          <w:b/>
        </w:rPr>
        <w:t>RE</w:t>
      </w:r>
      <w:r w:rsidRPr="00107369">
        <w:rPr>
          <w:rFonts w:eastAsia="Times New Roman"/>
        </w:rPr>
        <w:t>fugee</w:t>
      </w:r>
      <w:proofErr w:type="spellEnd"/>
      <w:r w:rsidRPr="00107369">
        <w:rPr>
          <w:rFonts w:eastAsia="Times New Roman"/>
        </w:rPr>
        <w:t xml:space="preserve"> Context: From </w:t>
      </w:r>
      <w:r w:rsidRPr="00107369">
        <w:rPr>
          <w:rFonts w:eastAsia="Times New Roman"/>
          <w:b/>
        </w:rPr>
        <w:t>D</w:t>
      </w:r>
      <w:r w:rsidRPr="00107369">
        <w:rPr>
          <w:rFonts w:eastAsia="Times New Roman"/>
        </w:rPr>
        <w:t xml:space="preserve">isplacement to </w:t>
      </w:r>
      <w:r w:rsidRPr="00107369">
        <w:rPr>
          <w:rFonts w:eastAsia="Times New Roman"/>
          <w:b/>
        </w:rPr>
        <w:t>A</w:t>
      </w:r>
      <w:r w:rsidRPr="00107369">
        <w:rPr>
          <w:rFonts w:eastAsia="Times New Roman"/>
        </w:rPr>
        <w:t xml:space="preserve">rrival) aims to understand the incidence and nature of </w:t>
      </w:r>
      <w:r w:rsidR="00E43122" w:rsidRPr="00107369">
        <w:rPr>
          <w:rFonts w:eastAsia="Times New Roman"/>
        </w:rPr>
        <w:t>SGBV</w:t>
      </w:r>
      <w:r w:rsidRPr="00107369">
        <w:rPr>
          <w:rFonts w:eastAsia="Times New Roman"/>
        </w:rPr>
        <w:t xml:space="preserve"> by refugees who have fled conflict in the Levant Region.  This working paper provides an overview of how key terms relating to SGBV have been defined and how these terms may apply in the refugee context. It examines how a broad definition of SGBV has been used to explore current practices in conflict settings</w:t>
      </w:r>
      <w:r w:rsidR="00E43122" w:rsidRPr="00107369">
        <w:rPr>
          <w:rFonts w:eastAsia="Times New Roman"/>
        </w:rPr>
        <w:t>,</w:t>
      </w:r>
      <w:r w:rsidRPr="00107369">
        <w:rPr>
          <w:rFonts w:eastAsia="Times New Roman"/>
        </w:rPr>
        <w:t xml:space="preserve"> with particular focus on the current conflict in Syria. The international community’s approach to </w:t>
      </w:r>
      <w:r w:rsidR="00E43122" w:rsidRPr="00107369">
        <w:rPr>
          <w:rFonts w:eastAsia="Times New Roman"/>
        </w:rPr>
        <w:t>SGBV is examined</w:t>
      </w:r>
      <w:r w:rsidRPr="00107369">
        <w:rPr>
          <w:rFonts w:eastAsia="Times New Roman"/>
        </w:rPr>
        <w:t>, with attention paid to definitions in Conventions and under international law.</w:t>
      </w:r>
      <w:r w:rsidR="00E43122" w:rsidRPr="00107369">
        <w:rPr>
          <w:rFonts w:eastAsia="Times New Roman"/>
        </w:rPr>
        <w:t xml:space="preserve"> Finally, what gender means in the context of SGBV and the resulting debates about who should be the primary focus of humanitarian intervention are discussed.</w:t>
      </w:r>
    </w:p>
    <w:p w14:paraId="4EC619B1" w14:textId="77777777" w:rsidR="00FB2E7F" w:rsidRDefault="00FB2E7F" w:rsidP="00FB2E7F">
      <w:pPr>
        <w:spacing w:after="160" w:line="259" w:lineRule="auto"/>
        <w:rPr>
          <w:rFonts w:eastAsia="Times New Roman"/>
          <w:b/>
        </w:rPr>
      </w:pPr>
    </w:p>
    <w:p w14:paraId="20D46CE6" w14:textId="77777777" w:rsidR="00FB2E7F" w:rsidRDefault="00FB2E7F" w:rsidP="00FB2E7F">
      <w:pPr>
        <w:spacing w:after="160" w:line="259" w:lineRule="auto"/>
        <w:rPr>
          <w:rFonts w:eastAsia="Times New Roman"/>
          <w:b/>
        </w:rPr>
      </w:pPr>
      <w:r>
        <w:rPr>
          <w:rFonts w:eastAsia="Times New Roman"/>
          <w:b/>
        </w:rPr>
        <w:t>Keywords</w:t>
      </w:r>
    </w:p>
    <w:p w14:paraId="106285FB" w14:textId="18C5058C" w:rsidR="00FB2E7F" w:rsidRPr="00E43122" w:rsidRDefault="00E43122" w:rsidP="00FB2E7F">
      <w:pPr>
        <w:spacing w:after="160" w:line="259" w:lineRule="auto"/>
        <w:rPr>
          <w:rFonts w:eastAsia="Times New Roman"/>
        </w:rPr>
      </w:pPr>
      <w:r>
        <w:rPr>
          <w:rFonts w:eastAsia="Times New Roman"/>
        </w:rPr>
        <w:t>Sexual and gender-based violence, SGBV, refugees, Syria, international law</w:t>
      </w:r>
    </w:p>
    <w:p w14:paraId="597281A8" w14:textId="77777777" w:rsidR="00E43122" w:rsidRDefault="00E43122" w:rsidP="00FB2E7F">
      <w:pPr>
        <w:spacing w:after="160" w:line="259" w:lineRule="auto"/>
        <w:rPr>
          <w:rFonts w:eastAsia="Times New Roman"/>
          <w:b/>
        </w:rPr>
      </w:pPr>
    </w:p>
    <w:p w14:paraId="2EBA9A2B" w14:textId="77777777" w:rsidR="00FB2E7F" w:rsidRDefault="00FB2E7F" w:rsidP="00FB2E7F">
      <w:pPr>
        <w:spacing w:after="160" w:line="259" w:lineRule="auto"/>
        <w:rPr>
          <w:rFonts w:eastAsia="Times New Roman"/>
          <w:b/>
        </w:rPr>
      </w:pPr>
      <w:r>
        <w:rPr>
          <w:rFonts w:eastAsia="Times New Roman"/>
          <w:b/>
        </w:rPr>
        <w:t>Citation</w:t>
      </w:r>
    </w:p>
    <w:p w14:paraId="47B92F00" w14:textId="55306C49" w:rsidR="00FB2E7F" w:rsidRPr="00E43122" w:rsidRDefault="00E43122" w:rsidP="00FB2E7F">
      <w:pPr>
        <w:spacing w:after="160" w:line="259" w:lineRule="auto"/>
        <w:rPr>
          <w:rFonts w:eastAsia="Times New Roman"/>
        </w:rPr>
      </w:pPr>
      <w:r w:rsidRPr="00427105">
        <w:rPr>
          <w:rFonts w:eastAsia="Times New Roman"/>
        </w:rPr>
        <w:t>Simon-Butler, A</w:t>
      </w:r>
      <w:r w:rsidR="00F743C6" w:rsidRPr="00427105">
        <w:rPr>
          <w:rFonts w:eastAsia="Times New Roman"/>
        </w:rPr>
        <w:t>.</w:t>
      </w:r>
      <w:r w:rsidRPr="00427105">
        <w:rPr>
          <w:rFonts w:eastAsia="Times New Roman"/>
        </w:rPr>
        <w:t xml:space="preserve"> and McSherry, B. (2018) Defining Sexual and Gender-Based Violence in the Refugee Context, </w:t>
      </w:r>
      <w:proofErr w:type="spellStart"/>
      <w:r w:rsidRPr="00427105">
        <w:rPr>
          <w:rFonts w:eastAsia="Times New Roman"/>
          <w:i/>
        </w:rPr>
        <w:t>IRiS</w:t>
      </w:r>
      <w:proofErr w:type="spellEnd"/>
      <w:r w:rsidRPr="00427105">
        <w:rPr>
          <w:rFonts w:eastAsia="Times New Roman"/>
          <w:i/>
        </w:rPr>
        <w:t xml:space="preserve"> Working Paper Series</w:t>
      </w:r>
      <w:r w:rsidRPr="00427105">
        <w:rPr>
          <w:rFonts w:eastAsia="Times New Roman"/>
        </w:rPr>
        <w:t xml:space="preserve">, No. </w:t>
      </w:r>
      <w:r w:rsidR="003058B4" w:rsidRPr="003058B4">
        <w:rPr>
          <w:rFonts w:eastAsia="Times New Roman"/>
        </w:rPr>
        <w:t>2</w:t>
      </w:r>
      <w:r w:rsidRPr="00427105">
        <w:rPr>
          <w:rFonts w:eastAsia="Times New Roman"/>
        </w:rPr>
        <w:t>/2018, Birmingham: Institute for Research into Superdiversity</w:t>
      </w:r>
    </w:p>
    <w:p w14:paraId="18E4F3E8" w14:textId="77777777" w:rsidR="00E43122" w:rsidRDefault="00E43122" w:rsidP="00FB2E7F">
      <w:pPr>
        <w:spacing w:after="160" w:line="259" w:lineRule="auto"/>
        <w:rPr>
          <w:rFonts w:eastAsia="Times New Roman"/>
          <w:b/>
        </w:rPr>
      </w:pPr>
    </w:p>
    <w:p w14:paraId="264CE280" w14:textId="77777777" w:rsidR="00FB2E7F" w:rsidRDefault="00FB2E7F" w:rsidP="00FB2E7F">
      <w:pPr>
        <w:spacing w:after="160" w:line="259" w:lineRule="auto"/>
        <w:rPr>
          <w:rFonts w:eastAsia="Times New Roman"/>
          <w:b/>
        </w:rPr>
      </w:pPr>
      <w:r>
        <w:rPr>
          <w:rFonts w:eastAsia="Times New Roman"/>
          <w:b/>
        </w:rPr>
        <w:t>About the authors</w:t>
      </w:r>
    </w:p>
    <w:p w14:paraId="6E9A179F" w14:textId="1783881C" w:rsidR="00FB2E7F" w:rsidRDefault="00E43122" w:rsidP="00FB2E7F">
      <w:pPr>
        <w:spacing w:after="160" w:line="259" w:lineRule="auto"/>
        <w:rPr>
          <w:rFonts w:eastAsia="Times New Roman"/>
        </w:rPr>
      </w:pPr>
      <w:r>
        <w:rPr>
          <w:rFonts w:eastAsia="Times New Roman"/>
        </w:rPr>
        <w:t>Andrew Simon-Butler is a Research Assistant at the Melbourne Social Equity Ins</w:t>
      </w:r>
      <w:r w:rsidR="00F743C6">
        <w:rPr>
          <w:rFonts w:eastAsia="Times New Roman"/>
        </w:rPr>
        <w:t xml:space="preserve">titute, University of Melbourne: </w:t>
      </w:r>
      <w:hyperlink r:id="rId13" w:history="1">
        <w:r w:rsidR="00F743C6" w:rsidRPr="00445C9C">
          <w:rPr>
            <w:rStyle w:val="Hyperlink"/>
            <w:rFonts w:eastAsia="Times New Roman"/>
          </w:rPr>
          <w:t>andrew.butler@unimelb.edu.au</w:t>
        </w:r>
      </w:hyperlink>
      <w:r w:rsidR="00F743C6">
        <w:rPr>
          <w:rFonts w:eastAsia="Times New Roman"/>
        </w:rPr>
        <w:t xml:space="preserve"> </w:t>
      </w:r>
    </w:p>
    <w:p w14:paraId="72180E76" w14:textId="0D2D87CF" w:rsidR="00E43122" w:rsidRPr="00E43122" w:rsidRDefault="00F743C6" w:rsidP="00FB2E7F">
      <w:pPr>
        <w:spacing w:after="160" w:line="259" w:lineRule="auto"/>
        <w:rPr>
          <w:rFonts w:eastAsia="Times New Roman"/>
        </w:rPr>
      </w:pPr>
      <w:r>
        <w:rPr>
          <w:rFonts w:eastAsia="Times New Roman"/>
        </w:rPr>
        <w:t xml:space="preserve">Professor </w:t>
      </w:r>
      <w:r w:rsidR="00E43122">
        <w:rPr>
          <w:rFonts w:eastAsia="Times New Roman"/>
        </w:rPr>
        <w:t xml:space="preserve">Bernadette McSherry is </w:t>
      </w:r>
      <w:r>
        <w:rPr>
          <w:rFonts w:eastAsia="Times New Roman"/>
        </w:rPr>
        <w:t xml:space="preserve">the </w:t>
      </w:r>
      <w:r w:rsidR="00E43122">
        <w:rPr>
          <w:rFonts w:eastAsia="Times New Roman"/>
        </w:rPr>
        <w:t xml:space="preserve">Foundation </w:t>
      </w:r>
      <w:r>
        <w:rPr>
          <w:rFonts w:eastAsia="Times New Roman"/>
        </w:rPr>
        <w:t>Director of the Melbourne Social Equity Institute</w:t>
      </w:r>
      <w:r w:rsidR="00427105">
        <w:rPr>
          <w:rFonts w:eastAsia="Times New Roman"/>
        </w:rPr>
        <w:t>,</w:t>
      </w:r>
      <w:r>
        <w:rPr>
          <w:rFonts w:eastAsia="Times New Roman"/>
        </w:rPr>
        <w:t xml:space="preserve"> Adjunct Professor of Law at Melbourne Law School, University of Melbourne</w:t>
      </w:r>
      <w:r w:rsidR="00427105">
        <w:rPr>
          <w:rFonts w:eastAsia="Times New Roman"/>
        </w:rPr>
        <w:t xml:space="preserve"> and the Faculty of Law, Monash University</w:t>
      </w:r>
      <w:r>
        <w:rPr>
          <w:rFonts w:eastAsia="Times New Roman"/>
        </w:rPr>
        <w:t xml:space="preserve"> and Commissioner</w:t>
      </w:r>
      <w:r w:rsidR="00427105">
        <w:rPr>
          <w:rFonts w:eastAsia="Times New Roman"/>
        </w:rPr>
        <w:t>,</w:t>
      </w:r>
      <w:r>
        <w:rPr>
          <w:rFonts w:eastAsia="Times New Roman"/>
        </w:rPr>
        <w:t xml:space="preserve"> Victorian Law Reform Commission: </w:t>
      </w:r>
      <w:hyperlink r:id="rId14" w:history="1">
        <w:r w:rsidRPr="00445C9C">
          <w:rPr>
            <w:rStyle w:val="Hyperlink"/>
            <w:rFonts w:eastAsia="Times New Roman"/>
          </w:rPr>
          <w:t>bernadette.mcsherry@unimelb.edu.au</w:t>
        </w:r>
      </w:hyperlink>
      <w:r>
        <w:rPr>
          <w:rFonts w:eastAsia="Times New Roman"/>
        </w:rPr>
        <w:t xml:space="preserve"> </w:t>
      </w:r>
    </w:p>
    <w:p w14:paraId="4C1D53B0" w14:textId="77777777" w:rsidR="00F743C6" w:rsidRDefault="00F743C6" w:rsidP="00FB2E7F">
      <w:pPr>
        <w:spacing w:after="160" w:line="259" w:lineRule="auto"/>
        <w:rPr>
          <w:rFonts w:eastAsia="Times New Roman"/>
          <w:b/>
        </w:rPr>
      </w:pPr>
    </w:p>
    <w:p w14:paraId="288927C6" w14:textId="77777777" w:rsidR="00FB2E7F" w:rsidRDefault="00FB2E7F" w:rsidP="00FB2E7F">
      <w:pPr>
        <w:spacing w:after="160" w:line="259" w:lineRule="auto"/>
        <w:rPr>
          <w:rFonts w:eastAsia="Times New Roman"/>
          <w:b/>
        </w:rPr>
      </w:pPr>
      <w:r>
        <w:rPr>
          <w:rFonts w:eastAsia="Times New Roman"/>
          <w:b/>
        </w:rPr>
        <w:t>Funding</w:t>
      </w:r>
    </w:p>
    <w:p w14:paraId="4546A6A2" w14:textId="43E53934" w:rsidR="003F5E48" w:rsidRDefault="00427105" w:rsidP="00FB2E7F">
      <w:pPr>
        <w:spacing w:after="160" w:line="259" w:lineRule="auto"/>
        <w:rPr>
          <w:b/>
          <w:u w:val="single"/>
        </w:rPr>
      </w:pPr>
      <w:r>
        <w:rPr>
          <w:rFonts w:eastAsia="Times New Roman"/>
        </w:rPr>
        <w:t xml:space="preserve">The SEREDA Project is funded by </w:t>
      </w:r>
      <w:r w:rsidRPr="00427105">
        <w:rPr>
          <w:rFonts w:eastAsia="Times New Roman"/>
        </w:rPr>
        <w:t xml:space="preserve">the </w:t>
      </w:r>
      <w:proofErr w:type="spellStart"/>
      <w:r w:rsidRPr="00427105">
        <w:rPr>
          <w:rFonts w:eastAsia="Times New Roman"/>
        </w:rPr>
        <w:t>Wellcome</w:t>
      </w:r>
      <w:proofErr w:type="spellEnd"/>
      <w:r w:rsidRPr="00427105">
        <w:rPr>
          <w:rFonts w:eastAsia="Times New Roman"/>
        </w:rPr>
        <w:t xml:space="preserve"> Trust, Volkswagen Stiftung and </w:t>
      </w:r>
      <w:proofErr w:type="spellStart"/>
      <w:r w:rsidRPr="00427105">
        <w:rPr>
          <w:rFonts w:eastAsia="Times New Roman"/>
        </w:rPr>
        <w:t>Riksbankens</w:t>
      </w:r>
      <w:proofErr w:type="spellEnd"/>
      <w:r w:rsidRPr="00427105">
        <w:rPr>
          <w:rFonts w:eastAsia="Times New Roman"/>
        </w:rPr>
        <w:t xml:space="preserve"> </w:t>
      </w:r>
      <w:proofErr w:type="spellStart"/>
      <w:r w:rsidRPr="00427105">
        <w:rPr>
          <w:rFonts w:eastAsia="Times New Roman"/>
        </w:rPr>
        <w:t>Jubileumsfond</w:t>
      </w:r>
      <w:proofErr w:type="spellEnd"/>
      <w:r w:rsidRPr="00427105">
        <w:rPr>
          <w:rFonts w:eastAsia="Times New Roman"/>
        </w:rPr>
        <w:t> through the Europe and Global Challenges Initiative</w:t>
      </w:r>
      <w:r>
        <w:rPr>
          <w:rFonts w:eastAsia="Times New Roman"/>
        </w:rPr>
        <w:t>. This paper was supported by the Melbourne Social Equity Institute, University of Melbourne, Australia.</w:t>
      </w:r>
      <w:r w:rsidR="00FB2E7F">
        <w:rPr>
          <w:b/>
          <w:u w:val="single"/>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17"/>
        <w:gridCol w:w="799"/>
      </w:tblGrid>
      <w:tr w:rsidR="00932225" w14:paraId="75A2A5BE" w14:textId="77777777" w:rsidTr="00563A8E">
        <w:trPr>
          <w:trHeight w:val="596"/>
        </w:trPr>
        <w:tc>
          <w:tcPr>
            <w:tcW w:w="9016" w:type="dxa"/>
            <w:gridSpan w:val="2"/>
          </w:tcPr>
          <w:p w14:paraId="496090BE" w14:textId="6E101AF5" w:rsidR="00932225" w:rsidRPr="00932225" w:rsidRDefault="00932225" w:rsidP="00820E46">
            <w:pPr>
              <w:rPr>
                <w:b/>
                <w:sz w:val="40"/>
                <w:szCs w:val="40"/>
              </w:rPr>
            </w:pPr>
            <w:r w:rsidRPr="00932225">
              <w:rPr>
                <w:b/>
                <w:sz w:val="40"/>
                <w:szCs w:val="40"/>
              </w:rPr>
              <w:lastRenderedPageBreak/>
              <w:t>C</w:t>
            </w:r>
            <w:r w:rsidR="00820E46">
              <w:rPr>
                <w:b/>
                <w:sz w:val="40"/>
                <w:szCs w:val="40"/>
              </w:rPr>
              <w:t>ontents</w:t>
            </w:r>
          </w:p>
          <w:p w14:paraId="189DB7D8" w14:textId="77777777" w:rsidR="00932225" w:rsidRPr="00932225" w:rsidRDefault="00932225" w:rsidP="00932225">
            <w:pPr>
              <w:jc w:val="center"/>
              <w:rPr>
                <w:b/>
              </w:rPr>
            </w:pPr>
          </w:p>
        </w:tc>
      </w:tr>
      <w:tr w:rsidR="002E5DDF" w14:paraId="70A1652B" w14:textId="77777777" w:rsidTr="00563A8E">
        <w:tc>
          <w:tcPr>
            <w:tcW w:w="8217" w:type="dxa"/>
          </w:tcPr>
          <w:p w14:paraId="7BBD66C7" w14:textId="77777777" w:rsidR="009414DC" w:rsidRDefault="009414DC" w:rsidP="00DB3ABD">
            <w:pPr>
              <w:jc w:val="both"/>
              <w:rPr>
                <w:b/>
              </w:rPr>
            </w:pPr>
          </w:p>
          <w:p w14:paraId="2C1CCAC5" w14:textId="77777777" w:rsidR="002E5DDF" w:rsidRPr="002E5DDF" w:rsidRDefault="002E5DDF" w:rsidP="00DB3ABD">
            <w:pPr>
              <w:jc w:val="both"/>
              <w:rPr>
                <w:b/>
              </w:rPr>
            </w:pPr>
            <w:r w:rsidRPr="002E5DDF">
              <w:rPr>
                <w:b/>
              </w:rPr>
              <w:t>Introduction</w:t>
            </w:r>
          </w:p>
        </w:tc>
        <w:tc>
          <w:tcPr>
            <w:tcW w:w="799" w:type="dxa"/>
          </w:tcPr>
          <w:p w14:paraId="679B9F63" w14:textId="77777777" w:rsidR="009414DC" w:rsidRDefault="009414DC" w:rsidP="002E5DDF">
            <w:pPr>
              <w:jc w:val="right"/>
            </w:pPr>
          </w:p>
          <w:p w14:paraId="583E7F2A" w14:textId="306A1DE9" w:rsidR="002E5DDF" w:rsidRPr="00E15D7C" w:rsidRDefault="00820E46" w:rsidP="002E5DDF">
            <w:pPr>
              <w:jc w:val="right"/>
              <w:rPr>
                <w:b/>
              </w:rPr>
            </w:pPr>
            <w:r>
              <w:rPr>
                <w:b/>
              </w:rPr>
              <w:t>5</w:t>
            </w:r>
          </w:p>
        </w:tc>
      </w:tr>
      <w:tr w:rsidR="002E5DDF" w14:paraId="1D788226" w14:textId="77777777" w:rsidTr="00563A8E">
        <w:tc>
          <w:tcPr>
            <w:tcW w:w="8217" w:type="dxa"/>
          </w:tcPr>
          <w:p w14:paraId="7AB30692" w14:textId="18306659" w:rsidR="009C600B" w:rsidRPr="00FB2E7F" w:rsidRDefault="00FB2E7F" w:rsidP="00DB3ABD">
            <w:pPr>
              <w:jc w:val="both"/>
            </w:pPr>
            <w:r>
              <w:t>Gender-Based Violence</w:t>
            </w:r>
          </w:p>
          <w:p w14:paraId="41101B3B" w14:textId="77777777" w:rsidR="002E5DDF" w:rsidRPr="00FB2E7F" w:rsidRDefault="002E5DDF" w:rsidP="00DB3ABD">
            <w:pPr>
              <w:jc w:val="both"/>
            </w:pPr>
            <w:r w:rsidRPr="00FB2E7F">
              <w:t>Sexual Violence</w:t>
            </w:r>
          </w:p>
        </w:tc>
        <w:tc>
          <w:tcPr>
            <w:tcW w:w="799" w:type="dxa"/>
          </w:tcPr>
          <w:p w14:paraId="21F17A95" w14:textId="0A6D612E" w:rsidR="009C600B" w:rsidRDefault="00820E46" w:rsidP="002E5DDF">
            <w:pPr>
              <w:jc w:val="right"/>
            </w:pPr>
            <w:r>
              <w:t>5</w:t>
            </w:r>
          </w:p>
          <w:p w14:paraId="47F858EE" w14:textId="7173DED4" w:rsidR="002E5DDF" w:rsidRPr="002E5DDF" w:rsidRDefault="00820E46" w:rsidP="002E5DDF">
            <w:pPr>
              <w:jc w:val="right"/>
            </w:pPr>
            <w:r>
              <w:t>7</w:t>
            </w:r>
          </w:p>
        </w:tc>
      </w:tr>
      <w:tr w:rsidR="002E5DDF" w14:paraId="1B5B40EC" w14:textId="77777777" w:rsidTr="00563A8E">
        <w:tc>
          <w:tcPr>
            <w:tcW w:w="8217" w:type="dxa"/>
          </w:tcPr>
          <w:p w14:paraId="33259D8F" w14:textId="13D32F30" w:rsidR="002E5DDF" w:rsidRPr="002E5DDF" w:rsidRDefault="002E5DDF" w:rsidP="00DB3ABD">
            <w:pPr>
              <w:jc w:val="both"/>
            </w:pPr>
          </w:p>
        </w:tc>
        <w:tc>
          <w:tcPr>
            <w:tcW w:w="799" w:type="dxa"/>
          </w:tcPr>
          <w:p w14:paraId="451A41CD" w14:textId="27C60986" w:rsidR="002E5DDF" w:rsidRPr="002E5DDF" w:rsidRDefault="002E5DDF" w:rsidP="002E5DDF">
            <w:pPr>
              <w:jc w:val="right"/>
            </w:pPr>
          </w:p>
        </w:tc>
      </w:tr>
      <w:tr w:rsidR="002E5DDF" w14:paraId="61E947D0" w14:textId="77777777" w:rsidTr="00563A8E">
        <w:tc>
          <w:tcPr>
            <w:tcW w:w="8217" w:type="dxa"/>
          </w:tcPr>
          <w:p w14:paraId="16D66358" w14:textId="7C8529E7" w:rsidR="002E5DDF" w:rsidRPr="00E15D7C" w:rsidRDefault="00FB2E7F" w:rsidP="00DB3ABD">
            <w:pPr>
              <w:jc w:val="both"/>
              <w:rPr>
                <w:b/>
              </w:rPr>
            </w:pPr>
            <w:r w:rsidRPr="00E15D7C">
              <w:rPr>
                <w:b/>
              </w:rPr>
              <w:t>Sexual and Gender-Based Violence (SGBV)</w:t>
            </w:r>
          </w:p>
        </w:tc>
        <w:tc>
          <w:tcPr>
            <w:tcW w:w="799" w:type="dxa"/>
          </w:tcPr>
          <w:p w14:paraId="39ADF6FE" w14:textId="2529C124" w:rsidR="002E5DDF" w:rsidRPr="00E15D7C" w:rsidRDefault="00820E46" w:rsidP="002E5DDF">
            <w:pPr>
              <w:jc w:val="right"/>
              <w:rPr>
                <w:b/>
              </w:rPr>
            </w:pPr>
            <w:r>
              <w:rPr>
                <w:b/>
              </w:rPr>
              <w:t>8</w:t>
            </w:r>
          </w:p>
        </w:tc>
      </w:tr>
      <w:tr w:rsidR="002E5DDF" w14:paraId="3EC80B5B" w14:textId="77777777" w:rsidTr="00563A8E">
        <w:tc>
          <w:tcPr>
            <w:tcW w:w="8217" w:type="dxa"/>
          </w:tcPr>
          <w:p w14:paraId="4D74D2B9" w14:textId="167B2C4A" w:rsidR="002E5DDF" w:rsidRPr="002E5DDF" w:rsidRDefault="00FB2E7F" w:rsidP="00DB3ABD">
            <w:pPr>
              <w:jc w:val="both"/>
            </w:pPr>
            <w:r>
              <w:t>The Gendered Nature of SGBV</w:t>
            </w:r>
          </w:p>
        </w:tc>
        <w:tc>
          <w:tcPr>
            <w:tcW w:w="799" w:type="dxa"/>
          </w:tcPr>
          <w:p w14:paraId="15C4ED15" w14:textId="7DF4E132" w:rsidR="002E5DDF" w:rsidRPr="002E5DDF" w:rsidRDefault="00820E46" w:rsidP="002E5DDF">
            <w:pPr>
              <w:jc w:val="right"/>
            </w:pPr>
            <w:r>
              <w:t>8</w:t>
            </w:r>
          </w:p>
        </w:tc>
      </w:tr>
      <w:tr w:rsidR="002E5DDF" w14:paraId="0A3AFF7A" w14:textId="77777777" w:rsidTr="00563A8E">
        <w:tc>
          <w:tcPr>
            <w:tcW w:w="8217" w:type="dxa"/>
          </w:tcPr>
          <w:p w14:paraId="1B687BE6" w14:textId="76FAB273" w:rsidR="009C600B" w:rsidRPr="00FB2E7F" w:rsidRDefault="00FB2E7F" w:rsidP="00DB3ABD">
            <w:pPr>
              <w:jc w:val="both"/>
            </w:pPr>
            <w:r w:rsidRPr="00FB2E7F">
              <w:t>SGBV Within Conflict Settings</w:t>
            </w:r>
          </w:p>
          <w:p w14:paraId="1265F83B" w14:textId="5A657DC0" w:rsidR="002E5DDF" w:rsidRPr="00781C08" w:rsidRDefault="002E5DDF" w:rsidP="00781C08">
            <w:pPr>
              <w:jc w:val="both"/>
            </w:pPr>
            <w:r w:rsidRPr="00781C08">
              <w:t xml:space="preserve">Structural and Physical </w:t>
            </w:r>
            <w:r w:rsidR="00781C08" w:rsidRPr="00781C08">
              <w:t>SGBV</w:t>
            </w:r>
          </w:p>
        </w:tc>
        <w:tc>
          <w:tcPr>
            <w:tcW w:w="799" w:type="dxa"/>
          </w:tcPr>
          <w:p w14:paraId="6CF0A275" w14:textId="72F6A97F" w:rsidR="009C600B" w:rsidRDefault="00820E46" w:rsidP="002E5DDF">
            <w:pPr>
              <w:jc w:val="right"/>
            </w:pPr>
            <w:r>
              <w:t>9</w:t>
            </w:r>
          </w:p>
          <w:p w14:paraId="66955717" w14:textId="6A81CCFD" w:rsidR="002E5DDF" w:rsidRPr="002E5DDF" w:rsidRDefault="00820E46" w:rsidP="002E5DDF">
            <w:pPr>
              <w:jc w:val="right"/>
            </w:pPr>
            <w:r>
              <w:t>10</w:t>
            </w:r>
          </w:p>
        </w:tc>
      </w:tr>
      <w:tr w:rsidR="002E5DDF" w:rsidRPr="002E5DDF" w14:paraId="20BE5146" w14:textId="77777777" w:rsidTr="00563A8E">
        <w:tc>
          <w:tcPr>
            <w:tcW w:w="8217" w:type="dxa"/>
          </w:tcPr>
          <w:p w14:paraId="146790F0" w14:textId="02960DB0" w:rsidR="002E5DDF" w:rsidRPr="002E5DDF" w:rsidRDefault="002E5DDF" w:rsidP="00C23DC4">
            <w:pPr>
              <w:jc w:val="both"/>
            </w:pPr>
          </w:p>
        </w:tc>
        <w:tc>
          <w:tcPr>
            <w:tcW w:w="799" w:type="dxa"/>
          </w:tcPr>
          <w:p w14:paraId="643001B4" w14:textId="4855E700" w:rsidR="002E5DDF" w:rsidRPr="002E5DDF" w:rsidRDefault="002E5DDF" w:rsidP="00C23DC4">
            <w:pPr>
              <w:jc w:val="right"/>
            </w:pPr>
          </w:p>
        </w:tc>
      </w:tr>
      <w:tr w:rsidR="002E5DDF" w:rsidRPr="002E5DDF" w14:paraId="42A96E2C" w14:textId="77777777" w:rsidTr="00563A8E">
        <w:tc>
          <w:tcPr>
            <w:tcW w:w="8217" w:type="dxa"/>
          </w:tcPr>
          <w:p w14:paraId="4040C013" w14:textId="3A71AFD9" w:rsidR="002E5DDF" w:rsidRPr="00E15D7C" w:rsidRDefault="00781C08" w:rsidP="00C23DC4">
            <w:pPr>
              <w:jc w:val="both"/>
              <w:rPr>
                <w:b/>
              </w:rPr>
            </w:pPr>
            <w:r w:rsidRPr="00E15D7C">
              <w:rPr>
                <w:b/>
              </w:rPr>
              <w:t>International Community’s Approach to AGBV</w:t>
            </w:r>
          </w:p>
        </w:tc>
        <w:tc>
          <w:tcPr>
            <w:tcW w:w="799" w:type="dxa"/>
          </w:tcPr>
          <w:p w14:paraId="0F1563FC" w14:textId="05DC4D28" w:rsidR="002E5DDF" w:rsidRPr="00E15D7C" w:rsidRDefault="00820E46" w:rsidP="00C23DC4">
            <w:pPr>
              <w:jc w:val="right"/>
              <w:rPr>
                <w:b/>
              </w:rPr>
            </w:pPr>
            <w:r>
              <w:rPr>
                <w:b/>
              </w:rPr>
              <w:t>10</w:t>
            </w:r>
          </w:p>
        </w:tc>
      </w:tr>
      <w:tr w:rsidR="002E5DDF" w:rsidRPr="002E5DDF" w14:paraId="4E2A286A" w14:textId="77777777" w:rsidTr="00563A8E">
        <w:tc>
          <w:tcPr>
            <w:tcW w:w="8217" w:type="dxa"/>
          </w:tcPr>
          <w:p w14:paraId="268403AF" w14:textId="318E2026" w:rsidR="00781C08" w:rsidRPr="00781C08" w:rsidRDefault="00781C08" w:rsidP="00781C08">
            <w:pPr>
              <w:jc w:val="both"/>
            </w:pPr>
            <w:r w:rsidRPr="00781C08">
              <w:t>Declaration on the Elimination of Violence Against Women</w:t>
            </w:r>
          </w:p>
          <w:p w14:paraId="541D315D" w14:textId="6FD71260" w:rsidR="002E5DDF" w:rsidRPr="00E15D7C" w:rsidRDefault="00781C08" w:rsidP="00C23DC4">
            <w:pPr>
              <w:jc w:val="both"/>
            </w:pPr>
            <w:r w:rsidRPr="00781C08">
              <w:t>Convention on the Elimination of All Forms of Discrimination Against Women</w:t>
            </w:r>
          </w:p>
        </w:tc>
        <w:tc>
          <w:tcPr>
            <w:tcW w:w="799" w:type="dxa"/>
          </w:tcPr>
          <w:p w14:paraId="7EFBB232" w14:textId="3535203A" w:rsidR="00721677" w:rsidRDefault="00820E46" w:rsidP="00C23DC4">
            <w:pPr>
              <w:jc w:val="right"/>
            </w:pPr>
            <w:r>
              <w:t>11</w:t>
            </w:r>
          </w:p>
          <w:p w14:paraId="18F01A35" w14:textId="77BC30A8" w:rsidR="002E5DDF" w:rsidRPr="002E5DDF" w:rsidRDefault="00563A8E" w:rsidP="00C23DC4">
            <w:pPr>
              <w:jc w:val="right"/>
            </w:pPr>
            <w:r>
              <w:t>1</w:t>
            </w:r>
            <w:r w:rsidR="00820E46">
              <w:t>2</w:t>
            </w:r>
          </w:p>
        </w:tc>
      </w:tr>
      <w:tr w:rsidR="002E5DDF" w:rsidRPr="002E5DDF" w14:paraId="493CB51B" w14:textId="77777777" w:rsidTr="00563A8E">
        <w:tc>
          <w:tcPr>
            <w:tcW w:w="8217" w:type="dxa"/>
          </w:tcPr>
          <w:p w14:paraId="425D3716" w14:textId="145D29A9" w:rsidR="002E5DDF" w:rsidRPr="009C600B" w:rsidRDefault="00E15D7C" w:rsidP="00C23DC4">
            <w:pPr>
              <w:jc w:val="both"/>
            </w:pPr>
            <w:r w:rsidRPr="00E15D7C">
              <w:t>UN Committee on the Elimination of Discrimination Against Women &amp; SGBV</w:t>
            </w:r>
          </w:p>
        </w:tc>
        <w:tc>
          <w:tcPr>
            <w:tcW w:w="799" w:type="dxa"/>
          </w:tcPr>
          <w:p w14:paraId="0D1712E6" w14:textId="77393F3F" w:rsidR="002E5DDF" w:rsidRPr="002E5DDF" w:rsidRDefault="00563A8E" w:rsidP="00C23DC4">
            <w:pPr>
              <w:jc w:val="right"/>
            </w:pPr>
            <w:r>
              <w:t>1</w:t>
            </w:r>
            <w:r w:rsidR="00820E46">
              <w:t>3</w:t>
            </w:r>
          </w:p>
        </w:tc>
      </w:tr>
      <w:tr w:rsidR="002E5DDF" w:rsidRPr="002E5DDF" w14:paraId="4AAF54F5" w14:textId="77777777" w:rsidTr="00563A8E">
        <w:tc>
          <w:tcPr>
            <w:tcW w:w="8217" w:type="dxa"/>
          </w:tcPr>
          <w:p w14:paraId="38FCA573" w14:textId="0D8496E6" w:rsidR="002E5DDF" w:rsidRPr="009C600B" w:rsidRDefault="00E15D7C" w:rsidP="00C23DC4">
            <w:pPr>
              <w:jc w:val="both"/>
            </w:pPr>
            <w:r w:rsidRPr="00E15D7C">
              <w:t>The Torture Convention</w:t>
            </w:r>
          </w:p>
        </w:tc>
        <w:tc>
          <w:tcPr>
            <w:tcW w:w="799" w:type="dxa"/>
          </w:tcPr>
          <w:p w14:paraId="4F64020C" w14:textId="1F1A4103" w:rsidR="002E5DDF" w:rsidRPr="002E5DDF" w:rsidRDefault="00563A8E" w:rsidP="00C23DC4">
            <w:pPr>
              <w:jc w:val="right"/>
            </w:pPr>
            <w:r>
              <w:t>1</w:t>
            </w:r>
            <w:r w:rsidR="00820E46">
              <w:t>5</w:t>
            </w:r>
          </w:p>
        </w:tc>
      </w:tr>
      <w:tr w:rsidR="002E5DDF" w:rsidRPr="002E5DDF" w14:paraId="361C4441" w14:textId="77777777" w:rsidTr="00563A8E">
        <w:tc>
          <w:tcPr>
            <w:tcW w:w="8217" w:type="dxa"/>
          </w:tcPr>
          <w:p w14:paraId="435B2999" w14:textId="77777777" w:rsidR="009C600B" w:rsidRDefault="009C600B" w:rsidP="00C23DC4">
            <w:pPr>
              <w:jc w:val="both"/>
              <w:rPr>
                <w:b/>
              </w:rPr>
            </w:pPr>
          </w:p>
          <w:p w14:paraId="1B57B052" w14:textId="7EF9545F" w:rsidR="002E5DDF" w:rsidRPr="00E15D7C" w:rsidRDefault="00E15D7C" w:rsidP="00C23DC4">
            <w:pPr>
              <w:jc w:val="both"/>
              <w:rPr>
                <w:rFonts w:eastAsia="Times New Roman"/>
                <w:b/>
              </w:rPr>
            </w:pPr>
            <w:r w:rsidRPr="00E15D7C">
              <w:rPr>
                <w:rFonts w:eastAsia="Times New Roman"/>
                <w:b/>
              </w:rPr>
              <w:t>SGBV Under International Law</w:t>
            </w:r>
          </w:p>
        </w:tc>
        <w:tc>
          <w:tcPr>
            <w:tcW w:w="799" w:type="dxa"/>
          </w:tcPr>
          <w:p w14:paraId="0E13F62F" w14:textId="77777777" w:rsidR="00721677" w:rsidRDefault="00721677" w:rsidP="00C23DC4">
            <w:pPr>
              <w:jc w:val="right"/>
            </w:pPr>
          </w:p>
          <w:p w14:paraId="2ED82BFD" w14:textId="00FB43BA" w:rsidR="002E5DDF" w:rsidRPr="00E15D7C" w:rsidRDefault="00563A8E" w:rsidP="00C23DC4">
            <w:pPr>
              <w:jc w:val="right"/>
              <w:rPr>
                <w:b/>
              </w:rPr>
            </w:pPr>
            <w:r w:rsidRPr="00E15D7C">
              <w:rPr>
                <w:b/>
              </w:rPr>
              <w:t>1</w:t>
            </w:r>
            <w:r w:rsidR="00820E46">
              <w:rPr>
                <w:b/>
              </w:rPr>
              <w:t>6</w:t>
            </w:r>
          </w:p>
        </w:tc>
      </w:tr>
      <w:tr w:rsidR="002E5DDF" w:rsidRPr="002E5DDF" w14:paraId="37CDA6FA" w14:textId="77777777" w:rsidTr="00563A8E">
        <w:tc>
          <w:tcPr>
            <w:tcW w:w="8217" w:type="dxa"/>
          </w:tcPr>
          <w:p w14:paraId="7573460E" w14:textId="75ED4220" w:rsidR="002E5DDF" w:rsidRPr="00E15D7C" w:rsidRDefault="00E0001C" w:rsidP="00C23DC4">
            <w:pPr>
              <w:jc w:val="both"/>
              <w:rPr>
                <w:rFonts w:eastAsia="Times New Roman"/>
              </w:rPr>
            </w:pPr>
            <w:r>
              <w:rPr>
                <w:rFonts w:eastAsia="Times New Roman"/>
              </w:rPr>
              <w:t>SGBV as Crimes Before t</w:t>
            </w:r>
            <w:r w:rsidR="00E15D7C" w:rsidRPr="00E15D7C">
              <w:rPr>
                <w:rFonts w:eastAsia="Times New Roman"/>
              </w:rPr>
              <w:t>he ICC</w:t>
            </w:r>
          </w:p>
        </w:tc>
        <w:tc>
          <w:tcPr>
            <w:tcW w:w="799" w:type="dxa"/>
          </w:tcPr>
          <w:p w14:paraId="62537C1F" w14:textId="76CA1188" w:rsidR="002E5DDF" w:rsidRPr="002E5DDF" w:rsidRDefault="00563A8E" w:rsidP="00C23DC4">
            <w:pPr>
              <w:jc w:val="right"/>
            </w:pPr>
            <w:r>
              <w:t>1</w:t>
            </w:r>
            <w:r w:rsidR="00820E46">
              <w:t>7</w:t>
            </w:r>
          </w:p>
        </w:tc>
      </w:tr>
      <w:tr w:rsidR="002E5DDF" w:rsidRPr="002E5DDF" w14:paraId="2B2FCE8A" w14:textId="77777777" w:rsidTr="00563A8E">
        <w:tc>
          <w:tcPr>
            <w:tcW w:w="8217" w:type="dxa"/>
          </w:tcPr>
          <w:p w14:paraId="678B8601" w14:textId="2D65A734" w:rsidR="002E5DDF" w:rsidRPr="009C600B" w:rsidRDefault="002E5DDF" w:rsidP="00C23DC4">
            <w:pPr>
              <w:jc w:val="both"/>
            </w:pPr>
          </w:p>
        </w:tc>
        <w:tc>
          <w:tcPr>
            <w:tcW w:w="799" w:type="dxa"/>
          </w:tcPr>
          <w:p w14:paraId="6EA0D59D" w14:textId="119A3396" w:rsidR="002E5DDF" w:rsidRPr="002E5DDF" w:rsidRDefault="002E5DDF" w:rsidP="00C23DC4">
            <w:pPr>
              <w:jc w:val="right"/>
            </w:pPr>
          </w:p>
        </w:tc>
      </w:tr>
      <w:tr w:rsidR="009C600B" w:rsidRPr="002E5DDF" w14:paraId="7693F73D" w14:textId="77777777" w:rsidTr="00563A8E">
        <w:tc>
          <w:tcPr>
            <w:tcW w:w="8217" w:type="dxa"/>
          </w:tcPr>
          <w:p w14:paraId="64134A30" w14:textId="5FD9AB5F" w:rsidR="009C600B" w:rsidRPr="00E0001C" w:rsidRDefault="00E0001C" w:rsidP="00C23DC4">
            <w:pPr>
              <w:contextualSpacing/>
              <w:jc w:val="both"/>
              <w:rPr>
                <w:rFonts w:cstheme="minorHAnsi"/>
                <w:b/>
              </w:rPr>
            </w:pPr>
            <w:r w:rsidRPr="00E0001C">
              <w:rPr>
                <w:rFonts w:cstheme="minorHAnsi"/>
                <w:b/>
              </w:rPr>
              <w:t>SGBV in the Humanitarian and Refugee Contexts</w:t>
            </w:r>
          </w:p>
        </w:tc>
        <w:tc>
          <w:tcPr>
            <w:tcW w:w="799" w:type="dxa"/>
          </w:tcPr>
          <w:p w14:paraId="53120D45" w14:textId="41A88B96" w:rsidR="009C600B" w:rsidRPr="00E0001C" w:rsidRDefault="00563A8E" w:rsidP="00C23DC4">
            <w:pPr>
              <w:jc w:val="right"/>
              <w:rPr>
                <w:b/>
              </w:rPr>
            </w:pPr>
            <w:r w:rsidRPr="00E0001C">
              <w:rPr>
                <w:b/>
              </w:rPr>
              <w:t>1</w:t>
            </w:r>
            <w:r w:rsidR="00820E46">
              <w:rPr>
                <w:b/>
              </w:rPr>
              <w:t>8</w:t>
            </w:r>
          </w:p>
        </w:tc>
      </w:tr>
      <w:tr w:rsidR="009C600B" w:rsidRPr="002E5DDF" w14:paraId="2B15D13A" w14:textId="77777777" w:rsidTr="00563A8E">
        <w:tc>
          <w:tcPr>
            <w:tcW w:w="8217" w:type="dxa"/>
          </w:tcPr>
          <w:p w14:paraId="2580E3EF" w14:textId="3B9DB43B" w:rsidR="009C600B" w:rsidRPr="009C600B" w:rsidRDefault="009C600B" w:rsidP="00C23DC4">
            <w:pPr>
              <w:jc w:val="both"/>
            </w:pPr>
          </w:p>
        </w:tc>
        <w:tc>
          <w:tcPr>
            <w:tcW w:w="799" w:type="dxa"/>
          </w:tcPr>
          <w:p w14:paraId="5CB51C91" w14:textId="344B00B6" w:rsidR="009C600B" w:rsidRPr="002E5DDF" w:rsidRDefault="009C600B" w:rsidP="00C23DC4">
            <w:pPr>
              <w:jc w:val="right"/>
            </w:pPr>
          </w:p>
        </w:tc>
      </w:tr>
      <w:tr w:rsidR="009C600B" w:rsidRPr="002E5DDF" w14:paraId="6846FB65" w14:textId="77777777" w:rsidTr="00563A8E">
        <w:tc>
          <w:tcPr>
            <w:tcW w:w="8217" w:type="dxa"/>
          </w:tcPr>
          <w:p w14:paraId="7F085CC8" w14:textId="74DD66D6" w:rsidR="009C600B" w:rsidRPr="00E0001C" w:rsidRDefault="00E0001C" w:rsidP="00E0001C">
            <w:pPr>
              <w:jc w:val="both"/>
              <w:rPr>
                <w:rFonts w:eastAsia="Times New Roman" w:cs="Times New Roman"/>
                <w:b/>
                <w:caps/>
                <w:u w:val="single"/>
              </w:rPr>
            </w:pPr>
            <w:r>
              <w:rPr>
                <w:rFonts w:cstheme="minorHAnsi"/>
                <w:b/>
              </w:rPr>
              <w:t>Perpetrators and Victims of Sexual Violence in Refugee Settings</w:t>
            </w:r>
          </w:p>
        </w:tc>
        <w:tc>
          <w:tcPr>
            <w:tcW w:w="799" w:type="dxa"/>
          </w:tcPr>
          <w:p w14:paraId="7EDC6621" w14:textId="7421FCD6" w:rsidR="009C600B" w:rsidRPr="00E0001C" w:rsidRDefault="00E0001C" w:rsidP="00820E46">
            <w:pPr>
              <w:jc w:val="right"/>
              <w:rPr>
                <w:b/>
              </w:rPr>
            </w:pPr>
            <w:r w:rsidRPr="00E0001C">
              <w:rPr>
                <w:b/>
              </w:rPr>
              <w:t>2</w:t>
            </w:r>
            <w:r w:rsidR="00820E46">
              <w:rPr>
                <w:b/>
              </w:rPr>
              <w:t>3</w:t>
            </w:r>
          </w:p>
        </w:tc>
      </w:tr>
      <w:tr w:rsidR="009C600B" w:rsidRPr="002E5DDF" w14:paraId="0A993BBA" w14:textId="77777777" w:rsidTr="00563A8E">
        <w:tc>
          <w:tcPr>
            <w:tcW w:w="8217" w:type="dxa"/>
          </w:tcPr>
          <w:p w14:paraId="062731D4" w14:textId="7FE7D42C" w:rsidR="009C600B" w:rsidRPr="00E0001C" w:rsidRDefault="00E0001C" w:rsidP="00C23DC4">
            <w:pPr>
              <w:contextualSpacing/>
              <w:jc w:val="both"/>
              <w:rPr>
                <w:rFonts w:eastAsia="Times New Roman" w:cstheme="minorHAnsi"/>
              </w:rPr>
            </w:pPr>
            <w:r w:rsidRPr="00E0001C">
              <w:rPr>
                <w:rFonts w:eastAsia="Times New Roman" w:cstheme="minorHAnsi"/>
              </w:rPr>
              <w:t>SGBV and Male Victims</w:t>
            </w:r>
          </w:p>
          <w:p w14:paraId="28AF4737" w14:textId="61FAAE0D" w:rsidR="009C600B" w:rsidRPr="00E0001C" w:rsidRDefault="00E0001C" w:rsidP="00C23DC4">
            <w:pPr>
              <w:jc w:val="both"/>
            </w:pPr>
            <w:r w:rsidRPr="00E0001C">
              <w:t>LGBTQI Persons and SGBV</w:t>
            </w:r>
          </w:p>
        </w:tc>
        <w:tc>
          <w:tcPr>
            <w:tcW w:w="799" w:type="dxa"/>
          </w:tcPr>
          <w:p w14:paraId="674BE178" w14:textId="1D0C0EB7" w:rsidR="009C600B" w:rsidRDefault="00820E46" w:rsidP="00C23DC4">
            <w:pPr>
              <w:jc w:val="right"/>
            </w:pPr>
            <w:r>
              <w:t>24</w:t>
            </w:r>
          </w:p>
          <w:p w14:paraId="6515A649" w14:textId="69D16887" w:rsidR="009C600B" w:rsidRPr="002E5DDF" w:rsidRDefault="00E0001C" w:rsidP="00C23DC4">
            <w:pPr>
              <w:jc w:val="right"/>
            </w:pPr>
            <w:r>
              <w:t>2</w:t>
            </w:r>
            <w:r w:rsidR="00820E46">
              <w:t>6</w:t>
            </w:r>
          </w:p>
        </w:tc>
      </w:tr>
      <w:tr w:rsidR="009C600B" w:rsidRPr="002E5DDF" w14:paraId="020E6E05" w14:textId="77777777" w:rsidTr="00563A8E">
        <w:tc>
          <w:tcPr>
            <w:tcW w:w="8217" w:type="dxa"/>
          </w:tcPr>
          <w:p w14:paraId="3395160E" w14:textId="77777777" w:rsidR="009C600B" w:rsidRDefault="009C600B" w:rsidP="00C23DC4">
            <w:pPr>
              <w:jc w:val="both"/>
              <w:rPr>
                <w:b/>
              </w:rPr>
            </w:pPr>
          </w:p>
          <w:p w14:paraId="797BD57F" w14:textId="324410CB" w:rsidR="009C600B" w:rsidRPr="009C600B" w:rsidRDefault="00E0001C" w:rsidP="00C23DC4">
            <w:pPr>
              <w:jc w:val="both"/>
              <w:rPr>
                <w:b/>
              </w:rPr>
            </w:pPr>
            <w:r>
              <w:rPr>
                <w:b/>
              </w:rPr>
              <w:t>SGBV in the Current Syrian Conflict</w:t>
            </w:r>
          </w:p>
        </w:tc>
        <w:tc>
          <w:tcPr>
            <w:tcW w:w="799" w:type="dxa"/>
          </w:tcPr>
          <w:p w14:paraId="1EBA751B" w14:textId="77777777" w:rsidR="009C600B" w:rsidRDefault="009C600B" w:rsidP="00C23DC4">
            <w:pPr>
              <w:jc w:val="right"/>
            </w:pPr>
          </w:p>
          <w:p w14:paraId="722B4BF8" w14:textId="08F66A7C" w:rsidR="009C600B" w:rsidRPr="00E0001C" w:rsidRDefault="00E0001C" w:rsidP="00404FDD">
            <w:pPr>
              <w:jc w:val="right"/>
              <w:rPr>
                <w:b/>
              </w:rPr>
            </w:pPr>
            <w:r w:rsidRPr="00E0001C">
              <w:rPr>
                <w:b/>
              </w:rPr>
              <w:t>2</w:t>
            </w:r>
            <w:r w:rsidR="00820E46">
              <w:rPr>
                <w:b/>
              </w:rPr>
              <w:t>7</w:t>
            </w:r>
          </w:p>
        </w:tc>
      </w:tr>
      <w:tr w:rsidR="009C600B" w:rsidRPr="002E5DDF" w14:paraId="28B151B8" w14:textId="77777777" w:rsidTr="00563A8E">
        <w:tc>
          <w:tcPr>
            <w:tcW w:w="8217" w:type="dxa"/>
          </w:tcPr>
          <w:p w14:paraId="7E9F7248" w14:textId="73067205" w:rsidR="009C600B" w:rsidRPr="009C600B" w:rsidRDefault="00E0001C" w:rsidP="00C23DC4">
            <w:pPr>
              <w:jc w:val="both"/>
            </w:pPr>
            <w:r>
              <w:t>Intimate Partner Violence</w:t>
            </w:r>
          </w:p>
        </w:tc>
        <w:tc>
          <w:tcPr>
            <w:tcW w:w="799" w:type="dxa"/>
          </w:tcPr>
          <w:p w14:paraId="45F02467" w14:textId="0D8B8746" w:rsidR="009C600B" w:rsidRPr="002E5DDF" w:rsidRDefault="00563A8E" w:rsidP="00C23DC4">
            <w:pPr>
              <w:jc w:val="right"/>
            </w:pPr>
            <w:r>
              <w:t>2</w:t>
            </w:r>
            <w:r w:rsidR="00820E46">
              <w:t>8</w:t>
            </w:r>
          </w:p>
        </w:tc>
      </w:tr>
      <w:tr w:rsidR="009C600B" w:rsidRPr="002E5DDF" w14:paraId="61638383" w14:textId="77777777" w:rsidTr="00563A8E">
        <w:tc>
          <w:tcPr>
            <w:tcW w:w="8217" w:type="dxa"/>
          </w:tcPr>
          <w:p w14:paraId="3598D291" w14:textId="557418A6" w:rsidR="009C600B" w:rsidRPr="00E0001C" w:rsidRDefault="00E0001C" w:rsidP="00C23DC4">
            <w:pPr>
              <w:jc w:val="both"/>
            </w:pPr>
            <w:r>
              <w:t>Survival Sex</w:t>
            </w:r>
          </w:p>
          <w:p w14:paraId="42D2CC88" w14:textId="280C3974" w:rsidR="009C600B" w:rsidRPr="00E0001C" w:rsidRDefault="00E0001C" w:rsidP="00C23DC4">
            <w:pPr>
              <w:jc w:val="both"/>
            </w:pPr>
            <w:r>
              <w:t>Statelessness</w:t>
            </w:r>
          </w:p>
        </w:tc>
        <w:tc>
          <w:tcPr>
            <w:tcW w:w="799" w:type="dxa"/>
          </w:tcPr>
          <w:p w14:paraId="2BFD5EAA" w14:textId="376C732B" w:rsidR="009C600B" w:rsidRDefault="00820E46" w:rsidP="00C23DC4">
            <w:pPr>
              <w:jc w:val="right"/>
            </w:pPr>
            <w:r>
              <w:t>29</w:t>
            </w:r>
          </w:p>
          <w:p w14:paraId="322570C2" w14:textId="726F1AAB" w:rsidR="009C600B" w:rsidRPr="002E5DDF" w:rsidRDefault="00563A8E" w:rsidP="00C23DC4">
            <w:pPr>
              <w:jc w:val="right"/>
            </w:pPr>
            <w:r>
              <w:t>2</w:t>
            </w:r>
            <w:r w:rsidR="00820E46">
              <w:t>9</w:t>
            </w:r>
          </w:p>
        </w:tc>
      </w:tr>
      <w:tr w:rsidR="009C600B" w:rsidRPr="002E5DDF" w14:paraId="2A18F2DE" w14:textId="77777777" w:rsidTr="00563A8E">
        <w:tc>
          <w:tcPr>
            <w:tcW w:w="8217" w:type="dxa"/>
          </w:tcPr>
          <w:p w14:paraId="41B92BE8" w14:textId="3CE57B8F" w:rsidR="009C600B" w:rsidRPr="00E0001C" w:rsidRDefault="00E0001C" w:rsidP="00C23DC4">
            <w:pPr>
              <w:jc w:val="both"/>
            </w:pPr>
            <w:r>
              <w:t>Declar</w:t>
            </w:r>
            <w:r w:rsidRPr="00E0001C">
              <w:t>ation on Preventing Sexual Violence in Conflict</w:t>
            </w:r>
          </w:p>
          <w:p w14:paraId="0CEF0306" w14:textId="77777777" w:rsidR="00E0001C" w:rsidRDefault="00E0001C" w:rsidP="00C23DC4">
            <w:pPr>
              <w:jc w:val="both"/>
              <w:rPr>
                <w:b/>
              </w:rPr>
            </w:pPr>
          </w:p>
          <w:p w14:paraId="77D62BA9" w14:textId="511107A5" w:rsidR="009C600B" w:rsidRPr="009C600B" w:rsidRDefault="00E0001C" w:rsidP="00C23DC4">
            <w:pPr>
              <w:jc w:val="both"/>
              <w:rPr>
                <w:b/>
              </w:rPr>
            </w:pPr>
            <w:r>
              <w:rPr>
                <w:b/>
              </w:rPr>
              <w:t>Conclusion</w:t>
            </w:r>
          </w:p>
        </w:tc>
        <w:tc>
          <w:tcPr>
            <w:tcW w:w="799" w:type="dxa"/>
          </w:tcPr>
          <w:p w14:paraId="6E55DE10" w14:textId="3652D1B3" w:rsidR="009C600B" w:rsidRDefault="00820E46" w:rsidP="00C23DC4">
            <w:pPr>
              <w:jc w:val="right"/>
            </w:pPr>
            <w:r>
              <w:t>29</w:t>
            </w:r>
          </w:p>
          <w:p w14:paraId="6F350CC3" w14:textId="77777777" w:rsidR="00404FDD" w:rsidRDefault="00404FDD" w:rsidP="00C23DC4">
            <w:pPr>
              <w:jc w:val="right"/>
            </w:pPr>
          </w:p>
          <w:p w14:paraId="613785E8" w14:textId="5E054995" w:rsidR="009C600B" w:rsidRPr="00E0001C" w:rsidRDefault="00820E46" w:rsidP="00C23DC4">
            <w:pPr>
              <w:jc w:val="right"/>
              <w:rPr>
                <w:b/>
              </w:rPr>
            </w:pPr>
            <w:r>
              <w:rPr>
                <w:b/>
              </w:rPr>
              <w:t>30</w:t>
            </w:r>
          </w:p>
        </w:tc>
      </w:tr>
      <w:tr w:rsidR="009C600B" w:rsidRPr="002E5DDF" w14:paraId="30172A07" w14:textId="77777777" w:rsidTr="00563A8E">
        <w:tc>
          <w:tcPr>
            <w:tcW w:w="8217" w:type="dxa"/>
          </w:tcPr>
          <w:p w14:paraId="1A2A0378" w14:textId="77777777" w:rsidR="009C600B" w:rsidRDefault="009C600B" w:rsidP="00C23DC4">
            <w:pPr>
              <w:jc w:val="both"/>
              <w:rPr>
                <w:b/>
              </w:rPr>
            </w:pPr>
          </w:p>
          <w:p w14:paraId="58D3DDBF" w14:textId="154A85B0" w:rsidR="009C600B" w:rsidRPr="009C600B" w:rsidRDefault="00E0001C" w:rsidP="00C23DC4">
            <w:pPr>
              <w:jc w:val="both"/>
              <w:rPr>
                <w:b/>
              </w:rPr>
            </w:pPr>
            <w:r>
              <w:rPr>
                <w:b/>
              </w:rPr>
              <w:t>References</w:t>
            </w:r>
          </w:p>
        </w:tc>
        <w:tc>
          <w:tcPr>
            <w:tcW w:w="799" w:type="dxa"/>
          </w:tcPr>
          <w:p w14:paraId="52EEC958" w14:textId="77777777" w:rsidR="009C600B" w:rsidRDefault="009C600B" w:rsidP="00C23DC4">
            <w:pPr>
              <w:jc w:val="right"/>
            </w:pPr>
          </w:p>
          <w:p w14:paraId="2DAF1075" w14:textId="5B52D92A" w:rsidR="009C600B" w:rsidRPr="0000590C" w:rsidRDefault="0000590C" w:rsidP="00C23DC4">
            <w:pPr>
              <w:jc w:val="right"/>
              <w:rPr>
                <w:b/>
              </w:rPr>
            </w:pPr>
            <w:r>
              <w:rPr>
                <w:b/>
              </w:rPr>
              <w:t>3</w:t>
            </w:r>
            <w:r w:rsidR="00820E46">
              <w:rPr>
                <w:b/>
              </w:rPr>
              <w:t>1</w:t>
            </w:r>
          </w:p>
        </w:tc>
      </w:tr>
      <w:tr w:rsidR="009C600B" w:rsidRPr="002E5DDF" w14:paraId="17472DDC" w14:textId="77777777" w:rsidTr="00563A8E">
        <w:tc>
          <w:tcPr>
            <w:tcW w:w="8217" w:type="dxa"/>
          </w:tcPr>
          <w:p w14:paraId="03B41A00" w14:textId="77777777" w:rsidR="009C600B" w:rsidRDefault="009C600B" w:rsidP="00C23DC4">
            <w:pPr>
              <w:jc w:val="both"/>
            </w:pPr>
          </w:p>
          <w:p w14:paraId="2F56221B" w14:textId="728B20E1" w:rsidR="009C600B" w:rsidRPr="009C600B" w:rsidRDefault="0000590C" w:rsidP="00C23DC4">
            <w:pPr>
              <w:jc w:val="both"/>
              <w:rPr>
                <w:b/>
              </w:rPr>
            </w:pPr>
            <w:r>
              <w:rPr>
                <w:b/>
              </w:rPr>
              <w:t>Appendix</w:t>
            </w:r>
            <w:r w:rsidR="009145AD">
              <w:rPr>
                <w:b/>
              </w:rPr>
              <w:t xml:space="preserve"> – Binding International Law Instruments Relevant to SGBV</w:t>
            </w:r>
          </w:p>
        </w:tc>
        <w:tc>
          <w:tcPr>
            <w:tcW w:w="799" w:type="dxa"/>
          </w:tcPr>
          <w:p w14:paraId="166730D1" w14:textId="77777777" w:rsidR="009C600B" w:rsidRDefault="009C600B" w:rsidP="00C23DC4">
            <w:pPr>
              <w:jc w:val="right"/>
            </w:pPr>
          </w:p>
          <w:p w14:paraId="0FC86E96" w14:textId="756F518A" w:rsidR="009C600B" w:rsidRPr="00506E04" w:rsidRDefault="009145AD" w:rsidP="00C23DC4">
            <w:pPr>
              <w:jc w:val="right"/>
              <w:rPr>
                <w:b/>
              </w:rPr>
            </w:pPr>
            <w:r w:rsidRPr="00506E04">
              <w:rPr>
                <w:b/>
              </w:rPr>
              <w:t>3</w:t>
            </w:r>
            <w:r w:rsidR="00820E46">
              <w:rPr>
                <w:b/>
              </w:rPr>
              <w:t>5</w:t>
            </w:r>
          </w:p>
        </w:tc>
      </w:tr>
      <w:tr w:rsidR="009C600B" w:rsidRPr="002E5DDF" w14:paraId="67ECE13F" w14:textId="77777777" w:rsidTr="00563A8E">
        <w:tc>
          <w:tcPr>
            <w:tcW w:w="8217" w:type="dxa"/>
          </w:tcPr>
          <w:p w14:paraId="0173F3B6" w14:textId="15EBFBDC" w:rsidR="009145AD" w:rsidRPr="009145AD" w:rsidRDefault="009145AD" w:rsidP="009145AD">
            <w:pPr>
              <w:jc w:val="both"/>
              <w:rPr>
                <w:rFonts w:eastAsia="Times New Roman"/>
              </w:rPr>
            </w:pPr>
            <w:r w:rsidRPr="009145AD">
              <w:rPr>
                <w:rFonts w:eastAsia="Times New Roman"/>
              </w:rPr>
              <w:t xml:space="preserve">International Human Rights </w:t>
            </w:r>
            <w:r w:rsidR="00506E04">
              <w:rPr>
                <w:rFonts w:eastAsia="Times New Roman"/>
              </w:rPr>
              <w:t>Instruments</w:t>
            </w:r>
          </w:p>
          <w:p w14:paraId="2C947C29" w14:textId="7686C2E5" w:rsidR="009C600B" w:rsidRPr="00506E04" w:rsidRDefault="00506E04" w:rsidP="00506E04">
            <w:pPr>
              <w:jc w:val="both"/>
              <w:rPr>
                <w:rFonts w:eastAsia="Times New Roman"/>
              </w:rPr>
            </w:pPr>
            <w:r w:rsidRPr="00506E04">
              <w:rPr>
                <w:rFonts w:eastAsia="Times New Roman"/>
              </w:rPr>
              <w:t>Regional Human Rights Instruments</w:t>
            </w:r>
          </w:p>
        </w:tc>
        <w:tc>
          <w:tcPr>
            <w:tcW w:w="799" w:type="dxa"/>
          </w:tcPr>
          <w:p w14:paraId="576C0A35" w14:textId="0E20F5DB" w:rsidR="009C600B" w:rsidRDefault="00506E04" w:rsidP="00C23DC4">
            <w:pPr>
              <w:jc w:val="right"/>
            </w:pPr>
            <w:r>
              <w:t>3</w:t>
            </w:r>
            <w:r w:rsidR="00820E46">
              <w:t>5</w:t>
            </w:r>
          </w:p>
          <w:p w14:paraId="66D080DF" w14:textId="2C6286B0" w:rsidR="009C600B" w:rsidRPr="002E5DDF" w:rsidRDefault="00506E04" w:rsidP="00C23DC4">
            <w:pPr>
              <w:jc w:val="right"/>
            </w:pPr>
            <w:r>
              <w:t>3</w:t>
            </w:r>
            <w:r w:rsidR="00820E46">
              <w:t>7</w:t>
            </w:r>
          </w:p>
        </w:tc>
      </w:tr>
      <w:tr w:rsidR="009C600B" w:rsidRPr="002E5DDF" w14:paraId="49AF585E" w14:textId="77777777" w:rsidTr="00563A8E">
        <w:tc>
          <w:tcPr>
            <w:tcW w:w="8217" w:type="dxa"/>
          </w:tcPr>
          <w:p w14:paraId="058A1FDB" w14:textId="4B57FF14" w:rsidR="009C600B" w:rsidRPr="00506E04" w:rsidRDefault="00506E04" w:rsidP="00C23DC4">
            <w:pPr>
              <w:jc w:val="both"/>
              <w:rPr>
                <w:rFonts w:eastAsia="Times New Roman"/>
              </w:rPr>
            </w:pPr>
            <w:r w:rsidRPr="00506E04">
              <w:rPr>
                <w:rFonts w:eastAsia="Times New Roman"/>
              </w:rPr>
              <w:t>International Humanitarian Law Instruments</w:t>
            </w:r>
            <w:r>
              <w:rPr>
                <w:rFonts w:eastAsia="Times New Roman"/>
              </w:rPr>
              <w:t xml:space="preserve"> </w:t>
            </w:r>
            <w:r w:rsidRPr="00506E04">
              <w:rPr>
                <w:rFonts w:eastAsia="Times New Roman"/>
              </w:rPr>
              <w:t>– International Armed Conflicts</w:t>
            </w:r>
          </w:p>
          <w:p w14:paraId="2FE3D2D8" w14:textId="29745437" w:rsidR="00506E04" w:rsidRPr="00506E04" w:rsidRDefault="00506E04" w:rsidP="00506E04">
            <w:pPr>
              <w:jc w:val="both"/>
              <w:rPr>
                <w:rFonts w:eastAsia="Times New Roman"/>
              </w:rPr>
            </w:pPr>
            <w:r w:rsidRPr="00506E04">
              <w:rPr>
                <w:rFonts w:eastAsia="Times New Roman"/>
              </w:rPr>
              <w:t>International Humanitarian Law Instruments</w:t>
            </w:r>
            <w:r>
              <w:rPr>
                <w:rFonts w:eastAsia="Times New Roman"/>
              </w:rPr>
              <w:t xml:space="preserve"> </w:t>
            </w:r>
            <w:r w:rsidRPr="00506E04">
              <w:rPr>
                <w:rFonts w:eastAsia="Times New Roman"/>
              </w:rPr>
              <w:t xml:space="preserve">– </w:t>
            </w:r>
            <w:r>
              <w:rPr>
                <w:rFonts w:eastAsia="Times New Roman"/>
              </w:rPr>
              <w:t>Non-</w:t>
            </w:r>
            <w:r w:rsidRPr="00506E04">
              <w:rPr>
                <w:rFonts w:eastAsia="Times New Roman"/>
              </w:rPr>
              <w:t>International Armed Conflicts</w:t>
            </w:r>
          </w:p>
          <w:p w14:paraId="1EF4D29A" w14:textId="0579E21B" w:rsidR="009C600B" w:rsidRPr="002E5DDF" w:rsidRDefault="009C600B" w:rsidP="00C23DC4">
            <w:pPr>
              <w:jc w:val="both"/>
              <w:rPr>
                <w:b/>
              </w:rPr>
            </w:pPr>
          </w:p>
        </w:tc>
        <w:tc>
          <w:tcPr>
            <w:tcW w:w="799" w:type="dxa"/>
          </w:tcPr>
          <w:p w14:paraId="314020B5" w14:textId="6C016B3D" w:rsidR="009C600B" w:rsidRDefault="00820E46" w:rsidP="00C23DC4">
            <w:pPr>
              <w:jc w:val="right"/>
            </w:pPr>
            <w:r>
              <w:t>38</w:t>
            </w:r>
          </w:p>
          <w:p w14:paraId="054E4DD3" w14:textId="456E5177" w:rsidR="009C600B" w:rsidRDefault="00820E46" w:rsidP="00C23DC4">
            <w:pPr>
              <w:jc w:val="right"/>
            </w:pPr>
            <w:r>
              <w:t>39</w:t>
            </w:r>
          </w:p>
          <w:p w14:paraId="04339387" w14:textId="5D13AA30" w:rsidR="00506E04" w:rsidRPr="002E5DDF" w:rsidRDefault="00506E04" w:rsidP="00C23DC4">
            <w:pPr>
              <w:jc w:val="right"/>
            </w:pPr>
          </w:p>
        </w:tc>
      </w:tr>
    </w:tbl>
    <w:p w14:paraId="34ED1E78" w14:textId="77777777" w:rsidR="003F5E48" w:rsidRDefault="003F5E48" w:rsidP="00DB3ABD">
      <w:pPr>
        <w:jc w:val="both"/>
        <w:rPr>
          <w:u w:val="single"/>
        </w:rPr>
      </w:pPr>
    </w:p>
    <w:p w14:paraId="07B6B55E" w14:textId="77777777" w:rsidR="00113687" w:rsidRDefault="00113687" w:rsidP="00DB3ABD">
      <w:pPr>
        <w:jc w:val="both"/>
        <w:rPr>
          <w:u w:val="single"/>
        </w:rPr>
      </w:pPr>
    </w:p>
    <w:p w14:paraId="1B562E27" w14:textId="3E3C6ACF" w:rsidR="00FB2E7F" w:rsidRPr="00FB2E7F" w:rsidRDefault="003F5E48" w:rsidP="00CB539C">
      <w:pPr>
        <w:spacing w:after="160" w:line="259" w:lineRule="auto"/>
        <w:rPr>
          <w:u w:val="single"/>
        </w:rPr>
      </w:pPr>
      <w:r>
        <w:rPr>
          <w:u w:val="single"/>
        </w:rPr>
        <w:br w:type="page"/>
      </w:r>
    </w:p>
    <w:p w14:paraId="64853C58" w14:textId="24EA5884" w:rsidR="00C1042E" w:rsidRPr="004676D3" w:rsidRDefault="00C1042E" w:rsidP="00FB2E7F">
      <w:pPr>
        <w:spacing w:after="160" w:line="259" w:lineRule="auto"/>
        <w:rPr>
          <w:rFonts w:eastAsia="Times New Roman"/>
          <w:b/>
          <w:u w:val="single"/>
        </w:rPr>
      </w:pPr>
      <w:r w:rsidRPr="004676D3">
        <w:rPr>
          <w:rFonts w:eastAsia="Times New Roman"/>
          <w:b/>
          <w:u w:val="single"/>
        </w:rPr>
        <w:lastRenderedPageBreak/>
        <w:t>INTRODUCTION</w:t>
      </w:r>
    </w:p>
    <w:p w14:paraId="6668D881" w14:textId="77777777" w:rsidR="00C1042E" w:rsidRDefault="00C1042E" w:rsidP="00C1042E">
      <w:pPr>
        <w:jc w:val="both"/>
        <w:rPr>
          <w:rFonts w:eastAsia="Times New Roman"/>
        </w:rPr>
      </w:pPr>
    </w:p>
    <w:p w14:paraId="5F46B337" w14:textId="0238BDC0" w:rsidR="00C1042E" w:rsidRPr="00DB723E" w:rsidRDefault="00C1042E" w:rsidP="00C1042E">
      <w:pPr>
        <w:jc w:val="both"/>
        <w:rPr>
          <w:rFonts w:eastAsia="Times New Roman"/>
        </w:rPr>
      </w:pPr>
      <w:r>
        <w:rPr>
          <w:rFonts w:eastAsia="Times New Roman"/>
        </w:rPr>
        <w:t>The term</w:t>
      </w:r>
      <w:r w:rsidRPr="00DB723E">
        <w:rPr>
          <w:rFonts w:eastAsia="Times New Roman"/>
        </w:rPr>
        <w:t xml:space="preserve"> ‘sexual and gender-based violence’</w:t>
      </w:r>
      <w:r>
        <w:rPr>
          <w:rFonts w:eastAsia="Times New Roman"/>
        </w:rPr>
        <w:t xml:space="preserve"> (SGBV) </w:t>
      </w:r>
      <w:r w:rsidRPr="00DB723E">
        <w:rPr>
          <w:rFonts w:eastAsia="Times New Roman"/>
        </w:rPr>
        <w:t xml:space="preserve">has gained prominence </w:t>
      </w:r>
      <w:r>
        <w:rPr>
          <w:rFonts w:eastAsia="Times New Roman"/>
        </w:rPr>
        <w:t xml:space="preserve">in international human rights documents and within </w:t>
      </w:r>
      <w:r w:rsidR="00C54EB3">
        <w:rPr>
          <w:rFonts w:eastAsia="Times New Roman"/>
        </w:rPr>
        <w:t xml:space="preserve">the </w:t>
      </w:r>
      <w:r>
        <w:rPr>
          <w:rFonts w:eastAsia="Times New Roman"/>
        </w:rPr>
        <w:t>academic discourse relating to refugees. The SEREDA project (</w:t>
      </w:r>
      <w:proofErr w:type="spellStart"/>
      <w:r w:rsidRPr="00BF3AC7">
        <w:rPr>
          <w:rFonts w:eastAsia="Times New Roman"/>
          <w:b/>
        </w:rPr>
        <w:t>SE</w:t>
      </w:r>
      <w:r>
        <w:rPr>
          <w:rFonts w:eastAsia="Times New Roman"/>
        </w:rPr>
        <w:t>xual</w:t>
      </w:r>
      <w:proofErr w:type="spellEnd"/>
      <w:r>
        <w:rPr>
          <w:rFonts w:eastAsia="Times New Roman"/>
        </w:rPr>
        <w:t xml:space="preserve"> and Gender Based Violence in the </w:t>
      </w:r>
      <w:proofErr w:type="spellStart"/>
      <w:r w:rsidRPr="00BF3AC7">
        <w:rPr>
          <w:rFonts w:eastAsia="Times New Roman"/>
          <w:b/>
        </w:rPr>
        <w:t>RE</w:t>
      </w:r>
      <w:r>
        <w:rPr>
          <w:rFonts w:eastAsia="Times New Roman"/>
        </w:rPr>
        <w:t>fugee</w:t>
      </w:r>
      <w:proofErr w:type="spellEnd"/>
      <w:r>
        <w:rPr>
          <w:rFonts w:eastAsia="Times New Roman"/>
        </w:rPr>
        <w:t xml:space="preserve"> Context: From </w:t>
      </w:r>
      <w:r w:rsidRPr="00BF3AC7">
        <w:rPr>
          <w:rFonts w:eastAsia="Times New Roman"/>
          <w:b/>
        </w:rPr>
        <w:t>D</w:t>
      </w:r>
      <w:r>
        <w:rPr>
          <w:rFonts w:eastAsia="Times New Roman"/>
        </w:rPr>
        <w:t xml:space="preserve">isplacement to </w:t>
      </w:r>
      <w:r w:rsidRPr="00BF3AC7">
        <w:rPr>
          <w:rFonts w:eastAsia="Times New Roman"/>
          <w:b/>
        </w:rPr>
        <w:t>A</w:t>
      </w:r>
      <w:r>
        <w:rPr>
          <w:rFonts w:eastAsia="Times New Roman"/>
        </w:rPr>
        <w:t>rrival) aims</w:t>
      </w:r>
      <w:r w:rsidRPr="00BF3AC7">
        <w:rPr>
          <w:rFonts w:eastAsia="Times New Roman"/>
        </w:rPr>
        <w:t xml:space="preserve"> to understand </w:t>
      </w:r>
      <w:r>
        <w:rPr>
          <w:rFonts w:eastAsia="Times New Roman"/>
        </w:rPr>
        <w:t xml:space="preserve">the incidence and nature of </w:t>
      </w:r>
      <w:r w:rsidR="006003E8" w:rsidRPr="00551209">
        <w:rPr>
          <w:rFonts w:eastAsia="Times New Roman"/>
        </w:rPr>
        <w:t>SGBV</w:t>
      </w:r>
      <w:r w:rsidRPr="00BF3AC7">
        <w:rPr>
          <w:rFonts w:eastAsia="Times New Roman"/>
        </w:rPr>
        <w:t xml:space="preserve"> expe</w:t>
      </w:r>
      <w:r>
        <w:rPr>
          <w:rFonts w:eastAsia="Times New Roman"/>
        </w:rPr>
        <w:t xml:space="preserve">rienced by </w:t>
      </w:r>
      <w:r w:rsidRPr="00BF3AC7">
        <w:rPr>
          <w:rFonts w:eastAsia="Times New Roman"/>
        </w:rPr>
        <w:t>refugees who have fled conflict in the Levant Region. </w:t>
      </w:r>
    </w:p>
    <w:p w14:paraId="36562377" w14:textId="77777777" w:rsidR="00C1042E" w:rsidRDefault="00C1042E" w:rsidP="00C1042E">
      <w:pPr>
        <w:jc w:val="both"/>
        <w:rPr>
          <w:rFonts w:eastAsia="Times New Roman"/>
        </w:rPr>
      </w:pPr>
    </w:p>
    <w:p w14:paraId="219B67F2" w14:textId="7653EF8A" w:rsidR="00C1042E" w:rsidRDefault="00C1042E" w:rsidP="00C1042E">
      <w:pPr>
        <w:jc w:val="both"/>
        <w:rPr>
          <w:rFonts w:eastAsia="Times New Roman"/>
        </w:rPr>
      </w:pPr>
      <w:r>
        <w:rPr>
          <w:rFonts w:eastAsia="Times New Roman"/>
        </w:rPr>
        <w:t xml:space="preserve">This working paper provides an overview of how key terms relating to </w:t>
      </w:r>
      <w:r w:rsidR="006003E8">
        <w:rPr>
          <w:rFonts w:eastAsia="Times New Roman"/>
        </w:rPr>
        <w:t>SGBV</w:t>
      </w:r>
      <w:r>
        <w:rPr>
          <w:rFonts w:eastAsia="Times New Roman"/>
        </w:rPr>
        <w:t xml:space="preserve"> have been defined and how these terms may apply in the refugee context. </w:t>
      </w:r>
      <w:bookmarkStart w:id="1" w:name="_Hlk525568180"/>
      <w:r>
        <w:rPr>
          <w:rFonts w:eastAsia="Times New Roman"/>
        </w:rPr>
        <w:t xml:space="preserve">Definitions are important to increase understanding of what is occurring in </w:t>
      </w:r>
      <w:r w:rsidR="00B41837">
        <w:rPr>
          <w:rFonts w:eastAsia="Times New Roman"/>
        </w:rPr>
        <w:t>this</w:t>
      </w:r>
      <w:r>
        <w:rPr>
          <w:rFonts w:eastAsia="Times New Roman"/>
        </w:rPr>
        <w:t xml:space="preserve"> context, enable proper data collection, establish legal and other methods of redress and most importantly, to support work towards the prevention of such violence.  While there is no consensus at present as to what constitutes </w:t>
      </w:r>
      <w:r w:rsidR="006003E8">
        <w:rPr>
          <w:rFonts w:eastAsia="Times New Roman"/>
        </w:rPr>
        <w:t>SGBV</w:t>
      </w:r>
      <w:r>
        <w:rPr>
          <w:rFonts w:eastAsia="Times New Roman"/>
        </w:rPr>
        <w:t>, it appears that a broad definition will best assist for the purposes of redress and prevention.</w:t>
      </w:r>
      <w:bookmarkEnd w:id="1"/>
    </w:p>
    <w:p w14:paraId="61EF6EFA" w14:textId="77777777" w:rsidR="00C1042E" w:rsidRDefault="00C1042E" w:rsidP="00C1042E">
      <w:pPr>
        <w:jc w:val="both"/>
        <w:rPr>
          <w:rFonts w:eastAsia="Times New Roman"/>
        </w:rPr>
      </w:pPr>
    </w:p>
    <w:p w14:paraId="39815246" w14:textId="0D19683D" w:rsidR="00C1042E" w:rsidRDefault="00C1042E" w:rsidP="00C1042E">
      <w:pPr>
        <w:jc w:val="both"/>
        <w:rPr>
          <w:rFonts w:eastAsia="Times New Roman"/>
        </w:rPr>
      </w:pPr>
      <w:r>
        <w:rPr>
          <w:rFonts w:eastAsia="Times New Roman"/>
        </w:rPr>
        <w:t xml:space="preserve">This introduction outlines different definitions of gender-based violence and sexual violence. The paper then examines how a broad definition of </w:t>
      </w:r>
      <w:r w:rsidR="00342C4C">
        <w:rPr>
          <w:rFonts w:eastAsia="Times New Roman"/>
        </w:rPr>
        <w:t>SGBV</w:t>
      </w:r>
      <w:r>
        <w:rPr>
          <w:rFonts w:eastAsia="Times New Roman"/>
        </w:rPr>
        <w:t xml:space="preserve"> has been used to explore current practices in conflict settings before turning to concepts of structured and physical violence.</w:t>
      </w:r>
    </w:p>
    <w:p w14:paraId="313E1F06" w14:textId="77777777" w:rsidR="00C1042E" w:rsidRDefault="00C1042E" w:rsidP="00C1042E">
      <w:pPr>
        <w:jc w:val="both"/>
        <w:rPr>
          <w:rFonts w:eastAsia="Times New Roman"/>
        </w:rPr>
      </w:pPr>
    </w:p>
    <w:p w14:paraId="3738E99E" w14:textId="55BCFE5A" w:rsidR="00C1042E" w:rsidRDefault="00C1042E" w:rsidP="00C1042E">
      <w:pPr>
        <w:jc w:val="both"/>
        <w:rPr>
          <w:rFonts w:eastAsia="Times New Roman"/>
        </w:rPr>
      </w:pPr>
      <w:r>
        <w:rPr>
          <w:rFonts w:eastAsia="Times New Roman"/>
        </w:rPr>
        <w:t xml:space="preserve">The international community’s approach to </w:t>
      </w:r>
      <w:r w:rsidR="00A61824">
        <w:rPr>
          <w:rFonts w:eastAsia="Times New Roman"/>
        </w:rPr>
        <w:t>SGBV</w:t>
      </w:r>
      <w:r>
        <w:rPr>
          <w:rFonts w:eastAsia="Times New Roman"/>
        </w:rPr>
        <w:t xml:space="preserve"> is then set out, with attention paid to definitions in Conventions and under international law. The next section examines recent literature exploring what </w:t>
      </w:r>
      <w:r w:rsidRPr="00E759D3">
        <w:rPr>
          <w:rFonts w:eastAsia="Times New Roman"/>
        </w:rPr>
        <w:t>gender</w:t>
      </w:r>
      <w:r>
        <w:rPr>
          <w:rFonts w:eastAsia="Times New Roman"/>
        </w:rPr>
        <w:t xml:space="preserve"> means</w:t>
      </w:r>
      <w:r w:rsidRPr="00E759D3">
        <w:rPr>
          <w:rFonts w:eastAsia="Times New Roman"/>
        </w:rPr>
        <w:t xml:space="preserve"> in the context o</w:t>
      </w:r>
      <w:r>
        <w:rPr>
          <w:rFonts w:eastAsia="Times New Roman"/>
        </w:rPr>
        <w:t xml:space="preserve">f </w:t>
      </w:r>
      <w:r w:rsidR="00A61824">
        <w:rPr>
          <w:rFonts w:eastAsia="Times New Roman"/>
        </w:rPr>
        <w:t>SGBV</w:t>
      </w:r>
      <w:r>
        <w:rPr>
          <w:rFonts w:eastAsia="Times New Roman"/>
        </w:rPr>
        <w:t xml:space="preserve"> and outlines debates about who should be the primary focus of humanitarian intervention. The final section deals with reports of </w:t>
      </w:r>
      <w:r w:rsidR="00A61824">
        <w:rPr>
          <w:rFonts w:eastAsia="Times New Roman"/>
        </w:rPr>
        <w:t>SGBV</w:t>
      </w:r>
      <w:r>
        <w:rPr>
          <w:rFonts w:eastAsia="Times New Roman"/>
        </w:rPr>
        <w:t xml:space="preserve"> related to the current conflict in Syria.</w:t>
      </w:r>
    </w:p>
    <w:p w14:paraId="1D673455" w14:textId="77777777" w:rsidR="00C1042E" w:rsidRDefault="00C1042E" w:rsidP="00C1042E">
      <w:pPr>
        <w:jc w:val="both"/>
        <w:rPr>
          <w:rFonts w:eastAsia="Times New Roman"/>
        </w:rPr>
      </w:pPr>
    </w:p>
    <w:p w14:paraId="1B4F63DE" w14:textId="77777777" w:rsidR="00C1042E" w:rsidRDefault="00C1042E" w:rsidP="00C1042E">
      <w:pPr>
        <w:jc w:val="both"/>
        <w:rPr>
          <w:rFonts w:eastAsia="Times New Roman"/>
        </w:rPr>
      </w:pPr>
    </w:p>
    <w:p w14:paraId="4FB6FDF6" w14:textId="77777777" w:rsidR="00C1042E" w:rsidRDefault="00C1042E" w:rsidP="00C1042E">
      <w:pPr>
        <w:jc w:val="both"/>
        <w:rPr>
          <w:rFonts w:eastAsia="Times New Roman"/>
          <w:b/>
          <w:i/>
        </w:rPr>
      </w:pPr>
      <w:r>
        <w:rPr>
          <w:rFonts w:eastAsia="Times New Roman"/>
          <w:b/>
          <w:i/>
        </w:rPr>
        <w:t>Gender-Based Violence</w:t>
      </w:r>
    </w:p>
    <w:p w14:paraId="3A3996B1" w14:textId="77777777" w:rsidR="00C1042E" w:rsidRPr="00334544" w:rsidRDefault="00C1042E" w:rsidP="00C1042E">
      <w:pPr>
        <w:jc w:val="both"/>
        <w:rPr>
          <w:rFonts w:eastAsia="Times New Roman"/>
          <w:b/>
          <w:i/>
        </w:rPr>
      </w:pPr>
    </w:p>
    <w:p w14:paraId="4E56D359" w14:textId="77777777" w:rsidR="00C1042E" w:rsidRDefault="00C1042E" w:rsidP="00C1042E">
      <w:pPr>
        <w:jc w:val="both"/>
        <w:rPr>
          <w:rFonts w:eastAsia="Times New Roman"/>
        </w:rPr>
      </w:pPr>
      <w:r>
        <w:rPr>
          <w:rFonts w:eastAsia="Times New Roman"/>
        </w:rPr>
        <w:t>‘Gender-based violence’ is an umbrella term that has not been universally defined. A narrow interpretation confines the term to meaning rape and related sexual assault.</w:t>
      </w:r>
      <w:r>
        <w:rPr>
          <w:rStyle w:val="FootnoteReference"/>
          <w:rFonts w:eastAsia="Times New Roman"/>
        </w:rPr>
        <w:footnoteReference w:id="1"/>
      </w:r>
      <w:r>
        <w:rPr>
          <w:rFonts w:eastAsia="Times New Roman"/>
        </w:rPr>
        <w:t xml:space="preserve"> More commonly, the term has been used to cover a spectrum of violence involving a gendered element such as domestic violence, human trafficking, harmful traditional practices (such as female genital mutilation and both early and forced marriage), as well as other forms of physical and emotional abuse.</w:t>
      </w:r>
      <w:r w:rsidRPr="003655E9">
        <w:rPr>
          <w:rStyle w:val="FootnoteReference"/>
          <w:rFonts w:eastAsia="Times New Roman" w:cs="Times New Roman"/>
        </w:rPr>
        <w:footnoteReference w:id="2"/>
      </w:r>
      <w:r>
        <w:rPr>
          <w:rFonts w:eastAsia="Times New Roman"/>
        </w:rPr>
        <w:t xml:space="preserve"> </w:t>
      </w:r>
    </w:p>
    <w:p w14:paraId="73F6EF5F" w14:textId="77777777" w:rsidR="00C1042E" w:rsidRDefault="00C1042E" w:rsidP="00C1042E">
      <w:pPr>
        <w:jc w:val="both"/>
        <w:rPr>
          <w:rFonts w:eastAsia="Times New Roman"/>
        </w:rPr>
      </w:pPr>
    </w:p>
    <w:p w14:paraId="6349FAE2" w14:textId="77777777" w:rsidR="00C1042E" w:rsidRDefault="00C1042E" w:rsidP="00C1042E">
      <w:pPr>
        <w:jc w:val="both"/>
        <w:rPr>
          <w:rFonts w:eastAsia="Times New Roman"/>
        </w:rPr>
      </w:pPr>
      <w:r>
        <w:rPr>
          <w:rFonts w:eastAsia="Times New Roman"/>
        </w:rPr>
        <w:t>A range of institutional factors have been identified as driving gender-based violence, however defined. These factors include gender inequality and discrimination, male-dominated power and control structures, and social and cultural attitudes about women and men.</w:t>
      </w:r>
      <w:r w:rsidRPr="00E93135">
        <w:rPr>
          <w:rStyle w:val="FootnoteReference"/>
          <w:rFonts w:eastAsia="Times New Roman"/>
        </w:rPr>
        <w:t xml:space="preserve"> </w:t>
      </w:r>
      <w:r w:rsidRPr="003655E9">
        <w:rPr>
          <w:rStyle w:val="FootnoteReference"/>
          <w:rFonts w:eastAsia="Times New Roman"/>
        </w:rPr>
        <w:footnoteReference w:id="3"/>
      </w:r>
      <w:r>
        <w:rPr>
          <w:rFonts w:eastAsia="Times New Roman"/>
        </w:rPr>
        <w:t xml:space="preserve"> Inequality and discrimination embedded in rigid gender power relations foster many social, cultural and economic norms which are discriminatory. This gender inequality lies at </w:t>
      </w:r>
      <w:r>
        <w:rPr>
          <w:rFonts w:eastAsia="Times New Roman"/>
        </w:rPr>
        <w:lastRenderedPageBreak/>
        <w:t>the core of all forms of gender-based violence in both conflict and non-conflict settings. The impact of this systemic discrimination is heightened at key intersections involving sexual orientation and gender identity, race, ethnicity, religion, economic status and disability, rendering individuals more vulnerable to violence, particularly in zones of conflict. In such conflict settings, existing discriminatory laws and norms are exacerbated, increasing vulnerability to gender-based violence, the severity of harm to survivors and their inability to seek redress.</w:t>
      </w:r>
      <w:r w:rsidRPr="003655E9">
        <w:rPr>
          <w:rStyle w:val="FootnoteReference"/>
        </w:rPr>
        <w:footnoteReference w:id="4"/>
      </w:r>
    </w:p>
    <w:p w14:paraId="282A952E" w14:textId="77777777" w:rsidR="00C1042E" w:rsidRDefault="00C1042E" w:rsidP="00C1042E">
      <w:pPr>
        <w:jc w:val="both"/>
        <w:rPr>
          <w:rFonts w:eastAsia="Times New Roman"/>
        </w:rPr>
      </w:pPr>
    </w:p>
    <w:p w14:paraId="04A9E0D4" w14:textId="77777777" w:rsidR="00C1042E" w:rsidRDefault="00C1042E" w:rsidP="00C1042E">
      <w:pPr>
        <w:jc w:val="both"/>
        <w:rPr>
          <w:rFonts w:eastAsia="Times New Roman"/>
        </w:rPr>
      </w:pPr>
      <w:r>
        <w:rPr>
          <w:rFonts w:eastAsia="Times New Roman"/>
        </w:rPr>
        <w:t>Globally, refugees experience the full spectrum of gender-based violence throughout the refugee experience, although much of the scholarly and international attention has been focused on sexual violence, such as rape and coerced sex.</w:t>
      </w:r>
      <w:r>
        <w:rPr>
          <w:rStyle w:val="FootnoteReference"/>
          <w:rFonts w:eastAsia="Times New Roman"/>
        </w:rPr>
        <w:footnoteReference w:id="5"/>
      </w:r>
      <w:r>
        <w:rPr>
          <w:rFonts w:eastAsia="Times New Roman"/>
        </w:rPr>
        <w:t xml:space="preserve"> While acknowledging that some male refugees experience gender-based violence, research indicates that most female refugees experience some form of it.</w:t>
      </w:r>
      <w:r w:rsidRPr="003655E9">
        <w:rPr>
          <w:rStyle w:val="FootnoteReference"/>
          <w:rFonts w:eastAsia="Times New Roman"/>
        </w:rPr>
        <w:footnoteReference w:id="6"/>
      </w:r>
      <w:r>
        <w:rPr>
          <w:rFonts w:eastAsia="Times New Roman"/>
        </w:rPr>
        <w:t xml:space="preserve"> While all persons are affected by violence</w:t>
      </w:r>
      <w:r w:rsidRPr="00DD2BFD">
        <w:rPr>
          <w:rFonts w:eastAsia="Times New Roman"/>
        </w:rPr>
        <w:t xml:space="preserve"> during times of conflict</w:t>
      </w:r>
      <w:r>
        <w:rPr>
          <w:rFonts w:eastAsia="Times New Roman"/>
        </w:rPr>
        <w:t>, women and girls are most at risk of gender-based violence due to the lack of social protection, safe access to services and the use of sexual violence as a weapon of war.</w:t>
      </w:r>
      <w:r>
        <w:rPr>
          <w:rStyle w:val="FootnoteReference"/>
          <w:rFonts w:eastAsia="Times New Roman"/>
        </w:rPr>
        <w:footnoteReference w:id="7"/>
      </w:r>
    </w:p>
    <w:p w14:paraId="0422D3B3" w14:textId="77777777" w:rsidR="00C1042E" w:rsidRDefault="00C1042E" w:rsidP="00C1042E">
      <w:pPr>
        <w:jc w:val="both"/>
        <w:rPr>
          <w:rFonts w:eastAsia="Times New Roman"/>
        </w:rPr>
      </w:pPr>
    </w:p>
    <w:p w14:paraId="472033B9" w14:textId="77777777" w:rsidR="00C1042E" w:rsidRDefault="00C1042E" w:rsidP="00C1042E">
      <w:pPr>
        <w:jc w:val="both"/>
        <w:rPr>
          <w:rFonts w:eastAsia="Times New Roman" w:cs="Times New Roman"/>
        </w:rPr>
      </w:pPr>
      <w:r w:rsidRPr="003655E9">
        <w:rPr>
          <w:rFonts w:eastAsia="Times New Roman" w:cs="Times New Roman"/>
        </w:rPr>
        <w:t xml:space="preserve">The physical consequences of </w:t>
      </w:r>
      <w:r>
        <w:rPr>
          <w:rFonts w:eastAsia="Times New Roman" w:cs="Times New Roman"/>
        </w:rPr>
        <w:t xml:space="preserve">gender-based </w:t>
      </w:r>
      <w:r w:rsidRPr="003655E9">
        <w:rPr>
          <w:rFonts w:eastAsia="Times New Roman" w:cs="Times New Roman"/>
        </w:rPr>
        <w:t xml:space="preserve">violence against </w:t>
      </w:r>
      <w:r>
        <w:rPr>
          <w:rFonts w:eastAsia="Times New Roman" w:cs="Times New Roman"/>
        </w:rPr>
        <w:t xml:space="preserve">female </w:t>
      </w:r>
      <w:r w:rsidRPr="003655E9">
        <w:rPr>
          <w:rFonts w:eastAsia="Times New Roman" w:cs="Times New Roman"/>
        </w:rPr>
        <w:t>refugee</w:t>
      </w:r>
      <w:r>
        <w:rPr>
          <w:rFonts w:eastAsia="Times New Roman" w:cs="Times New Roman"/>
        </w:rPr>
        <w:t>s</w:t>
      </w:r>
      <w:r w:rsidRPr="003655E9">
        <w:rPr>
          <w:rFonts w:eastAsia="Times New Roman" w:cs="Times New Roman"/>
        </w:rPr>
        <w:t xml:space="preserve"> may include homicide, serious injury, unwanted or early pregnancy, </w:t>
      </w:r>
      <w:r>
        <w:rPr>
          <w:rFonts w:eastAsia="Times New Roman" w:cs="Times New Roman"/>
        </w:rPr>
        <w:t xml:space="preserve">sexually transmitted infections (including infertility and HIV) </w:t>
      </w:r>
      <w:r w:rsidRPr="003655E9">
        <w:rPr>
          <w:rFonts w:eastAsia="Times New Roman" w:cs="Times New Roman"/>
        </w:rPr>
        <w:t>and vulnerability to disease. The psychological health consequences include suicid</w:t>
      </w:r>
      <w:r>
        <w:rPr>
          <w:rFonts w:eastAsia="Times New Roman" w:cs="Times New Roman"/>
        </w:rPr>
        <w:t>e and mental health problems</w:t>
      </w:r>
      <w:r w:rsidRPr="003655E9">
        <w:rPr>
          <w:rFonts w:eastAsia="Times New Roman" w:cs="Times New Roman"/>
        </w:rPr>
        <w:t>.</w:t>
      </w:r>
      <w:r w:rsidRPr="003655E9">
        <w:rPr>
          <w:rStyle w:val="FootnoteReference"/>
          <w:rFonts w:eastAsia="Times New Roman" w:cs="Times New Roman"/>
        </w:rPr>
        <w:footnoteReference w:id="8"/>
      </w:r>
      <w:r>
        <w:rPr>
          <w:rFonts w:eastAsia="Times New Roman" w:cs="Times New Roman"/>
        </w:rPr>
        <w:t xml:space="preserve"> Women and girls may suffer severe psychological impacts and physical injury from instances of gender-based violence prevalent within the refugee context. As </w:t>
      </w:r>
      <w:proofErr w:type="spellStart"/>
      <w:r>
        <w:rPr>
          <w:rFonts w:eastAsia="Times New Roman" w:cs="Times New Roman"/>
        </w:rPr>
        <w:t>Pittaway</w:t>
      </w:r>
      <w:proofErr w:type="spellEnd"/>
      <w:r>
        <w:rPr>
          <w:rFonts w:eastAsia="Times New Roman" w:cs="Times New Roman"/>
        </w:rPr>
        <w:t xml:space="preserve"> and </w:t>
      </w:r>
      <w:proofErr w:type="spellStart"/>
      <w:r w:rsidRPr="001D2B1E">
        <w:rPr>
          <w:rFonts w:eastAsia="Times New Roman" w:cs="Times New Roman"/>
        </w:rPr>
        <w:t>Bartolomei</w:t>
      </w:r>
      <w:proofErr w:type="spellEnd"/>
      <w:r>
        <w:rPr>
          <w:rFonts w:eastAsia="Times New Roman" w:cs="Times New Roman"/>
        </w:rPr>
        <w:t xml:space="preserve"> explain, the consequences of gender-based violence are itself often gendered: </w:t>
      </w:r>
    </w:p>
    <w:p w14:paraId="396D14CD" w14:textId="77777777" w:rsidR="00C1042E" w:rsidRDefault="00C1042E" w:rsidP="00C1042E">
      <w:pPr>
        <w:jc w:val="both"/>
        <w:rPr>
          <w:rFonts w:eastAsia="Times New Roman" w:cs="Times New Roman"/>
        </w:rPr>
      </w:pPr>
    </w:p>
    <w:p w14:paraId="28C3D916" w14:textId="77777777" w:rsidR="00C1042E" w:rsidRPr="0035300A" w:rsidRDefault="00C1042E" w:rsidP="00C1042E">
      <w:pPr>
        <w:ind w:left="720"/>
        <w:jc w:val="both"/>
        <w:rPr>
          <w:rFonts w:eastAsia="Times New Roman" w:cs="Times New Roman"/>
        </w:rPr>
      </w:pPr>
      <w:r>
        <w:rPr>
          <w:rFonts w:eastAsia="Times New Roman"/>
        </w:rPr>
        <w:t xml:space="preserve">Women … </w:t>
      </w:r>
      <w:r w:rsidRPr="003655E9">
        <w:rPr>
          <w:rFonts w:eastAsia="Times New Roman"/>
        </w:rPr>
        <w:t xml:space="preserve">face the additional consequence of bearing children of rape, and many girls who are too young for child-bearing die. Women and girls are isolated from families or communities, and all bear a burden of stigma. Disabled women are often the target of sexual violence. Lesbian and transgender women are subjected to 'corrective rape' and sometimes killed. Many women are forced to engage in survival sex to feed themselves and their families, with the additional stigma of prostitution. Many </w:t>
      </w:r>
      <w:proofErr w:type="gramStart"/>
      <w:r w:rsidRPr="003655E9">
        <w:rPr>
          <w:rFonts w:eastAsia="Times New Roman"/>
        </w:rPr>
        <w:t>face</w:t>
      </w:r>
      <w:proofErr w:type="gramEnd"/>
      <w:r w:rsidRPr="003655E9">
        <w:rPr>
          <w:rFonts w:eastAsia="Times New Roman"/>
        </w:rPr>
        <w:t xml:space="preserve"> forced marriage. Men are shamed because they cannot protect their female family members, and communities suffer collective guilt</w:t>
      </w:r>
      <w:r>
        <w:rPr>
          <w:rFonts w:eastAsia="Times New Roman"/>
        </w:rPr>
        <w:t>.</w:t>
      </w:r>
      <w:r w:rsidRPr="005363FD">
        <w:rPr>
          <w:rStyle w:val="FootnoteReference"/>
          <w:rFonts w:eastAsia="Times New Roman"/>
        </w:rPr>
        <w:t xml:space="preserve"> </w:t>
      </w:r>
      <w:r w:rsidRPr="003655E9">
        <w:rPr>
          <w:rStyle w:val="FootnoteReference"/>
          <w:rFonts w:eastAsia="Times New Roman"/>
        </w:rPr>
        <w:footnoteReference w:id="9"/>
      </w:r>
    </w:p>
    <w:p w14:paraId="7C6BE7F2" w14:textId="77777777" w:rsidR="00C1042E" w:rsidRDefault="00C1042E" w:rsidP="00C1042E">
      <w:pPr>
        <w:jc w:val="both"/>
        <w:rPr>
          <w:rFonts w:eastAsia="Times New Roman"/>
        </w:rPr>
      </w:pPr>
    </w:p>
    <w:p w14:paraId="50B415C8" w14:textId="77777777" w:rsidR="003F0FA1" w:rsidRDefault="003F0FA1" w:rsidP="00C1042E">
      <w:pPr>
        <w:jc w:val="both"/>
        <w:rPr>
          <w:rFonts w:eastAsia="Times New Roman"/>
        </w:rPr>
      </w:pPr>
    </w:p>
    <w:p w14:paraId="27B47CF0" w14:textId="77777777" w:rsidR="003F0FA1" w:rsidRDefault="003F0FA1" w:rsidP="00C1042E">
      <w:pPr>
        <w:jc w:val="both"/>
        <w:rPr>
          <w:rFonts w:eastAsia="Times New Roman"/>
        </w:rPr>
      </w:pPr>
    </w:p>
    <w:p w14:paraId="52AE2FA4" w14:textId="77777777" w:rsidR="00C1042E" w:rsidRDefault="00C1042E" w:rsidP="00C1042E">
      <w:pPr>
        <w:jc w:val="both"/>
        <w:rPr>
          <w:rFonts w:eastAsia="Times New Roman" w:cs="Times New Roman"/>
          <w:b/>
          <w:i/>
        </w:rPr>
      </w:pPr>
    </w:p>
    <w:p w14:paraId="7F6682D0" w14:textId="77777777" w:rsidR="00C1042E" w:rsidRPr="001C1441" w:rsidRDefault="00C1042E" w:rsidP="00C1042E">
      <w:pPr>
        <w:jc w:val="both"/>
        <w:rPr>
          <w:rFonts w:eastAsia="Times New Roman" w:cs="Times New Roman"/>
          <w:b/>
          <w:i/>
        </w:rPr>
      </w:pPr>
      <w:r w:rsidRPr="001C1441">
        <w:rPr>
          <w:rFonts w:eastAsia="Times New Roman" w:cs="Times New Roman"/>
          <w:b/>
          <w:i/>
        </w:rPr>
        <w:t>Sexual Violence</w:t>
      </w:r>
    </w:p>
    <w:p w14:paraId="1AB55668" w14:textId="77777777" w:rsidR="00C1042E" w:rsidRDefault="00C1042E" w:rsidP="00C1042E">
      <w:pPr>
        <w:jc w:val="both"/>
        <w:rPr>
          <w:rFonts w:eastAsia="Times New Roman" w:cs="Times New Roman"/>
          <w:b/>
        </w:rPr>
      </w:pPr>
    </w:p>
    <w:p w14:paraId="39C09C8A" w14:textId="77777777" w:rsidR="00C1042E" w:rsidRDefault="00C1042E" w:rsidP="00C1042E">
      <w:pPr>
        <w:jc w:val="both"/>
        <w:rPr>
          <w:rFonts w:eastAsia="Times New Roman" w:cs="Times New Roman"/>
        </w:rPr>
      </w:pPr>
      <w:r w:rsidRPr="003655E9">
        <w:rPr>
          <w:rFonts w:eastAsia="Times New Roman"/>
        </w:rPr>
        <w:lastRenderedPageBreak/>
        <w:t xml:space="preserve">Sexual violence is one </w:t>
      </w:r>
      <w:r>
        <w:rPr>
          <w:rFonts w:eastAsia="Times New Roman"/>
        </w:rPr>
        <w:t>key component</w:t>
      </w:r>
      <w:r w:rsidRPr="003655E9">
        <w:rPr>
          <w:rFonts w:eastAsia="Times New Roman"/>
        </w:rPr>
        <w:t xml:space="preserve"> of </w:t>
      </w:r>
      <w:r>
        <w:rPr>
          <w:rFonts w:eastAsia="Times New Roman"/>
        </w:rPr>
        <w:t xml:space="preserve">the umbrella term </w:t>
      </w:r>
      <w:r w:rsidRPr="003655E9">
        <w:rPr>
          <w:rFonts w:eastAsia="Times New Roman"/>
        </w:rPr>
        <w:t>gender-based</w:t>
      </w:r>
      <w:r>
        <w:rPr>
          <w:rFonts w:eastAsia="Times New Roman"/>
        </w:rPr>
        <w:t xml:space="preserve"> violence</w:t>
      </w:r>
      <w:r w:rsidRPr="003655E9">
        <w:rPr>
          <w:rFonts w:eastAsia="Times New Roman"/>
        </w:rPr>
        <w:t>.</w:t>
      </w:r>
      <w:r w:rsidRPr="003655E9">
        <w:rPr>
          <w:rStyle w:val="FootnoteReference"/>
          <w:rFonts w:eastAsia="Times New Roman"/>
        </w:rPr>
        <w:footnoteReference w:id="10"/>
      </w:r>
      <w:r>
        <w:rPr>
          <w:rFonts w:eastAsia="Times New Roman" w:cs="Times New Roman"/>
          <w:b/>
        </w:rPr>
        <w:t xml:space="preserve"> </w:t>
      </w:r>
      <w:r>
        <w:rPr>
          <w:rFonts w:eastAsia="Times New Roman" w:cs="Times New Roman"/>
        </w:rPr>
        <w:t>A narrow definition of sexual violence (usually based upon domestic criminal law definitions) is sometimes used. For example, the United States Centers for Disease Control and Prevention defines sexual violence as:</w:t>
      </w:r>
    </w:p>
    <w:p w14:paraId="2D421BEC" w14:textId="77777777" w:rsidR="00C1042E" w:rsidRDefault="00C1042E" w:rsidP="00C1042E">
      <w:pPr>
        <w:jc w:val="both"/>
        <w:rPr>
          <w:rFonts w:eastAsia="Times New Roman" w:cs="Times New Roman"/>
        </w:rPr>
      </w:pPr>
    </w:p>
    <w:p w14:paraId="5C35F2A4" w14:textId="77777777" w:rsidR="00C1042E" w:rsidRPr="00A84493" w:rsidRDefault="00C1042E" w:rsidP="00C1042E">
      <w:pPr>
        <w:ind w:left="720"/>
        <w:jc w:val="both"/>
        <w:rPr>
          <w:rFonts w:eastAsia="Times New Roman"/>
        </w:rPr>
      </w:pPr>
      <w:r w:rsidRPr="00A84493">
        <w:rPr>
          <w:rFonts w:eastAsia="Times New Roman"/>
        </w:rPr>
        <w:t>… any nonconsensual completed or attempted contact (between the penis and the vulva or the penis and the anus involving penetration, however slight), nonconsensual contact between the mouth and the penis, vulva, or anus; nonconsensual penetration of the anal or genital opening of another person by a hand, finger, or other object; nonconsensual intentional touching, either directly or through the clothing, of the genitalia, anus, groin, breast, inner thigh, or buttocks; or nonconsensual noncontact acts of a sexual nature such as voyeurism and verbal or behavioral sexual harassment. All the above acts also qualify as sexual violence if they are committed against someone who is unable to consent or refuse …</w:t>
      </w:r>
      <w:r w:rsidRPr="00A84493">
        <w:rPr>
          <w:rStyle w:val="FootnoteReference"/>
          <w:rFonts w:eastAsia="Times New Roman"/>
        </w:rPr>
        <w:footnoteReference w:id="11"/>
      </w:r>
    </w:p>
    <w:p w14:paraId="1CAA697A" w14:textId="77777777" w:rsidR="00C1042E" w:rsidRPr="00F725C7" w:rsidRDefault="00C1042E" w:rsidP="00C1042E">
      <w:pPr>
        <w:jc w:val="both"/>
        <w:rPr>
          <w:rFonts w:eastAsia="Times New Roman" w:cs="Times New Roman"/>
        </w:rPr>
      </w:pPr>
    </w:p>
    <w:p w14:paraId="509D3660" w14:textId="5E2D777A" w:rsidR="00C1042E" w:rsidRDefault="00C1042E" w:rsidP="00C1042E">
      <w:pPr>
        <w:jc w:val="both"/>
      </w:pPr>
      <w:r>
        <w:t xml:space="preserve">The United Nations Secretary-General has described sexual violence more broadly using the language of ‘sexual exploitation’ to encompass </w:t>
      </w:r>
      <w:r w:rsidRPr="00F34A6B">
        <w:rPr>
          <w:rFonts w:cstheme="minorHAnsi"/>
        </w:rPr>
        <w:t>“any actual or attempted abuse of a position of vulnerability, differential power, or trust, for sexual purposes, including, but not limited to, profiting monetarily, socially or politically from the sexual exploitation of another”</w:t>
      </w:r>
      <w:r>
        <w:rPr>
          <w:rFonts w:cstheme="minorHAnsi"/>
        </w:rPr>
        <w:t>.</w:t>
      </w:r>
      <w:r w:rsidRPr="008C3FB5">
        <w:rPr>
          <w:rFonts w:cstheme="minorHAnsi"/>
          <w:vertAlign w:val="superscript"/>
        </w:rPr>
        <w:t xml:space="preserve"> </w:t>
      </w:r>
      <w:r w:rsidRPr="008C3FB5">
        <w:rPr>
          <w:rFonts w:cstheme="minorHAnsi"/>
          <w:vertAlign w:val="superscript"/>
        </w:rPr>
        <w:footnoteReference w:id="12"/>
      </w:r>
      <w:r>
        <w:rPr>
          <w:rFonts w:cstheme="minorHAnsi"/>
        </w:rPr>
        <w:t xml:space="preserve"> ‘Sexual abuse’ is </w:t>
      </w:r>
      <w:r w:rsidR="00277C5D">
        <w:rPr>
          <w:rFonts w:cstheme="minorHAnsi"/>
        </w:rPr>
        <w:t xml:space="preserve">then </w:t>
      </w:r>
      <w:r>
        <w:rPr>
          <w:rFonts w:cstheme="minorHAnsi"/>
        </w:rPr>
        <w:t>defined as</w:t>
      </w:r>
      <w:r w:rsidRPr="00F34A6B">
        <w:rPr>
          <w:rFonts w:cstheme="minorHAnsi"/>
        </w:rPr>
        <w:t xml:space="preserve"> “the actual or threatened physical intrusion of a sexual nature, whether by force or under unequal or coercive conditions”.</w:t>
      </w:r>
      <w:bookmarkStart w:id="2" w:name="_Hlk525558532"/>
      <w:r w:rsidRPr="00F34A6B">
        <w:rPr>
          <w:rStyle w:val="FootnoteReference"/>
          <w:rFonts w:cstheme="minorHAnsi"/>
        </w:rPr>
        <w:footnoteReference w:id="13"/>
      </w:r>
      <w:bookmarkEnd w:id="2"/>
      <w:r>
        <w:t xml:space="preserve"> </w:t>
      </w:r>
    </w:p>
    <w:p w14:paraId="3A3BDE89" w14:textId="77777777" w:rsidR="00C1042E" w:rsidRDefault="00C1042E" w:rsidP="00C1042E">
      <w:pPr>
        <w:jc w:val="both"/>
      </w:pPr>
    </w:p>
    <w:p w14:paraId="25D5098F" w14:textId="77777777" w:rsidR="00C1042E" w:rsidRPr="003655E9" w:rsidRDefault="00C1042E" w:rsidP="00C1042E">
      <w:pPr>
        <w:jc w:val="both"/>
      </w:pPr>
      <w:r>
        <w:t>Sexual violence may</w:t>
      </w:r>
      <w:r w:rsidRPr="003655E9">
        <w:t xml:space="preserve"> be understood as part of a continuum of violence and discrimination in which gender rights suffer before, during, and post-conflict. Comprehensively addressing the rights and humanitarian needs of survivors </w:t>
      </w:r>
      <w:r>
        <w:t>of sexual violence in conflict, particularly refugees, requires</w:t>
      </w:r>
      <w:r w:rsidRPr="003655E9">
        <w:t xml:space="preserve"> add</w:t>
      </w:r>
      <w:r>
        <w:t xml:space="preserve">ressing pre-existing threats to </w:t>
      </w:r>
      <w:r w:rsidRPr="003655E9">
        <w:t>survivors</w:t>
      </w:r>
      <w:r>
        <w:t xml:space="preserve"> </w:t>
      </w:r>
      <w:r w:rsidRPr="003655E9">
        <w:t>embedded in discriminatory laws</w:t>
      </w:r>
      <w:r>
        <w:t xml:space="preserve"> and patriarchal social norms</w:t>
      </w:r>
      <w:r w:rsidRPr="003655E9">
        <w:t>.</w:t>
      </w:r>
      <w:r w:rsidRPr="003655E9">
        <w:rPr>
          <w:rStyle w:val="FootnoteReference"/>
        </w:rPr>
        <w:footnoteReference w:id="14"/>
      </w:r>
    </w:p>
    <w:p w14:paraId="78DC79FA" w14:textId="77777777" w:rsidR="00C1042E" w:rsidRDefault="00C1042E" w:rsidP="00C1042E">
      <w:pPr>
        <w:jc w:val="both"/>
        <w:rPr>
          <w:rFonts w:eastAsia="Times New Roman" w:cs="Times New Roman"/>
        </w:rPr>
      </w:pPr>
    </w:p>
    <w:p w14:paraId="3D407384" w14:textId="77777777" w:rsidR="00C1042E" w:rsidRDefault="00C1042E" w:rsidP="00C1042E">
      <w:pPr>
        <w:jc w:val="both"/>
        <w:rPr>
          <w:rFonts w:eastAsia="Times New Roman" w:cs="Times New Roman"/>
          <w:b/>
        </w:rPr>
      </w:pPr>
      <w:r>
        <w:rPr>
          <w:rFonts w:eastAsia="Times New Roman" w:cs="Times New Roman"/>
        </w:rPr>
        <w:t>Within the refugee context, s</w:t>
      </w:r>
      <w:r w:rsidRPr="003655E9">
        <w:rPr>
          <w:rFonts w:eastAsia="Times New Roman" w:cs="Times New Roman"/>
        </w:rPr>
        <w:t>exual violence encompass</w:t>
      </w:r>
      <w:r>
        <w:rPr>
          <w:rFonts w:eastAsia="Times New Roman" w:cs="Times New Roman"/>
        </w:rPr>
        <w:t>es a</w:t>
      </w:r>
      <w:r w:rsidRPr="003655E9">
        <w:rPr>
          <w:rFonts w:eastAsia="Times New Roman" w:cs="Times New Roman"/>
        </w:rPr>
        <w:t xml:space="preserve"> </w:t>
      </w:r>
      <w:r>
        <w:rPr>
          <w:rFonts w:eastAsia="Times New Roman" w:cs="Times New Roman"/>
        </w:rPr>
        <w:t xml:space="preserve">range of damaging </w:t>
      </w:r>
      <w:proofErr w:type="spellStart"/>
      <w:r>
        <w:rPr>
          <w:rFonts w:eastAsia="Times New Roman" w:cs="Times New Roman"/>
        </w:rPr>
        <w:t>behaviour</w:t>
      </w:r>
      <w:proofErr w:type="spellEnd"/>
      <w:r w:rsidRPr="003655E9">
        <w:rPr>
          <w:rFonts w:eastAsia="Times New Roman" w:cs="Times New Roman"/>
        </w:rPr>
        <w:t xml:space="preserve"> </w:t>
      </w:r>
      <w:r>
        <w:rPr>
          <w:rFonts w:eastAsia="Times New Roman" w:cs="Times New Roman"/>
        </w:rPr>
        <w:t>including</w:t>
      </w:r>
      <w:r w:rsidRPr="003655E9">
        <w:rPr>
          <w:rFonts w:eastAsia="Times New Roman" w:cs="Times New Roman"/>
        </w:rPr>
        <w:t xml:space="preserve"> </w:t>
      </w:r>
      <w:r>
        <w:rPr>
          <w:rFonts w:eastAsia="Times New Roman" w:cs="Times New Roman"/>
        </w:rPr>
        <w:t xml:space="preserve">not only </w:t>
      </w:r>
      <w:r w:rsidRPr="003655E9">
        <w:rPr>
          <w:rFonts w:eastAsia="Times New Roman" w:cs="Times New Roman"/>
        </w:rPr>
        <w:t xml:space="preserve">rape </w:t>
      </w:r>
      <w:r>
        <w:rPr>
          <w:rFonts w:eastAsia="Times New Roman" w:cs="Times New Roman"/>
        </w:rPr>
        <w:t>and</w:t>
      </w:r>
      <w:r w:rsidRPr="003655E9">
        <w:rPr>
          <w:rFonts w:eastAsia="Times New Roman" w:cs="Times New Roman"/>
        </w:rPr>
        <w:t xml:space="preserve"> other sexual </w:t>
      </w:r>
      <w:r>
        <w:rPr>
          <w:rFonts w:eastAsia="Times New Roman" w:cs="Times New Roman"/>
        </w:rPr>
        <w:t xml:space="preserve">assaults, but also attempts and </w:t>
      </w:r>
      <w:r w:rsidRPr="003655E9">
        <w:rPr>
          <w:rFonts w:eastAsia="Times New Roman" w:cs="Times New Roman"/>
        </w:rPr>
        <w:t xml:space="preserve">offers of food, protection, documents or other assistance in exchange for sexual </w:t>
      </w:r>
      <w:proofErr w:type="spellStart"/>
      <w:r w:rsidRPr="003655E9">
        <w:rPr>
          <w:rFonts w:eastAsia="Times New Roman" w:cs="Times New Roman"/>
        </w:rPr>
        <w:t>favo</w:t>
      </w:r>
      <w:r>
        <w:rPr>
          <w:rFonts w:eastAsia="Times New Roman" w:cs="Times New Roman"/>
        </w:rPr>
        <w:t>u</w:t>
      </w:r>
      <w:r w:rsidRPr="003655E9">
        <w:rPr>
          <w:rFonts w:eastAsia="Times New Roman" w:cs="Times New Roman"/>
        </w:rPr>
        <w:t>rs</w:t>
      </w:r>
      <w:proofErr w:type="spellEnd"/>
      <w:r w:rsidRPr="003655E9">
        <w:rPr>
          <w:rFonts w:eastAsia="Times New Roman" w:cs="Times New Roman"/>
        </w:rPr>
        <w:t>.</w:t>
      </w:r>
      <w:r w:rsidRPr="003655E9">
        <w:rPr>
          <w:rStyle w:val="FootnoteReference"/>
          <w:rFonts w:eastAsia="Times New Roman" w:cs="Times New Roman"/>
        </w:rPr>
        <w:footnoteReference w:id="15"/>
      </w:r>
      <w:r>
        <w:rPr>
          <w:rFonts w:eastAsia="Times New Roman" w:cs="Times New Roman"/>
          <w:b/>
        </w:rPr>
        <w:t xml:space="preserve"> </w:t>
      </w:r>
    </w:p>
    <w:p w14:paraId="6C9C66FE" w14:textId="77777777" w:rsidR="00C1042E" w:rsidRDefault="00C1042E" w:rsidP="00C1042E">
      <w:pPr>
        <w:jc w:val="both"/>
        <w:rPr>
          <w:rFonts w:eastAsia="Times New Roman" w:cs="Times New Roman"/>
          <w:b/>
        </w:rPr>
      </w:pPr>
    </w:p>
    <w:p w14:paraId="47280886" w14:textId="32C9A91E" w:rsidR="00C1042E" w:rsidRPr="00807CD6" w:rsidRDefault="00C1042E" w:rsidP="00C1042E">
      <w:pPr>
        <w:jc w:val="both"/>
        <w:rPr>
          <w:rFonts w:eastAsia="Times New Roman"/>
        </w:rPr>
      </w:pPr>
      <w:r>
        <w:rPr>
          <w:rFonts w:eastAsia="Times New Roman" w:cs="Times New Roman"/>
        </w:rPr>
        <w:t xml:space="preserve">Sexual assault, exploitation and harassment occurs at every stage of the refugee journey, beginning with violence faced in the country of origin undergoing conflict through to arrival and settlement in the (often European) country of protection. The transactional sex that refugees are reported to be forced to engage in to ‘pay for’ travel documents, border access </w:t>
      </w:r>
      <w:r>
        <w:rPr>
          <w:rFonts w:eastAsia="Times New Roman" w:cs="Times New Roman"/>
        </w:rPr>
        <w:lastRenderedPageBreak/>
        <w:t>or the journey itself, may also be viewed as a form of sexual violence.</w:t>
      </w:r>
      <w:r w:rsidRPr="003655E9">
        <w:rPr>
          <w:rStyle w:val="FootnoteReference"/>
          <w:rFonts w:eastAsia="Times New Roman"/>
        </w:rPr>
        <w:footnoteReference w:id="16"/>
      </w:r>
      <w:r>
        <w:rPr>
          <w:rFonts w:eastAsia="Times New Roman" w:cs="Times New Roman"/>
        </w:rPr>
        <w:t xml:space="preserve"> </w:t>
      </w:r>
      <w:r w:rsidRPr="003655E9">
        <w:rPr>
          <w:rFonts w:eastAsia="Times New Roman"/>
        </w:rPr>
        <w:t>The</w:t>
      </w:r>
      <w:r>
        <w:rPr>
          <w:rFonts w:eastAsia="Times New Roman"/>
        </w:rPr>
        <w:t xml:space="preserve"> United Nations’ International Criminal Tribunal for Rwanda (ICTR) provided a comprehensive definition of</w:t>
      </w:r>
      <w:r w:rsidRPr="003655E9">
        <w:rPr>
          <w:rFonts w:eastAsia="Times New Roman"/>
        </w:rPr>
        <w:t xml:space="preserve"> </w:t>
      </w:r>
      <w:r>
        <w:rPr>
          <w:rFonts w:eastAsia="Times New Roman"/>
        </w:rPr>
        <w:t xml:space="preserve">sexual violence appropriate to refugees </w:t>
      </w:r>
      <w:r w:rsidRPr="003655E9">
        <w:rPr>
          <w:rFonts w:eastAsia="Times New Roman"/>
        </w:rPr>
        <w:t>in</w:t>
      </w:r>
      <w:r>
        <w:rPr>
          <w:rFonts w:eastAsia="Times New Roman"/>
        </w:rPr>
        <w:t xml:space="preserve"> its 1998</w:t>
      </w:r>
      <w:r w:rsidRPr="003655E9">
        <w:rPr>
          <w:rFonts w:eastAsia="Times New Roman"/>
        </w:rPr>
        <w:t xml:space="preserve"> </w:t>
      </w:r>
      <w:proofErr w:type="spellStart"/>
      <w:r w:rsidRPr="00154FF0">
        <w:rPr>
          <w:rFonts w:eastAsia="Times New Roman"/>
          <w:i/>
        </w:rPr>
        <w:t>Akayesu</w:t>
      </w:r>
      <w:proofErr w:type="spellEnd"/>
      <w:r w:rsidRPr="003655E9">
        <w:rPr>
          <w:rFonts w:eastAsia="Times New Roman"/>
        </w:rPr>
        <w:t xml:space="preserve"> </w:t>
      </w:r>
      <w:r>
        <w:rPr>
          <w:rFonts w:eastAsia="Times New Roman"/>
        </w:rPr>
        <w:t xml:space="preserve">decision </w:t>
      </w:r>
      <w:r w:rsidRPr="003655E9">
        <w:rPr>
          <w:rFonts w:eastAsia="Times New Roman"/>
        </w:rPr>
        <w:t xml:space="preserve">as "any act of a sexual nature which is committed on a person under circumstances </w:t>
      </w:r>
      <w:r>
        <w:rPr>
          <w:rFonts w:eastAsia="Times New Roman"/>
        </w:rPr>
        <w:t>which are coercive."</w:t>
      </w:r>
      <w:r>
        <w:rPr>
          <w:rStyle w:val="FootnoteReference"/>
          <w:rFonts w:eastAsia="Times New Roman"/>
        </w:rPr>
        <w:footnoteReference w:id="17"/>
      </w:r>
      <w:r>
        <w:rPr>
          <w:rFonts w:eastAsia="Times New Roman"/>
        </w:rPr>
        <w:t xml:space="preserve"> </w:t>
      </w:r>
      <w:r>
        <w:rPr>
          <w:rFonts w:eastAsia="Times New Roman" w:cs="Times New Roman"/>
        </w:rPr>
        <w:t>Such s</w:t>
      </w:r>
      <w:r w:rsidRPr="003655E9">
        <w:rPr>
          <w:rFonts w:eastAsia="Times New Roman" w:cs="Times New Roman"/>
        </w:rPr>
        <w:t xml:space="preserve">exual violence, which in </w:t>
      </w:r>
      <w:r>
        <w:rPr>
          <w:rFonts w:eastAsia="Times New Roman" w:cs="Times New Roman"/>
        </w:rPr>
        <w:t>some</w:t>
      </w:r>
      <w:r w:rsidRPr="003655E9">
        <w:rPr>
          <w:rFonts w:eastAsia="Times New Roman" w:cs="Times New Roman"/>
        </w:rPr>
        <w:t xml:space="preserve"> </w:t>
      </w:r>
      <w:r>
        <w:rPr>
          <w:rFonts w:eastAsia="Times New Roman" w:cs="Times New Roman"/>
        </w:rPr>
        <w:t>instances</w:t>
      </w:r>
      <w:r w:rsidRPr="003655E9">
        <w:rPr>
          <w:rFonts w:eastAsia="Times New Roman" w:cs="Times New Roman"/>
        </w:rPr>
        <w:t xml:space="preserve"> </w:t>
      </w:r>
      <w:r>
        <w:rPr>
          <w:rFonts w:eastAsia="Times New Roman" w:cs="Times New Roman"/>
        </w:rPr>
        <w:t xml:space="preserve">may have deep cultural roots and is </w:t>
      </w:r>
      <w:r w:rsidRPr="003655E9">
        <w:rPr>
          <w:rFonts w:eastAsia="Times New Roman" w:cs="Times New Roman"/>
        </w:rPr>
        <w:t>exacerbated in refugee setting</w:t>
      </w:r>
      <w:r>
        <w:rPr>
          <w:rFonts w:eastAsia="Times New Roman" w:cs="Times New Roman"/>
        </w:rPr>
        <w:t>s</w:t>
      </w:r>
      <w:r w:rsidRPr="003655E9">
        <w:rPr>
          <w:rFonts w:eastAsia="Times New Roman" w:cs="Times New Roman"/>
        </w:rPr>
        <w:t>, constitute</w:t>
      </w:r>
      <w:r w:rsidR="004E2FBA">
        <w:rPr>
          <w:rFonts w:eastAsia="Times New Roman" w:cs="Times New Roman"/>
        </w:rPr>
        <w:t>s</w:t>
      </w:r>
      <w:r w:rsidRPr="003655E9">
        <w:rPr>
          <w:rFonts w:eastAsia="Times New Roman" w:cs="Times New Roman"/>
        </w:rPr>
        <w:t xml:space="preserve"> violations of refugee</w:t>
      </w:r>
      <w:r>
        <w:rPr>
          <w:rFonts w:eastAsia="Times New Roman" w:cs="Times New Roman"/>
        </w:rPr>
        <w:t>s’</w:t>
      </w:r>
      <w:r w:rsidRPr="003655E9">
        <w:rPr>
          <w:rFonts w:eastAsia="Times New Roman" w:cs="Times New Roman"/>
        </w:rPr>
        <w:t xml:space="preserve"> fundamental human rights.</w:t>
      </w:r>
      <w:r w:rsidRPr="003655E9">
        <w:rPr>
          <w:rStyle w:val="FootnoteReference"/>
          <w:rFonts w:eastAsia="Times New Roman" w:cs="Times New Roman"/>
        </w:rPr>
        <w:footnoteReference w:id="18"/>
      </w:r>
    </w:p>
    <w:p w14:paraId="65DBC608" w14:textId="77777777" w:rsidR="00C1042E" w:rsidRDefault="00C1042E" w:rsidP="00C1042E">
      <w:pPr>
        <w:jc w:val="both"/>
        <w:rPr>
          <w:rFonts w:eastAsia="Times New Roman" w:cs="Times New Roman"/>
          <w:b/>
        </w:rPr>
      </w:pPr>
    </w:p>
    <w:p w14:paraId="3B491A71" w14:textId="77777777" w:rsidR="00C1042E" w:rsidRDefault="00C1042E" w:rsidP="00C1042E">
      <w:pPr>
        <w:jc w:val="both"/>
        <w:rPr>
          <w:rFonts w:eastAsia="Times New Roman" w:cs="Times New Roman"/>
          <w:b/>
        </w:rPr>
      </w:pPr>
    </w:p>
    <w:p w14:paraId="7E882C5A" w14:textId="77777777" w:rsidR="00C1042E" w:rsidRPr="004676D3" w:rsidRDefault="00C1042E" w:rsidP="00C1042E">
      <w:pPr>
        <w:jc w:val="both"/>
        <w:rPr>
          <w:rFonts w:eastAsia="Times New Roman" w:cs="Times New Roman"/>
          <w:b/>
          <w:caps/>
          <w:u w:val="single"/>
        </w:rPr>
      </w:pPr>
      <w:r w:rsidRPr="004676D3">
        <w:rPr>
          <w:rFonts w:eastAsia="Times New Roman" w:cs="Times New Roman"/>
          <w:b/>
          <w:caps/>
          <w:u w:val="single"/>
        </w:rPr>
        <w:t>Sexual and Gender-Based Violence (SGBV)</w:t>
      </w:r>
    </w:p>
    <w:p w14:paraId="491A6797" w14:textId="77777777" w:rsidR="00C1042E" w:rsidRDefault="00C1042E" w:rsidP="00C1042E">
      <w:pPr>
        <w:jc w:val="both"/>
        <w:rPr>
          <w:rFonts w:eastAsia="Times New Roman" w:cs="Times New Roman"/>
          <w:b/>
        </w:rPr>
      </w:pPr>
    </w:p>
    <w:p w14:paraId="1504DF1B" w14:textId="77777777" w:rsidR="00C1042E" w:rsidRDefault="00C1042E" w:rsidP="00C1042E">
      <w:pPr>
        <w:jc w:val="both"/>
        <w:rPr>
          <w:rFonts w:eastAsia="Times New Roman" w:cs="Times New Roman"/>
        </w:rPr>
      </w:pPr>
      <w:r>
        <w:rPr>
          <w:rFonts w:eastAsia="Times New Roman" w:cs="Times New Roman"/>
        </w:rPr>
        <w:t xml:space="preserve">Given the prevalence and importance of sexual violence as a key aspect of gender-based violence, the </w:t>
      </w:r>
      <w:bookmarkStart w:id="3" w:name="_Hlk525292062"/>
      <w:r>
        <w:rPr>
          <w:rFonts w:eastAsia="Times New Roman" w:cs="Times New Roman"/>
        </w:rPr>
        <w:t>combined term ‘sexual and gender-based violence’ (SGBV) has gained prominence particularly within the discourse</w:t>
      </w:r>
      <w:bookmarkEnd w:id="3"/>
      <w:r>
        <w:rPr>
          <w:rFonts w:eastAsia="Times New Roman" w:cs="Times New Roman"/>
        </w:rPr>
        <w:t xml:space="preserve"> about refugees. </w:t>
      </w:r>
    </w:p>
    <w:p w14:paraId="76EFBAB7" w14:textId="77777777" w:rsidR="00C1042E" w:rsidRDefault="00C1042E" w:rsidP="00C1042E">
      <w:pPr>
        <w:jc w:val="both"/>
        <w:rPr>
          <w:rFonts w:eastAsia="Times New Roman" w:cs="Times New Roman"/>
        </w:rPr>
      </w:pPr>
    </w:p>
    <w:p w14:paraId="65DAE940" w14:textId="77777777" w:rsidR="00C1042E" w:rsidRDefault="00C1042E" w:rsidP="00C1042E">
      <w:pPr>
        <w:jc w:val="both"/>
        <w:rPr>
          <w:rFonts w:eastAsia="Times New Roman" w:cs="Times New Roman"/>
        </w:rPr>
      </w:pPr>
      <w:r>
        <w:rPr>
          <w:rFonts w:eastAsia="Times New Roman" w:cs="Times New Roman"/>
        </w:rPr>
        <w:t>SGBV may be viewed as</w:t>
      </w:r>
      <w:r w:rsidRPr="003655E9">
        <w:rPr>
          <w:rFonts w:eastAsia="Times New Roman" w:cs="Times New Roman"/>
        </w:rPr>
        <w:t xml:space="preserve"> a </w:t>
      </w:r>
      <w:r>
        <w:rPr>
          <w:rFonts w:eastAsia="Times New Roman" w:cs="Times New Roman"/>
        </w:rPr>
        <w:t>global</w:t>
      </w:r>
      <w:r w:rsidRPr="003655E9">
        <w:rPr>
          <w:rFonts w:eastAsia="Times New Roman" w:cs="Times New Roman"/>
        </w:rPr>
        <w:t xml:space="preserve"> public health issue, a violation of </w:t>
      </w:r>
      <w:r>
        <w:rPr>
          <w:rFonts w:eastAsia="Times New Roman" w:cs="Times New Roman"/>
        </w:rPr>
        <w:t>human rights and, in egregious cases, may constitute</w:t>
      </w:r>
      <w:r w:rsidRPr="003655E9">
        <w:rPr>
          <w:rFonts w:eastAsia="Times New Roman" w:cs="Times New Roman"/>
        </w:rPr>
        <w:t xml:space="preserve"> </w:t>
      </w:r>
      <w:r>
        <w:rPr>
          <w:rFonts w:eastAsia="Times New Roman" w:cs="Times New Roman"/>
        </w:rPr>
        <w:t xml:space="preserve">a </w:t>
      </w:r>
      <w:r w:rsidRPr="003655E9">
        <w:rPr>
          <w:rFonts w:eastAsia="Times New Roman" w:cs="Times New Roman"/>
        </w:rPr>
        <w:t>crime against humanity. It comprises sexual, emotional-psychological, physical</w:t>
      </w:r>
      <w:r>
        <w:rPr>
          <w:rFonts w:eastAsia="Times New Roman" w:cs="Times New Roman"/>
        </w:rPr>
        <w:t xml:space="preserve"> and socio-economic violence as well as</w:t>
      </w:r>
      <w:r w:rsidRPr="003655E9">
        <w:rPr>
          <w:rFonts w:eastAsia="Times New Roman" w:cs="Times New Roman"/>
        </w:rPr>
        <w:t xml:space="preserve"> harmful cultural practices. In addition to </w:t>
      </w:r>
      <w:r>
        <w:rPr>
          <w:rFonts w:eastAsia="Times New Roman" w:cs="Times New Roman"/>
        </w:rPr>
        <w:t>its negative effect</w:t>
      </w:r>
      <w:r w:rsidRPr="003655E9">
        <w:rPr>
          <w:rFonts w:eastAsia="Times New Roman" w:cs="Times New Roman"/>
        </w:rPr>
        <w:t xml:space="preserve"> on </w:t>
      </w:r>
      <w:r>
        <w:rPr>
          <w:rFonts w:eastAsia="Times New Roman" w:cs="Times New Roman"/>
        </w:rPr>
        <w:t>victim</w:t>
      </w:r>
      <w:r w:rsidRPr="003655E9">
        <w:rPr>
          <w:rFonts w:eastAsia="Times New Roman" w:cs="Times New Roman"/>
        </w:rPr>
        <w:t>s</w:t>
      </w:r>
      <w:r>
        <w:rPr>
          <w:rFonts w:eastAsia="Times New Roman" w:cs="Times New Roman"/>
        </w:rPr>
        <w:t>’</w:t>
      </w:r>
      <w:r w:rsidRPr="003655E9">
        <w:rPr>
          <w:rFonts w:eastAsia="Times New Roman" w:cs="Times New Roman"/>
        </w:rPr>
        <w:t xml:space="preserve"> well-being and participation in society, SGBV may have significant consequences on sexual, reproductive, physical and psychological health</w:t>
      </w:r>
      <w:r>
        <w:rPr>
          <w:rFonts w:eastAsia="Times New Roman" w:cs="Times New Roman"/>
        </w:rPr>
        <w:t xml:space="preserve"> at the international level,</w:t>
      </w:r>
      <w:r w:rsidRPr="003655E9">
        <w:rPr>
          <w:rStyle w:val="FootnoteReference"/>
          <w:rFonts w:eastAsia="Times New Roman" w:cs="Times New Roman"/>
        </w:rPr>
        <w:footnoteReference w:id="19"/>
      </w:r>
      <w:r>
        <w:rPr>
          <w:rFonts w:eastAsia="Times New Roman" w:cs="Times New Roman"/>
        </w:rPr>
        <w:t xml:space="preserve"> such as the reported occurrence of SGBV afflicting refugees seeking protection from the ongoing crisis in Syria.</w:t>
      </w:r>
    </w:p>
    <w:p w14:paraId="1A333650" w14:textId="77777777" w:rsidR="00C1042E" w:rsidRDefault="00C1042E" w:rsidP="00C1042E">
      <w:pPr>
        <w:jc w:val="both"/>
        <w:rPr>
          <w:rFonts w:eastAsia="Times New Roman" w:cs="Times New Roman"/>
        </w:rPr>
      </w:pPr>
    </w:p>
    <w:p w14:paraId="39B74A6B" w14:textId="77777777" w:rsidR="00C1042E" w:rsidRDefault="00C1042E" w:rsidP="00C1042E">
      <w:pPr>
        <w:jc w:val="both"/>
        <w:rPr>
          <w:rFonts w:eastAsia="Times New Roman" w:cs="Times New Roman"/>
        </w:rPr>
      </w:pPr>
      <w:r w:rsidRPr="00F34A6B">
        <w:rPr>
          <w:rFonts w:cstheme="minorHAnsi"/>
        </w:rPr>
        <w:t xml:space="preserve">In </w:t>
      </w:r>
      <w:r w:rsidRPr="00074B1E">
        <w:rPr>
          <w:rFonts w:cstheme="minorHAnsi"/>
        </w:rPr>
        <w:t>the U</w:t>
      </w:r>
      <w:r>
        <w:rPr>
          <w:rFonts w:cstheme="minorHAnsi"/>
        </w:rPr>
        <w:t xml:space="preserve">nited </w:t>
      </w:r>
      <w:r w:rsidRPr="00074B1E">
        <w:rPr>
          <w:rFonts w:cstheme="minorHAnsi"/>
        </w:rPr>
        <w:t>N</w:t>
      </w:r>
      <w:r>
        <w:rPr>
          <w:rFonts w:cstheme="minorHAnsi"/>
        </w:rPr>
        <w:t>ations</w:t>
      </w:r>
      <w:r w:rsidRPr="00074B1E">
        <w:rPr>
          <w:rFonts w:cstheme="minorHAnsi"/>
        </w:rPr>
        <w:t xml:space="preserve"> Secretary-General’s 2017 report, </w:t>
      </w:r>
      <w:hyperlink r:id="rId15" w:history="1">
        <w:r w:rsidRPr="00074B1E">
          <w:rPr>
            <w:rStyle w:val="Hyperlink"/>
            <w:rFonts w:cstheme="minorHAnsi"/>
            <w:i/>
          </w:rPr>
          <w:t>Special Measures for Protection from Sexual Exploitation and Abuse: A New Approach</w:t>
        </w:r>
      </w:hyperlink>
      <w:r w:rsidRPr="00074B1E">
        <w:rPr>
          <w:rFonts w:cstheme="minorHAnsi"/>
        </w:rPr>
        <w:t>,</w:t>
      </w:r>
      <w:r w:rsidRPr="00F34A6B">
        <w:rPr>
          <w:rFonts w:cstheme="minorHAnsi"/>
        </w:rPr>
        <w:t xml:space="preserve"> </w:t>
      </w:r>
      <w:r>
        <w:rPr>
          <w:rFonts w:cstheme="minorHAnsi"/>
        </w:rPr>
        <w:t xml:space="preserve">examples of </w:t>
      </w:r>
      <w:r w:rsidRPr="00F34A6B">
        <w:rPr>
          <w:rFonts w:cstheme="minorHAnsi"/>
        </w:rPr>
        <w:t xml:space="preserve">the different kinds of </w:t>
      </w:r>
      <w:r>
        <w:rPr>
          <w:rFonts w:cstheme="minorHAnsi"/>
        </w:rPr>
        <w:t>SGBV</w:t>
      </w:r>
      <w:r w:rsidRPr="00F34A6B">
        <w:rPr>
          <w:rFonts w:cstheme="minorHAnsi"/>
        </w:rPr>
        <w:t xml:space="preserve"> </w:t>
      </w:r>
      <w:r>
        <w:rPr>
          <w:rFonts w:cstheme="minorHAnsi"/>
        </w:rPr>
        <w:t>perpetrated against</w:t>
      </w:r>
      <w:r w:rsidRPr="00F34A6B">
        <w:rPr>
          <w:rFonts w:cstheme="minorHAnsi"/>
        </w:rPr>
        <w:t xml:space="preserve"> adults </w:t>
      </w:r>
      <w:r>
        <w:rPr>
          <w:rFonts w:cstheme="minorHAnsi"/>
        </w:rPr>
        <w:t>include</w:t>
      </w:r>
      <w:r w:rsidRPr="00F34A6B">
        <w:rPr>
          <w:rFonts w:cstheme="minorHAnsi"/>
        </w:rPr>
        <w:t>: rape, sexual assault, other forms of sexual violence, transactional sex, solicitation of transactional</w:t>
      </w:r>
      <w:r>
        <w:rPr>
          <w:rFonts w:cstheme="minorHAnsi"/>
        </w:rPr>
        <w:t xml:space="preserve"> sex, exploitative relationships and</w:t>
      </w:r>
      <w:r w:rsidRPr="00F34A6B">
        <w:rPr>
          <w:rFonts w:cstheme="minorHAnsi"/>
        </w:rPr>
        <w:t xml:space="preserve"> trafficking for sexual exploitation and abuse. The different kinds of </w:t>
      </w:r>
      <w:r>
        <w:rPr>
          <w:rFonts w:cstheme="minorHAnsi"/>
        </w:rPr>
        <w:t>SGBV</w:t>
      </w:r>
      <w:r w:rsidRPr="00F34A6B">
        <w:rPr>
          <w:rFonts w:cstheme="minorHAnsi"/>
        </w:rPr>
        <w:t xml:space="preserve"> against children </w:t>
      </w:r>
      <w:r>
        <w:rPr>
          <w:rFonts w:cstheme="minorHAnsi"/>
        </w:rPr>
        <w:t>include</w:t>
      </w:r>
      <w:r w:rsidRPr="00F34A6B">
        <w:rPr>
          <w:rFonts w:cstheme="minorHAnsi"/>
        </w:rPr>
        <w:t>: child rape, sexual assault, solicitation of child prostitution, trafficking for</w:t>
      </w:r>
      <w:r>
        <w:rPr>
          <w:rFonts w:cstheme="minorHAnsi"/>
        </w:rPr>
        <w:t xml:space="preserve"> sexual exploitation and abuse and </w:t>
      </w:r>
      <w:r w:rsidRPr="00F34A6B">
        <w:rPr>
          <w:rFonts w:cstheme="minorHAnsi"/>
        </w:rPr>
        <w:t>other forms of s</w:t>
      </w:r>
      <w:r>
        <w:rPr>
          <w:rFonts w:cstheme="minorHAnsi"/>
        </w:rPr>
        <w:t>exual violence against children.</w:t>
      </w:r>
      <w:r>
        <w:rPr>
          <w:rStyle w:val="FootnoteReference"/>
          <w:rFonts w:cstheme="minorHAnsi"/>
        </w:rPr>
        <w:footnoteReference w:id="20"/>
      </w:r>
    </w:p>
    <w:p w14:paraId="47AEBCEB" w14:textId="77777777" w:rsidR="00C1042E" w:rsidRDefault="00C1042E" w:rsidP="00C1042E">
      <w:pPr>
        <w:jc w:val="both"/>
        <w:rPr>
          <w:rFonts w:eastAsia="Times New Roman" w:cs="Times New Roman"/>
        </w:rPr>
      </w:pPr>
    </w:p>
    <w:p w14:paraId="1592593E" w14:textId="77777777" w:rsidR="00C1042E" w:rsidRDefault="00C1042E" w:rsidP="00C1042E">
      <w:pPr>
        <w:jc w:val="both"/>
        <w:rPr>
          <w:rFonts w:eastAsia="Times New Roman" w:cs="Times New Roman"/>
        </w:rPr>
      </w:pPr>
    </w:p>
    <w:p w14:paraId="2A765925" w14:textId="77777777" w:rsidR="00C1042E" w:rsidRPr="00554A02" w:rsidRDefault="00C1042E" w:rsidP="00C1042E">
      <w:pPr>
        <w:jc w:val="both"/>
        <w:rPr>
          <w:rFonts w:eastAsia="Times New Roman" w:cs="Times New Roman"/>
          <w:b/>
          <w:i/>
        </w:rPr>
      </w:pPr>
      <w:r w:rsidRPr="00554A02">
        <w:rPr>
          <w:rFonts w:eastAsia="Times New Roman" w:cs="Times New Roman"/>
          <w:b/>
          <w:i/>
        </w:rPr>
        <w:t>The Gendered Nature of SGBV</w:t>
      </w:r>
    </w:p>
    <w:p w14:paraId="1946AE12" w14:textId="77777777" w:rsidR="00C1042E" w:rsidRDefault="00C1042E" w:rsidP="00C1042E">
      <w:pPr>
        <w:jc w:val="both"/>
        <w:rPr>
          <w:rFonts w:eastAsia="Times New Roman"/>
        </w:rPr>
      </w:pPr>
    </w:p>
    <w:p w14:paraId="4790A2E8" w14:textId="77777777" w:rsidR="00C1042E" w:rsidRDefault="00C1042E" w:rsidP="00C1042E">
      <w:pPr>
        <w:jc w:val="both"/>
        <w:rPr>
          <w:rFonts w:eastAsia="Times New Roman"/>
        </w:rPr>
      </w:pPr>
      <w:r>
        <w:rPr>
          <w:rFonts w:eastAsia="Times New Roman"/>
        </w:rPr>
        <w:t xml:space="preserve">While men and boys are subjected to SGBV, research indicates that such acts disproportionately affect women and girls. This appears to be because SGBV stems from male and female gender roles that attempt to relegate women to inferior status. When men and </w:t>
      </w:r>
      <w:r>
        <w:rPr>
          <w:rFonts w:eastAsia="Times New Roman"/>
        </w:rPr>
        <w:lastRenderedPageBreak/>
        <w:t xml:space="preserve">boys are subjected to sexual violence, the intent itself is often gendered in nature, in that such violence seeks to emasculate and </w:t>
      </w:r>
      <w:proofErr w:type="spellStart"/>
      <w:r>
        <w:rPr>
          <w:rFonts w:eastAsia="Times New Roman"/>
        </w:rPr>
        <w:t>feminise</w:t>
      </w:r>
      <w:proofErr w:type="spellEnd"/>
      <w:r>
        <w:rPr>
          <w:rFonts w:eastAsia="Times New Roman"/>
        </w:rPr>
        <w:t xml:space="preserve"> the male victims.</w:t>
      </w:r>
      <w:r w:rsidRPr="00957940">
        <w:rPr>
          <w:rStyle w:val="FootnoteReference"/>
          <w:rFonts w:eastAsia="Times New Roman"/>
        </w:rPr>
        <w:t xml:space="preserve"> </w:t>
      </w:r>
      <w:r w:rsidRPr="003655E9">
        <w:rPr>
          <w:rStyle w:val="FootnoteReference"/>
          <w:rFonts w:eastAsia="Times New Roman"/>
        </w:rPr>
        <w:footnoteReference w:id="21"/>
      </w:r>
    </w:p>
    <w:p w14:paraId="12C68B3B" w14:textId="77777777" w:rsidR="00C1042E" w:rsidRPr="00931A1F" w:rsidRDefault="00C1042E" w:rsidP="00C1042E">
      <w:pPr>
        <w:jc w:val="both"/>
        <w:rPr>
          <w:rFonts w:eastAsia="Times New Roman"/>
        </w:rPr>
      </w:pPr>
    </w:p>
    <w:p w14:paraId="65D80DF4" w14:textId="77777777" w:rsidR="00C1042E" w:rsidRPr="00C112C4" w:rsidRDefault="00C1042E" w:rsidP="00C1042E">
      <w:pPr>
        <w:jc w:val="both"/>
        <w:rPr>
          <w:rFonts w:eastAsia="Times New Roman"/>
        </w:rPr>
      </w:pPr>
      <w:r w:rsidRPr="003655E9">
        <w:rPr>
          <w:rFonts w:eastAsia="Times New Roman"/>
        </w:rPr>
        <w:t>International recognition of the g</w:t>
      </w:r>
      <w:r>
        <w:rPr>
          <w:rFonts w:eastAsia="Times New Roman"/>
        </w:rPr>
        <w:t>endered experiences of conflict, forced migration and the refugee experience</w:t>
      </w:r>
      <w:r w:rsidRPr="003655E9">
        <w:rPr>
          <w:rFonts w:eastAsia="Times New Roman"/>
        </w:rPr>
        <w:t xml:space="preserve"> </w:t>
      </w:r>
      <w:r>
        <w:rPr>
          <w:rFonts w:eastAsia="Times New Roman"/>
        </w:rPr>
        <w:t>has</w:t>
      </w:r>
      <w:r w:rsidRPr="003655E9">
        <w:rPr>
          <w:rFonts w:eastAsia="Times New Roman"/>
        </w:rPr>
        <w:t xml:space="preserve"> gradually developed since the Second World War, and substantivel</w:t>
      </w:r>
      <w:r>
        <w:rPr>
          <w:rFonts w:eastAsia="Times New Roman"/>
        </w:rPr>
        <w:t>y since the 1990s</w:t>
      </w:r>
      <w:r w:rsidRPr="003655E9">
        <w:rPr>
          <w:rFonts w:eastAsia="Times New Roman"/>
        </w:rPr>
        <w:t xml:space="preserve">. </w:t>
      </w:r>
      <w:r>
        <w:rPr>
          <w:rFonts w:eastAsia="Times New Roman"/>
        </w:rPr>
        <w:t xml:space="preserve">Within </w:t>
      </w:r>
      <w:r w:rsidRPr="003655E9">
        <w:rPr>
          <w:rFonts w:eastAsia="Times New Roman"/>
        </w:rPr>
        <w:t>conflict</w:t>
      </w:r>
      <w:r>
        <w:rPr>
          <w:rFonts w:eastAsia="Times New Roman"/>
        </w:rPr>
        <w:t xml:space="preserve"> settings</w:t>
      </w:r>
      <w:r w:rsidRPr="003655E9">
        <w:rPr>
          <w:rFonts w:eastAsia="Times New Roman"/>
        </w:rPr>
        <w:t xml:space="preserve"> there </w:t>
      </w:r>
      <w:r>
        <w:rPr>
          <w:rFonts w:eastAsia="Times New Roman"/>
        </w:rPr>
        <w:t>is almost uniformly large-scale</w:t>
      </w:r>
      <w:r w:rsidRPr="003655E9">
        <w:rPr>
          <w:rFonts w:eastAsia="Times New Roman"/>
        </w:rPr>
        <w:t xml:space="preserve"> in</w:t>
      </w:r>
      <w:r>
        <w:rPr>
          <w:rFonts w:eastAsia="Times New Roman"/>
        </w:rPr>
        <w:t>creases in</w:t>
      </w:r>
      <w:r w:rsidRPr="003655E9">
        <w:rPr>
          <w:rFonts w:eastAsia="Times New Roman"/>
        </w:rPr>
        <w:t xml:space="preserve"> </w:t>
      </w:r>
      <w:r>
        <w:rPr>
          <w:rFonts w:eastAsia="Times New Roman"/>
        </w:rPr>
        <w:t>SGBV</w:t>
      </w:r>
      <w:r w:rsidRPr="003655E9">
        <w:rPr>
          <w:rFonts w:eastAsia="Times New Roman"/>
        </w:rPr>
        <w:t xml:space="preserve"> beyond the domestic sphere, including rape, multiple perpetrator rape, and coercive and forced sex for survival. </w:t>
      </w:r>
      <w:r>
        <w:rPr>
          <w:rFonts w:eastAsia="Times New Roman"/>
        </w:rPr>
        <w:t>While</w:t>
      </w:r>
      <w:r w:rsidRPr="003655E9">
        <w:rPr>
          <w:rFonts w:eastAsia="Times New Roman"/>
        </w:rPr>
        <w:t xml:space="preserve"> </w:t>
      </w:r>
      <w:r>
        <w:rPr>
          <w:rFonts w:eastAsia="Times New Roman"/>
        </w:rPr>
        <w:t>all</w:t>
      </w:r>
      <w:r w:rsidRPr="003655E9">
        <w:rPr>
          <w:rFonts w:eastAsia="Times New Roman"/>
        </w:rPr>
        <w:t xml:space="preserve"> social groups and individuals </w:t>
      </w:r>
      <w:r>
        <w:rPr>
          <w:rFonts w:eastAsia="Times New Roman"/>
        </w:rPr>
        <w:t>can be</w:t>
      </w:r>
      <w:r w:rsidRPr="003655E9">
        <w:rPr>
          <w:rFonts w:eastAsia="Times New Roman"/>
        </w:rPr>
        <w:t xml:space="preserve"> subjected to physical, emotional, psychological and structural violence,</w:t>
      </w:r>
      <w:r>
        <w:rPr>
          <w:rFonts w:eastAsia="Times New Roman"/>
        </w:rPr>
        <w:t xml:space="preserve"> particularly during times of conflict,</w:t>
      </w:r>
      <w:r w:rsidRPr="003655E9">
        <w:rPr>
          <w:rFonts w:eastAsia="Times New Roman"/>
        </w:rPr>
        <w:t xml:space="preserve"> women </w:t>
      </w:r>
      <w:r>
        <w:rPr>
          <w:rFonts w:eastAsia="Times New Roman"/>
        </w:rPr>
        <w:t xml:space="preserve">and girls </w:t>
      </w:r>
      <w:r w:rsidRPr="003655E9">
        <w:rPr>
          <w:rFonts w:eastAsia="Times New Roman"/>
        </w:rPr>
        <w:t xml:space="preserve">are disproportionately subjected to the perpetration or threat of </w:t>
      </w:r>
      <w:r>
        <w:rPr>
          <w:rFonts w:eastAsia="Times New Roman"/>
        </w:rPr>
        <w:t>SGBV</w:t>
      </w:r>
      <w:r w:rsidRPr="003655E9">
        <w:rPr>
          <w:rFonts w:eastAsia="Times New Roman"/>
        </w:rPr>
        <w:t>, in some or all of these forms</w:t>
      </w:r>
      <w:r>
        <w:rPr>
          <w:rFonts w:eastAsia="Times New Roman"/>
        </w:rPr>
        <w:t>.</w:t>
      </w:r>
      <w:r w:rsidRPr="003655E9">
        <w:rPr>
          <w:rStyle w:val="FootnoteReference"/>
          <w:rFonts w:eastAsia="Times New Roman"/>
        </w:rPr>
        <w:footnoteReference w:id="22"/>
      </w:r>
    </w:p>
    <w:p w14:paraId="2C9C3A56" w14:textId="77777777" w:rsidR="00C1042E" w:rsidRDefault="00C1042E" w:rsidP="00C1042E">
      <w:pPr>
        <w:jc w:val="both"/>
        <w:rPr>
          <w:rFonts w:eastAsia="Times New Roman" w:cs="Times New Roman"/>
        </w:rPr>
      </w:pPr>
    </w:p>
    <w:p w14:paraId="0076AFEA" w14:textId="77777777" w:rsidR="00C1042E" w:rsidRDefault="00C1042E" w:rsidP="00C1042E">
      <w:pPr>
        <w:jc w:val="both"/>
        <w:rPr>
          <w:rFonts w:eastAsia="Times New Roman" w:cs="Times New Roman"/>
        </w:rPr>
      </w:pPr>
    </w:p>
    <w:p w14:paraId="64476019" w14:textId="77777777" w:rsidR="00C1042E" w:rsidRPr="009252F0" w:rsidRDefault="00C1042E" w:rsidP="00C1042E">
      <w:pPr>
        <w:jc w:val="both"/>
        <w:rPr>
          <w:rFonts w:eastAsia="Times New Roman"/>
          <w:b/>
          <w:i/>
        </w:rPr>
      </w:pPr>
      <w:r>
        <w:rPr>
          <w:rFonts w:eastAsia="Times New Roman"/>
          <w:b/>
          <w:i/>
        </w:rPr>
        <w:t>SGBV</w:t>
      </w:r>
      <w:r w:rsidRPr="009252F0">
        <w:rPr>
          <w:rFonts w:eastAsia="Times New Roman"/>
          <w:b/>
          <w:i/>
        </w:rPr>
        <w:t xml:space="preserve"> Within Conflict Settings</w:t>
      </w:r>
    </w:p>
    <w:p w14:paraId="213E92DA" w14:textId="77777777" w:rsidR="00C1042E" w:rsidRDefault="00C1042E" w:rsidP="00C1042E">
      <w:pPr>
        <w:jc w:val="both"/>
        <w:rPr>
          <w:rFonts w:eastAsia="Times New Roman"/>
        </w:rPr>
      </w:pPr>
    </w:p>
    <w:p w14:paraId="7894661F" w14:textId="77777777" w:rsidR="00C1042E" w:rsidRDefault="00C1042E" w:rsidP="00C1042E">
      <w:pPr>
        <w:jc w:val="both"/>
        <w:rPr>
          <w:rFonts w:eastAsia="Times New Roman"/>
        </w:rPr>
      </w:pPr>
      <w:r w:rsidRPr="003655E9">
        <w:rPr>
          <w:rFonts w:eastAsia="Times New Roman"/>
        </w:rPr>
        <w:t xml:space="preserve">The nature of </w:t>
      </w:r>
      <w:r>
        <w:rPr>
          <w:rFonts w:eastAsia="Times New Roman"/>
        </w:rPr>
        <w:t>SGBV</w:t>
      </w:r>
      <w:r w:rsidRPr="003655E9">
        <w:rPr>
          <w:rFonts w:eastAsia="Times New Roman"/>
        </w:rPr>
        <w:t xml:space="preserve"> perpetrated </w:t>
      </w:r>
      <w:r>
        <w:rPr>
          <w:rFonts w:eastAsia="Times New Roman"/>
        </w:rPr>
        <w:t>against refugees within</w:t>
      </w:r>
      <w:r w:rsidRPr="003655E9">
        <w:rPr>
          <w:rFonts w:eastAsia="Times New Roman"/>
        </w:rPr>
        <w:t xml:space="preserve"> conflict</w:t>
      </w:r>
      <w:r>
        <w:rPr>
          <w:rFonts w:eastAsia="Times New Roman"/>
        </w:rPr>
        <w:t xml:space="preserve"> setting</w:t>
      </w:r>
      <w:r w:rsidRPr="003655E9">
        <w:rPr>
          <w:rFonts w:eastAsia="Times New Roman"/>
        </w:rPr>
        <w:t xml:space="preserve">s can be </w:t>
      </w:r>
      <w:proofErr w:type="spellStart"/>
      <w:r w:rsidRPr="003655E9">
        <w:rPr>
          <w:rFonts w:eastAsia="Times New Roman"/>
        </w:rPr>
        <w:t>cat</w:t>
      </w:r>
      <w:r>
        <w:rPr>
          <w:rFonts w:eastAsia="Times New Roman"/>
        </w:rPr>
        <w:t>egoris</w:t>
      </w:r>
      <w:r w:rsidRPr="003655E9">
        <w:rPr>
          <w:rFonts w:eastAsia="Times New Roman"/>
        </w:rPr>
        <w:t>ed</w:t>
      </w:r>
      <w:proofErr w:type="spellEnd"/>
      <w:r w:rsidRPr="003655E9">
        <w:rPr>
          <w:rFonts w:eastAsia="Times New Roman"/>
        </w:rPr>
        <w:t xml:space="preserve"> into </w:t>
      </w:r>
      <w:r>
        <w:rPr>
          <w:rFonts w:eastAsia="Times New Roman"/>
        </w:rPr>
        <w:t>first, SGBV</w:t>
      </w:r>
      <w:r w:rsidRPr="003655E9">
        <w:rPr>
          <w:rFonts w:eastAsia="Times New Roman"/>
        </w:rPr>
        <w:t xml:space="preserve"> perpetrated as a method of warfare</w:t>
      </w:r>
      <w:r>
        <w:rPr>
          <w:rStyle w:val="FootnoteReference"/>
          <w:rFonts w:eastAsia="Times New Roman"/>
        </w:rPr>
        <w:footnoteReference w:id="23"/>
      </w:r>
      <w:r w:rsidRPr="003655E9">
        <w:rPr>
          <w:rFonts w:eastAsia="Times New Roman"/>
        </w:rPr>
        <w:t xml:space="preserve"> </w:t>
      </w:r>
      <w:r>
        <w:rPr>
          <w:rFonts w:eastAsia="Times New Roman"/>
        </w:rPr>
        <w:t>and secondly, opportunistic violence.</w:t>
      </w:r>
    </w:p>
    <w:p w14:paraId="701EA48D" w14:textId="77777777" w:rsidR="00C1042E" w:rsidRDefault="00C1042E" w:rsidP="00C1042E">
      <w:pPr>
        <w:jc w:val="both"/>
        <w:rPr>
          <w:rFonts w:eastAsia="Times New Roman"/>
        </w:rPr>
      </w:pPr>
    </w:p>
    <w:p w14:paraId="629BA7A3" w14:textId="77777777" w:rsidR="00C1042E" w:rsidRDefault="00C1042E" w:rsidP="00C1042E">
      <w:pPr>
        <w:jc w:val="both"/>
        <w:rPr>
          <w:rFonts w:eastAsia="Times New Roman"/>
        </w:rPr>
      </w:pPr>
      <w:r>
        <w:rPr>
          <w:rFonts w:eastAsia="Times New Roman"/>
        </w:rPr>
        <w:t>An awareness of the</w:t>
      </w:r>
      <w:r w:rsidRPr="003655E9">
        <w:rPr>
          <w:rFonts w:eastAsia="Times New Roman"/>
        </w:rPr>
        <w:t xml:space="preserve"> implications </w:t>
      </w:r>
      <w:r>
        <w:rPr>
          <w:rFonts w:eastAsia="Times New Roman"/>
        </w:rPr>
        <w:t xml:space="preserve">of rape as affecting the individual survivor, the family and the community </w:t>
      </w:r>
      <w:r w:rsidRPr="003655E9">
        <w:rPr>
          <w:rFonts w:eastAsia="Times New Roman"/>
        </w:rPr>
        <w:t>often underlies the use of rape as a strategy of warfare.</w:t>
      </w:r>
      <w:r w:rsidRPr="003655E9">
        <w:rPr>
          <w:rStyle w:val="FootnoteReference"/>
          <w:rFonts w:eastAsia="Times New Roman"/>
        </w:rPr>
        <w:footnoteReference w:id="24"/>
      </w:r>
      <w:r>
        <w:rPr>
          <w:rFonts w:eastAsia="Times New Roman"/>
        </w:rPr>
        <w:t xml:space="preserve"> I</w:t>
      </w:r>
      <w:r w:rsidRPr="00E606B0">
        <w:rPr>
          <w:rFonts w:eastAsia="Times New Roman"/>
        </w:rPr>
        <w:t xml:space="preserve">n many cultures, notions of family </w:t>
      </w:r>
      <w:proofErr w:type="spellStart"/>
      <w:r w:rsidRPr="00E606B0">
        <w:rPr>
          <w:rFonts w:eastAsia="Times New Roman"/>
        </w:rPr>
        <w:t>honour</w:t>
      </w:r>
      <w:proofErr w:type="spellEnd"/>
      <w:r w:rsidRPr="00E606B0">
        <w:rPr>
          <w:rFonts w:eastAsia="Times New Roman"/>
        </w:rPr>
        <w:t xml:space="preserve"> are tied to a daughter’s virginity and social concepts of </w:t>
      </w:r>
      <w:proofErr w:type="spellStart"/>
      <w:r w:rsidRPr="00E606B0">
        <w:rPr>
          <w:rFonts w:eastAsia="Times New Roman"/>
        </w:rPr>
        <w:t>honour</w:t>
      </w:r>
      <w:proofErr w:type="spellEnd"/>
      <w:r w:rsidRPr="00E606B0">
        <w:rPr>
          <w:rFonts w:eastAsia="Times New Roman"/>
        </w:rPr>
        <w:t xml:space="preserve"> may be intricately linked to the female body.</w:t>
      </w:r>
    </w:p>
    <w:p w14:paraId="087B0025" w14:textId="77777777" w:rsidR="00C1042E" w:rsidRDefault="00C1042E" w:rsidP="00C1042E">
      <w:pPr>
        <w:jc w:val="both"/>
        <w:rPr>
          <w:rFonts w:eastAsia="Times New Roman"/>
        </w:rPr>
      </w:pPr>
    </w:p>
    <w:p w14:paraId="71C13C71" w14:textId="4E76AB4B" w:rsidR="00C1042E" w:rsidRDefault="00C1042E" w:rsidP="00C1042E">
      <w:pPr>
        <w:jc w:val="both"/>
        <w:rPr>
          <w:rFonts w:eastAsia="Times New Roman"/>
        </w:rPr>
      </w:pPr>
      <w:r>
        <w:rPr>
          <w:rFonts w:eastAsia="Times New Roman"/>
        </w:rPr>
        <w:t>Investigations by the United Nations’ International Criminal Tribunal for the former Yugoslavia (ICTY)</w:t>
      </w:r>
      <w:r w:rsidRPr="003655E9">
        <w:rPr>
          <w:rFonts w:eastAsia="Times New Roman"/>
        </w:rPr>
        <w:t xml:space="preserve"> </w:t>
      </w:r>
      <w:r>
        <w:rPr>
          <w:rFonts w:eastAsia="Times New Roman"/>
        </w:rPr>
        <w:t xml:space="preserve">into sexual violence </w:t>
      </w:r>
      <w:r w:rsidR="007A776D" w:rsidRPr="00F44EB4">
        <w:rPr>
          <w:rFonts w:eastAsia="Times New Roman"/>
        </w:rPr>
        <w:t>pe</w:t>
      </w:r>
      <w:r w:rsidR="0034774C" w:rsidRPr="00F44EB4">
        <w:rPr>
          <w:rFonts w:eastAsia="Times New Roman"/>
        </w:rPr>
        <w:t>rpetrated during the</w:t>
      </w:r>
      <w:r w:rsidR="007B208D" w:rsidRPr="00F44EB4">
        <w:rPr>
          <w:rFonts w:eastAsia="Times New Roman"/>
        </w:rPr>
        <w:t xml:space="preserve"> 1991-2001</w:t>
      </w:r>
      <w:r w:rsidR="00B77692" w:rsidRPr="00F44EB4">
        <w:rPr>
          <w:rFonts w:eastAsia="Times New Roman"/>
        </w:rPr>
        <w:t xml:space="preserve"> </w:t>
      </w:r>
      <w:r w:rsidR="007A776D" w:rsidRPr="00F44EB4">
        <w:rPr>
          <w:rFonts w:eastAsia="Times New Roman"/>
        </w:rPr>
        <w:t>Yugoslav Wars</w:t>
      </w:r>
      <w:r w:rsidRPr="003655E9">
        <w:rPr>
          <w:rFonts w:eastAsia="Times New Roman"/>
        </w:rPr>
        <w:t xml:space="preserve"> describe rap</w:t>
      </w:r>
      <w:r>
        <w:rPr>
          <w:rFonts w:eastAsia="Times New Roman"/>
        </w:rPr>
        <w:t xml:space="preserve">e as a weapon of war designed to </w:t>
      </w:r>
      <w:proofErr w:type="spellStart"/>
      <w:r>
        <w:rPr>
          <w:rFonts w:eastAsia="Times New Roman"/>
        </w:rPr>
        <w:t>terroris</w:t>
      </w:r>
      <w:r w:rsidRPr="003655E9">
        <w:rPr>
          <w:rFonts w:eastAsia="Times New Roman"/>
        </w:rPr>
        <w:t>e</w:t>
      </w:r>
      <w:proofErr w:type="spellEnd"/>
      <w:r w:rsidRPr="003655E9">
        <w:rPr>
          <w:rFonts w:eastAsia="Times New Roman"/>
        </w:rPr>
        <w:t xml:space="preserve"> and humiliate communities as well as </w:t>
      </w:r>
      <w:r>
        <w:rPr>
          <w:rFonts w:eastAsia="Times New Roman"/>
        </w:rPr>
        <w:t xml:space="preserve">serve as </w:t>
      </w:r>
      <w:r w:rsidRPr="003655E9">
        <w:rPr>
          <w:rFonts w:eastAsia="Times New Roman"/>
        </w:rPr>
        <w:t>a tool o</w:t>
      </w:r>
      <w:r>
        <w:rPr>
          <w:rFonts w:eastAsia="Times New Roman"/>
        </w:rPr>
        <w:t xml:space="preserve">f genocide. Similar warfare strategies </w:t>
      </w:r>
      <w:r w:rsidRPr="003655E9">
        <w:rPr>
          <w:rFonts w:eastAsia="Times New Roman"/>
        </w:rPr>
        <w:t xml:space="preserve">have been </w:t>
      </w:r>
      <w:r>
        <w:rPr>
          <w:rFonts w:eastAsia="Times New Roman"/>
        </w:rPr>
        <w:t>deployed</w:t>
      </w:r>
      <w:r w:rsidRPr="003655E9">
        <w:rPr>
          <w:rFonts w:eastAsia="Times New Roman"/>
        </w:rPr>
        <w:t xml:space="preserve"> in</w:t>
      </w:r>
      <w:r>
        <w:rPr>
          <w:rFonts w:eastAsia="Times New Roman"/>
        </w:rPr>
        <w:t xml:space="preserve"> recent conflicts afflicting</w:t>
      </w:r>
      <w:r w:rsidRPr="003655E9">
        <w:rPr>
          <w:rFonts w:eastAsia="Times New Roman"/>
        </w:rPr>
        <w:t xml:space="preserve"> Somalia, Rwanda, Sri Lanka, </w:t>
      </w:r>
      <w:r>
        <w:rPr>
          <w:rFonts w:eastAsia="Times New Roman"/>
        </w:rPr>
        <w:t xml:space="preserve">the </w:t>
      </w:r>
      <w:r w:rsidRPr="003655E9">
        <w:rPr>
          <w:rFonts w:eastAsia="Times New Roman"/>
        </w:rPr>
        <w:t>Eastern Democratic Republic of Congo, Sie</w:t>
      </w:r>
      <w:r>
        <w:rPr>
          <w:rFonts w:eastAsia="Times New Roman"/>
        </w:rPr>
        <w:t>rra Leone, and Sudan</w:t>
      </w:r>
      <w:r w:rsidRPr="003655E9">
        <w:rPr>
          <w:rFonts w:eastAsia="Times New Roman"/>
        </w:rPr>
        <w:t>.</w:t>
      </w:r>
      <w:r>
        <w:rPr>
          <w:rStyle w:val="FootnoteReference"/>
          <w:rFonts w:eastAsia="Times New Roman"/>
        </w:rPr>
        <w:footnoteReference w:id="25"/>
      </w:r>
      <w:r w:rsidRPr="003655E9">
        <w:rPr>
          <w:rFonts w:eastAsia="Times New Roman"/>
        </w:rPr>
        <w:t xml:space="preserve"> </w:t>
      </w:r>
    </w:p>
    <w:p w14:paraId="1D38B350" w14:textId="77777777" w:rsidR="00C1042E" w:rsidRDefault="00C1042E" w:rsidP="00C1042E">
      <w:pPr>
        <w:jc w:val="both"/>
      </w:pPr>
    </w:p>
    <w:p w14:paraId="2343CC12" w14:textId="478BE0C6" w:rsidR="00C1042E" w:rsidRPr="001D0310" w:rsidRDefault="00C1042E" w:rsidP="00C1042E">
      <w:pPr>
        <w:jc w:val="both"/>
        <w:rPr>
          <w:rFonts w:eastAsia="Times New Roman"/>
        </w:rPr>
      </w:pPr>
      <w:r>
        <w:rPr>
          <w:rFonts w:eastAsia="Times New Roman"/>
        </w:rPr>
        <w:t>SGBV may also encompass</w:t>
      </w:r>
      <w:r w:rsidRPr="003655E9">
        <w:rPr>
          <w:rFonts w:eastAsia="Times New Roman"/>
        </w:rPr>
        <w:t xml:space="preserve"> opportunistic violence perpetrated within the climate of impunity present in </w:t>
      </w:r>
      <w:r>
        <w:rPr>
          <w:rFonts w:eastAsia="Times New Roman"/>
        </w:rPr>
        <w:t>conflict</w:t>
      </w:r>
      <w:r w:rsidRPr="003655E9">
        <w:rPr>
          <w:rFonts w:eastAsia="Times New Roman"/>
        </w:rPr>
        <w:t xml:space="preserve"> zones where there </w:t>
      </w:r>
      <w:r>
        <w:rPr>
          <w:rFonts w:eastAsia="Times New Roman"/>
        </w:rPr>
        <w:t>exists</w:t>
      </w:r>
      <w:r w:rsidRPr="003655E9">
        <w:rPr>
          <w:rFonts w:eastAsia="Times New Roman"/>
        </w:rPr>
        <w:t xml:space="preserve"> a breakdown of both social and legal systems. Even though not an explicit strategy</w:t>
      </w:r>
      <w:r>
        <w:rPr>
          <w:rFonts w:eastAsia="Times New Roman"/>
        </w:rPr>
        <w:t xml:space="preserve"> of war</w:t>
      </w:r>
      <w:r w:rsidR="00E7412B">
        <w:rPr>
          <w:rFonts w:eastAsia="Times New Roman"/>
        </w:rPr>
        <w:t>fare</w:t>
      </w:r>
      <w:r w:rsidRPr="003655E9">
        <w:rPr>
          <w:rFonts w:eastAsia="Times New Roman"/>
        </w:rPr>
        <w:t xml:space="preserve">, such </w:t>
      </w:r>
      <w:r>
        <w:rPr>
          <w:rFonts w:eastAsia="Times New Roman"/>
        </w:rPr>
        <w:t xml:space="preserve">aberrant </w:t>
      </w:r>
      <w:r w:rsidRPr="003655E9">
        <w:rPr>
          <w:rFonts w:eastAsia="Times New Roman"/>
        </w:rPr>
        <w:t xml:space="preserve">acts may be both systematic and </w:t>
      </w:r>
      <w:r>
        <w:rPr>
          <w:rFonts w:eastAsia="Times New Roman"/>
        </w:rPr>
        <w:t>large-</w:t>
      </w:r>
      <w:r w:rsidRPr="003655E9">
        <w:rPr>
          <w:rFonts w:eastAsia="Times New Roman"/>
        </w:rPr>
        <w:t xml:space="preserve">scale. These </w:t>
      </w:r>
      <w:r>
        <w:rPr>
          <w:rFonts w:eastAsia="Times New Roman"/>
        </w:rPr>
        <w:t>crimes</w:t>
      </w:r>
      <w:r w:rsidRPr="003655E9">
        <w:rPr>
          <w:rFonts w:eastAsia="Times New Roman"/>
        </w:rPr>
        <w:t xml:space="preserve"> </w:t>
      </w:r>
      <w:r>
        <w:rPr>
          <w:rFonts w:eastAsia="Times New Roman"/>
        </w:rPr>
        <w:t>do</w:t>
      </w:r>
      <w:r w:rsidRPr="003655E9">
        <w:rPr>
          <w:rFonts w:eastAsia="Times New Roman"/>
        </w:rPr>
        <w:t xml:space="preserve"> not usually </w:t>
      </w:r>
      <w:r>
        <w:rPr>
          <w:rFonts w:eastAsia="Times New Roman"/>
        </w:rPr>
        <w:t xml:space="preserve">fall within </w:t>
      </w:r>
      <w:r w:rsidRPr="003655E9">
        <w:rPr>
          <w:rFonts w:eastAsia="Times New Roman"/>
        </w:rPr>
        <w:t>the purview of international tribunals but rather of local justice systems; systems which are</w:t>
      </w:r>
      <w:r>
        <w:rPr>
          <w:rFonts w:eastAsia="Times New Roman"/>
        </w:rPr>
        <w:t xml:space="preserve"> usually </w:t>
      </w:r>
      <w:r w:rsidRPr="003655E9">
        <w:rPr>
          <w:rFonts w:eastAsia="Times New Roman"/>
        </w:rPr>
        <w:t xml:space="preserve">dysfunctional </w:t>
      </w:r>
      <w:r>
        <w:rPr>
          <w:rFonts w:eastAsia="Times New Roman"/>
        </w:rPr>
        <w:t>due to armed conflict</w:t>
      </w:r>
      <w:r w:rsidRPr="003655E9">
        <w:rPr>
          <w:rFonts w:eastAsia="Times New Roman"/>
        </w:rPr>
        <w:t xml:space="preserve"> where impunity is the norm.</w:t>
      </w:r>
      <w:r w:rsidRPr="003655E9">
        <w:rPr>
          <w:rStyle w:val="FootnoteReference"/>
          <w:rFonts w:eastAsia="Times New Roman"/>
        </w:rPr>
        <w:footnoteReference w:id="26"/>
      </w:r>
      <w:r>
        <w:rPr>
          <w:rFonts w:eastAsia="Times New Roman"/>
        </w:rPr>
        <w:t xml:space="preserve"> T</w:t>
      </w:r>
      <w:r>
        <w:t>he international community largely abdicates</w:t>
      </w:r>
      <w:r w:rsidRPr="003655E9">
        <w:t xml:space="preserve"> </w:t>
      </w:r>
      <w:r>
        <w:t xml:space="preserve">to domestic law </w:t>
      </w:r>
      <w:r w:rsidRPr="003655E9">
        <w:t xml:space="preserve">jurisdiction over rape, sexual </w:t>
      </w:r>
      <w:r>
        <w:t xml:space="preserve">assault (including </w:t>
      </w:r>
      <w:r w:rsidRPr="003655E9">
        <w:t>murder</w:t>
      </w:r>
      <w:r>
        <w:t>), forced prostitution</w:t>
      </w:r>
      <w:r w:rsidRPr="003655E9">
        <w:t xml:space="preserve"> and reproductive subordination. </w:t>
      </w:r>
      <w:proofErr w:type="spellStart"/>
      <w:r w:rsidRPr="001D0310">
        <w:t>Margareth</w:t>
      </w:r>
      <w:proofErr w:type="spellEnd"/>
      <w:r w:rsidRPr="001D0310">
        <w:t xml:space="preserve"> Etienne </w:t>
      </w:r>
      <w:r>
        <w:t>argues that i</w:t>
      </w:r>
      <w:r w:rsidRPr="003655E9">
        <w:t xml:space="preserve">t is unclear why </w:t>
      </w:r>
      <w:r>
        <w:t>SGBV</w:t>
      </w:r>
      <w:r w:rsidRPr="003655E9">
        <w:t xml:space="preserve"> abuses </w:t>
      </w:r>
      <w:r>
        <w:t>in most instances are left to the</w:t>
      </w:r>
      <w:r w:rsidRPr="003655E9">
        <w:t xml:space="preserve"> discretion of</w:t>
      </w:r>
      <w:r>
        <w:t xml:space="preserve"> (often dysfunctional) domestic judicial systems </w:t>
      </w:r>
      <w:r>
        <w:lastRenderedPageBreak/>
        <w:t xml:space="preserve">while other types of </w:t>
      </w:r>
      <w:r w:rsidRPr="003655E9">
        <w:t xml:space="preserve">human rights violations </w:t>
      </w:r>
      <w:r>
        <w:t>are far more commonly dealt with at the international level</w:t>
      </w:r>
      <w:r w:rsidRPr="003655E9">
        <w:t>.</w:t>
      </w:r>
      <w:r w:rsidRPr="003655E9">
        <w:rPr>
          <w:rStyle w:val="FootnoteReference"/>
        </w:rPr>
        <w:footnoteReference w:id="27"/>
      </w:r>
    </w:p>
    <w:p w14:paraId="7AF8975E" w14:textId="77777777" w:rsidR="00C1042E" w:rsidRDefault="00C1042E" w:rsidP="00C1042E">
      <w:pPr>
        <w:jc w:val="both"/>
      </w:pPr>
    </w:p>
    <w:p w14:paraId="2DD3E045" w14:textId="77777777" w:rsidR="00C1042E" w:rsidRDefault="00C1042E" w:rsidP="00C1042E">
      <w:pPr>
        <w:jc w:val="both"/>
      </w:pPr>
    </w:p>
    <w:p w14:paraId="344F78EE" w14:textId="77777777" w:rsidR="00C1042E" w:rsidRPr="001D0310" w:rsidRDefault="00C1042E" w:rsidP="00C1042E">
      <w:pPr>
        <w:jc w:val="both"/>
        <w:rPr>
          <w:b/>
          <w:i/>
          <w:caps/>
        </w:rPr>
      </w:pPr>
      <w:r>
        <w:rPr>
          <w:b/>
          <w:i/>
        </w:rPr>
        <w:t>Structural and Physical SGBV</w:t>
      </w:r>
    </w:p>
    <w:p w14:paraId="67DF0F56" w14:textId="77777777" w:rsidR="00C1042E" w:rsidRPr="003655E9" w:rsidRDefault="00C1042E" w:rsidP="00C1042E">
      <w:pPr>
        <w:jc w:val="both"/>
        <w:rPr>
          <w:b/>
        </w:rPr>
      </w:pPr>
    </w:p>
    <w:p w14:paraId="735C3E04" w14:textId="5A71B965" w:rsidR="00C1042E" w:rsidRPr="003655E9" w:rsidRDefault="00C1042E" w:rsidP="00C1042E">
      <w:pPr>
        <w:jc w:val="both"/>
        <w:rPr>
          <w:rFonts w:eastAsia="Times New Roman"/>
        </w:rPr>
      </w:pPr>
      <w:r>
        <w:rPr>
          <w:rFonts w:eastAsia="Times New Roman"/>
        </w:rPr>
        <w:t xml:space="preserve">The SGBV to which refugees are subject can also be </w:t>
      </w:r>
      <w:proofErr w:type="spellStart"/>
      <w:r>
        <w:rPr>
          <w:rFonts w:eastAsia="Times New Roman"/>
        </w:rPr>
        <w:t>categorised</w:t>
      </w:r>
      <w:proofErr w:type="spellEnd"/>
      <w:r>
        <w:rPr>
          <w:rFonts w:eastAsia="Times New Roman"/>
        </w:rPr>
        <w:t xml:space="preserve"> by dividing SGBV</w:t>
      </w:r>
      <w:r w:rsidRPr="003655E9">
        <w:rPr>
          <w:rFonts w:eastAsia="Times New Roman"/>
        </w:rPr>
        <w:t xml:space="preserve"> </w:t>
      </w:r>
      <w:r>
        <w:rPr>
          <w:rFonts w:eastAsia="Times New Roman"/>
        </w:rPr>
        <w:t>into two main categories for analytical purposes –</w:t>
      </w:r>
      <w:r w:rsidRPr="003655E9">
        <w:rPr>
          <w:rFonts w:eastAsia="Times New Roman"/>
        </w:rPr>
        <w:t xml:space="preserve"> structural violence and physical violence.</w:t>
      </w:r>
      <w:r w:rsidRPr="003655E9">
        <w:rPr>
          <w:rStyle w:val="FootnoteReference"/>
          <w:rFonts w:eastAsia="Times New Roman"/>
        </w:rPr>
        <w:footnoteReference w:id="28"/>
      </w:r>
      <w:r>
        <w:rPr>
          <w:rFonts w:eastAsia="Times New Roman"/>
        </w:rPr>
        <w:t xml:space="preserve"> </w:t>
      </w:r>
      <w:r w:rsidRPr="003655E9">
        <w:rPr>
          <w:rFonts w:eastAsia="Times New Roman"/>
        </w:rPr>
        <w:t>Both structural and physical violence agai</w:t>
      </w:r>
      <w:r>
        <w:rPr>
          <w:rFonts w:eastAsia="Times New Roman"/>
        </w:rPr>
        <w:t>nst refugees, particularly refugee women, systematically occur</w:t>
      </w:r>
      <w:r w:rsidR="00FF3C1D">
        <w:rPr>
          <w:rFonts w:eastAsia="Times New Roman"/>
        </w:rPr>
        <w:t>s</w:t>
      </w:r>
      <w:r>
        <w:rPr>
          <w:rFonts w:eastAsia="Times New Roman"/>
        </w:rPr>
        <w:t xml:space="preserve"> throughout the refugee experience</w:t>
      </w:r>
      <w:r w:rsidRPr="003655E9">
        <w:rPr>
          <w:rFonts w:eastAsia="Times New Roman"/>
        </w:rPr>
        <w:t>.</w:t>
      </w:r>
      <w:r w:rsidRPr="003655E9">
        <w:rPr>
          <w:rStyle w:val="FootnoteReference"/>
          <w:rFonts w:eastAsia="Times New Roman"/>
        </w:rPr>
        <w:footnoteReference w:id="29"/>
      </w:r>
    </w:p>
    <w:p w14:paraId="34C40F3F" w14:textId="77777777" w:rsidR="00C1042E" w:rsidRPr="003655E9" w:rsidRDefault="00C1042E" w:rsidP="00C1042E">
      <w:pPr>
        <w:jc w:val="both"/>
        <w:rPr>
          <w:rFonts w:eastAsia="Times New Roman"/>
        </w:rPr>
      </w:pPr>
    </w:p>
    <w:p w14:paraId="6089BE06" w14:textId="48FC080B" w:rsidR="00C1042E" w:rsidRPr="001D0310" w:rsidRDefault="00C1042E" w:rsidP="00C1042E">
      <w:pPr>
        <w:jc w:val="both"/>
        <w:rPr>
          <w:rFonts w:eastAsia="Times New Roman"/>
          <w:b/>
        </w:rPr>
      </w:pPr>
      <w:r w:rsidRPr="003655E9">
        <w:rPr>
          <w:rFonts w:eastAsia="Times New Roman"/>
        </w:rPr>
        <w:t xml:space="preserve">Structural violence occurs when rules or policies systematically discriminate against or degrade </w:t>
      </w:r>
      <w:r>
        <w:rPr>
          <w:rFonts w:eastAsia="Times New Roman"/>
        </w:rPr>
        <w:t xml:space="preserve">specific </w:t>
      </w:r>
      <w:r w:rsidRPr="003655E9">
        <w:rPr>
          <w:rFonts w:eastAsia="Times New Roman"/>
        </w:rPr>
        <w:t xml:space="preserve">groups within </w:t>
      </w:r>
      <w:r>
        <w:rPr>
          <w:rFonts w:eastAsia="Times New Roman"/>
        </w:rPr>
        <w:t>a community. Inside</w:t>
      </w:r>
      <w:r w:rsidRPr="003655E9">
        <w:rPr>
          <w:rFonts w:eastAsia="Times New Roman"/>
        </w:rPr>
        <w:t xml:space="preserve"> refugee camps, the </w:t>
      </w:r>
      <w:r>
        <w:rPr>
          <w:rFonts w:eastAsia="Times New Roman"/>
        </w:rPr>
        <w:t xml:space="preserve">administration and </w:t>
      </w:r>
      <w:r w:rsidRPr="003655E9">
        <w:rPr>
          <w:rFonts w:eastAsia="Times New Roman"/>
        </w:rPr>
        <w:t>physical layout of the camp itself</w:t>
      </w:r>
      <w:r>
        <w:rPr>
          <w:rFonts w:eastAsia="Times New Roman"/>
        </w:rPr>
        <w:t>,</w:t>
      </w:r>
      <w:r w:rsidRPr="003655E9">
        <w:rPr>
          <w:rFonts w:eastAsia="Times New Roman"/>
        </w:rPr>
        <w:t xml:space="preserve"> to policies relating to security, healthcare,</w:t>
      </w:r>
      <w:r>
        <w:rPr>
          <w:rFonts w:eastAsia="Times New Roman"/>
        </w:rPr>
        <w:t xml:space="preserve"> shelter, food distribution </w:t>
      </w:r>
      <w:r w:rsidRPr="003655E9">
        <w:rPr>
          <w:rFonts w:eastAsia="Times New Roman"/>
        </w:rPr>
        <w:t xml:space="preserve">and sanitation systems </w:t>
      </w:r>
      <w:r>
        <w:rPr>
          <w:rFonts w:eastAsia="Times New Roman"/>
        </w:rPr>
        <w:t xml:space="preserve">specifically </w:t>
      </w:r>
      <w:r w:rsidRPr="003655E9">
        <w:rPr>
          <w:rFonts w:eastAsia="Times New Roman"/>
        </w:rPr>
        <w:t>discriminate against and degrade women.</w:t>
      </w:r>
      <w:r w:rsidRPr="0070632E">
        <w:rPr>
          <w:rStyle w:val="FootnoteReference"/>
          <w:rFonts w:eastAsia="Times New Roman"/>
        </w:rPr>
        <w:t xml:space="preserve"> </w:t>
      </w:r>
      <w:r w:rsidRPr="003655E9">
        <w:rPr>
          <w:rStyle w:val="FootnoteReference"/>
          <w:rFonts w:eastAsia="Times New Roman"/>
        </w:rPr>
        <w:footnoteReference w:id="30"/>
      </w:r>
      <w:r w:rsidRPr="003655E9">
        <w:rPr>
          <w:rFonts w:eastAsia="Times New Roman"/>
        </w:rPr>
        <w:t xml:space="preserve">  </w:t>
      </w:r>
      <w:r>
        <w:rPr>
          <w:rFonts w:eastAsia="Times New Roman"/>
        </w:rPr>
        <w:t xml:space="preserve">A prominent example of structural violence within the refugee setting </w:t>
      </w:r>
      <w:r w:rsidRPr="003655E9">
        <w:rPr>
          <w:rFonts w:eastAsia="Times New Roman"/>
        </w:rPr>
        <w:t xml:space="preserve">is the </w:t>
      </w:r>
      <w:r>
        <w:rPr>
          <w:rFonts w:eastAsia="Times New Roman"/>
        </w:rPr>
        <w:t xml:space="preserve">widespread </w:t>
      </w:r>
      <w:r w:rsidRPr="003655E9">
        <w:rPr>
          <w:rFonts w:eastAsia="Times New Roman"/>
        </w:rPr>
        <w:t xml:space="preserve">policy of giving </w:t>
      </w:r>
      <w:r w:rsidR="00496AED">
        <w:rPr>
          <w:rFonts w:eastAsia="Times New Roman"/>
        </w:rPr>
        <w:t xml:space="preserve">only </w:t>
      </w:r>
      <w:r w:rsidRPr="003655E9">
        <w:rPr>
          <w:rFonts w:eastAsia="Times New Roman"/>
        </w:rPr>
        <w:t>one ration card per family in the name of the male head of household. Such practices perpetuate women's dependence and strengthen men's control over women</w:t>
      </w:r>
      <w:r>
        <w:rPr>
          <w:rFonts w:eastAsia="Times New Roman"/>
        </w:rPr>
        <w:t>, ultimately</w:t>
      </w:r>
      <w:r w:rsidRPr="003655E9">
        <w:rPr>
          <w:rFonts w:eastAsia="Times New Roman"/>
        </w:rPr>
        <w:t xml:space="preserve"> rendering women more vulnerable to SGBV.</w:t>
      </w:r>
      <w:r w:rsidRPr="003655E9">
        <w:rPr>
          <w:rStyle w:val="FootnoteReference"/>
          <w:rFonts w:eastAsia="Times New Roman"/>
        </w:rPr>
        <w:footnoteReference w:id="31"/>
      </w:r>
      <w:r>
        <w:rPr>
          <w:rFonts w:eastAsia="Times New Roman"/>
        </w:rPr>
        <w:t xml:space="preserve"> Further, t</w:t>
      </w:r>
      <w:r w:rsidRPr="003655E9">
        <w:rPr>
          <w:rFonts w:eastAsia="Times New Roman"/>
        </w:rPr>
        <w:t xml:space="preserve">he structural violence that women experience in </w:t>
      </w:r>
      <w:r>
        <w:rPr>
          <w:rFonts w:eastAsia="Times New Roman"/>
        </w:rPr>
        <w:t>refugee settings</w:t>
      </w:r>
      <w:r w:rsidRPr="003655E9">
        <w:rPr>
          <w:rFonts w:eastAsia="Times New Roman"/>
        </w:rPr>
        <w:t xml:space="preserve"> </w:t>
      </w:r>
      <w:r>
        <w:rPr>
          <w:rFonts w:eastAsia="Times New Roman"/>
        </w:rPr>
        <w:t>may provide</w:t>
      </w:r>
      <w:r w:rsidRPr="003655E9">
        <w:rPr>
          <w:rFonts w:eastAsia="Times New Roman"/>
        </w:rPr>
        <w:t xml:space="preserve"> the basis fo</w:t>
      </w:r>
      <w:r>
        <w:rPr>
          <w:rFonts w:eastAsia="Times New Roman"/>
        </w:rPr>
        <w:t xml:space="preserve">r physical violence </w:t>
      </w:r>
      <w:r w:rsidRPr="003655E9">
        <w:rPr>
          <w:rFonts w:eastAsia="Times New Roman"/>
        </w:rPr>
        <w:t>perpetrated against them.</w:t>
      </w:r>
      <w:r>
        <w:rPr>
          <w:rStyle w:val="FootnoteReference"/>
          <w:rFonts w:eastAsia="Times New Roman"/>
        </w:rPr>
        <w:footnoteReference w:id="32"/>
      </w:r>
    </w:p>
    <w:p w14:paraId="1F4BD9BA" w14:textId="77777777" w:rsidR="00C1042E" w:rsidRDefault="00C1042E" w:rsidP="00C1042E">
      <w:pPr>
        <w:jc w:val="both"/>
        <w:rPr>
          <w:rFonts w:eastAsia="Times New Roman"/>
        </w:rPr>
      </w:pPr>
    </w:p>
    <w:p w14:paraId="3BEC7D7A" w14:textId="77777777" w:rsidR="00C1042E" w:rsidRDefault="00C1042E" w:rsidP="00C1042E">
      <w:pPr>
        <w:jc w:val="both"/>
        <w:rPr>
          <w:rFonts w:eastAsia="Times New Roman"/>
        </w:rPr>
      </w:pPr>
      <w:r w:rsidRPr="002E6457">
        <w:rPr>
          <w:rFonts w:eastAsia="Times New Roman"/>
        </w:rPr>
        <w:t>Physical</w:t>
      </w:r>
      <w:r>
        <w:rPr>
          <w:rFonts w:eastAsia="Times New Roman"/>
        </w:rPr>
        <w:t xml:space="preserve"> violence</w:t>
      </w:r>
      <w:r w:rsidRPr="002E6457">
        <w:rPr>
          <w:rFonts w:eastAsia="Times New Roman"/>
        </w:rPr>
        <w:t xml:space="preserve"> </w:t>
      </w:r>
      <w:r w:rsidRPr="003655E9">
        <w:rPr>
          <w:rFonts w:eastAsia="Times New Roman"/>
        </w:rPr>
        <w:t xml:space="preserve">includes the entire spectrum of </w:t>
      </w:r>
      <w:r>
        <w:rPr>
          <w:rFonts w:eastAsia="Times New Roman"/>
        </w:rPr>
        <w:t xml:space="preserve">harmful </w:t>
      </w:r>
      <w:r w:rsidRPr="003655E9">
        <w:rPr>
          <w:rFonts w:eastAsia="Times New Roman"/>
        </w:rPr>
        <w:t>physical contact, including sexual bartering, public beating, domestic vio</w:t>
      </w:r>
      <w:r>
        <w:rPr>
          <w:rFonts w:eastAsia="Times New Roman"/>
        </w:rPr>
        <w:t>lence, sexual assault and rape</w:t>
      </w:r>
      <w:r w:rsidRPr="003655E9">
        <w:rPr>
          <w:rFonts w:eastAsia="Times New Roman"/>
        </w:rPr>
        <w:t>.</w:t>
      </w:r>
      <w:r w:rsidRPr="003655E9">
        <w:rPr>
          <w:rStyle w:val="FootnoteReference"/>
          <w:rFonts w:eastAsia="Times New Roman"/>
        </w:rPr>
        <w:footnoteReference w:id="33"/>
      </w:r>
      <w:r>
        <w:rPr>
          <w:rFonts w:eastAsia="Times New Roman"/>
        </w:rPr>
        <w:t xml:space="preserve"> </w:t>
      </w:r>
      <w:r w:rsidRPr="002E6457">
        <w:rPr>
          <w:rFonts w:eastAsia="Times New Roman"/>
        </w:rPr>
        <w:t>It includes all types of phys</w:t>
      </w:r>
      <w:r>
        <w:rPr>
          <w:rFonts w:eastAsia="Times New Roman"/>
        </w:rPr>
        <w:t>ical assault including attempts</w:t>
      </w:r>
      <w:r w:rsidRPr="002E6457">
        <w:rPr>
          <w:rFonts w:eastAsia="Times New Roman"/>
        </w:rPr>
        <w:t xml:space="preserve"> and threats of assault as well as harmful traditional practices such as </w:t>
      </w:r>
      <w:r>
        <w:rPr>
          <w:rFonts w:eastAsia="Times New Roman"/>
        </w:rPr>
        <w:t>early/forced</w:t>
      </w:r>
      <w:r w:rsidRPr="002E6457">
        <w:rPr>
          <w:rFonts w:eastAsia="Times New Roman"/>
        </w:rPr>
        <w:t xml:space="preserve"> marriage and female genital mutilation. Emotional an</w:t>
      </w:r>
      <w:r>
        <w:rPr>
          <w:rFonts w:eastAsia="Times New Roman"/>
        </w:rPr>
        <w:t>d psychological abuse also fall</w:t>
      </w:r>
      <w:r w:rsidRPr="002E6457">
        <w:rPr>
          <w:rFonts w:eastAsia="Times New Roman"/>
        </w:rPr>
        <w:t xml:space="preserve"> within this category.</w:t>
      </w:r>
      <w:r w:rsidRPr="002E6457">
        <w:rPr>
          <w:rStyle w:val="FootnoteReference"/>
          <w:rFonts w:eastAsia="Times New Roman"/>
        </w:rPr>
        <w:t xml:space="preserve"> </w:t>
      </w:r>
      <w:r>
        <w:rPr>
          <w:rFonts w:eastAsia="Times New Roman"/>
        </w:rPr>
        <w:t xml:space="preserve">Physical violence as </w:t>
      </w:r>
      <w:r w:rsidRPr="002E6457">
        <w:rPr>
          <w:rFonts w:eastAsia="Times New Roman"/>
        </w:rPr>
        <w:t xml:space="preserve">SGBV is perpetrated by a wide variety of actors and occurs at all levels within refugee communities: </w:t>
      </w:r>
      <w:r>
        <w:rPr>
          <w:rFonts w:eastAsia="Times New Roman"/>
        </w:rPr>
        <w:t xml:space="preserve">from </w:t>
      </w:r>
      <w:r w:rsidRPr="002E6457">
        <w:rPr>
          <w:rFonts w:eastAsia="Times New Roman"/>
        </w:rPr>
        <w:t>individual</w:t>
      </w:r>
      <w:r>
        <w:rPr>
          <w:rFonts w:eastAsia="Times New Roman"/>
        </w:rPr>
        <w:t xml:space="preserve"> and relationship levels to community and societal levels</w:t>
      </w:r>
      <w:r w:rsidRPr="002E6457">
        <w:rPr>
          <w:rFonts w:eastAsia="Times New Roman"/>
        </w:rPr>
        <w:t>.</w:t>
      </w:r>
      <w:r w:rsidRPr="002E6457">
        <w:rPr>
          <w:rStyle w:val="FootnoteReference"/>
          <w:rFonts w:eastAsia="Times New Roman"/>
        </w:rPr>
        <w:footnoteReference w:id="34"/>
      </w:r>
      <w:r w:rsidRPr="002E6457">
        <w:rPr>
          <w:rFonts w:eastAsia="Times New Roman"/>
        </w:rPr>
        <w:t xml:space="preserve"> </w:t>
      </w:r>
    </w:p>
    <w:p w14:paraId="7A96810A" w14:textId="77777777" w:rsidR="00C1042E" w:rsidRDefault="00C1042E" w:rsidP="00C1042E">
      <w:pPr>
        <w:jc w:val="both"/>
        <w:rPr>
          <w:rFonts w:eastAsia="Times New Roman"/>
        </w:rPr>
      </w:pPr>
    </w:p>
    <w:p w14:paraId="7AE16706" w14:textId="77777777" w:rsidR="00C1042E" w:rsidRDefault="00C1042E" w:rsidP="00C1042E">
      <w:pPr>
        <w:jc w:val="both"/>
        <w:rPr>
          <w:rFonts w:eastAsia="Times New Roman"/>
        </w:rPr>
      </w:pPr>
    </w:p>
    <w:p w14:paraId="343A3DE7" w14:textId="77777777" w:rsidR="00C1042E" w:rsidRPr="004676D3" w:rsidRDefault="00C1042E" w:rsidP="00C1042E">
      <w:pPr>
        <w:jc w:val="both"/>
        <w:rPr>
          <w:b/>
          <w:caps/>
          <w:u w:val="single"/>
        </w:rPr>
      </w:pPr>
      <w:r w:rsidRPr="004676D3">
        <w:rPr>
          <w:b/>
          <w:caps/>
          <w:u w:val="single"/>
        </w:rPr>
        <w:t>International Community’s Approach to SGBV</w:t>
      </w:r>
    </w:p>
    <w:p w14:paraId="39658FF9" w14:textId="77777777" w:rsidR="00C1042E" w:rsidRPr="003655E9" w:rsidRDefault="00C1042E" w:rsidP="00C1042E">
      <w:pPr>
        <w:jc w:val="both"/>
        <w:rPr>
          <w:b/>
        </w:rPr>
      </w:pPr>
    </w:p>
    <w:p w14:paraId="0851211F" w14:textId="77777777" w:rsidR="00C1042E" w:rsidRPr="003655E9" w:rsidRDefault="00C1042E" w:rsidP="00C1042E">
      <w:pPr>
        <w:jc w:val="both"/>
      </w:pPr>
      <w:r>
        <w:t>Many</w:t>
      </w:r>
      <w:r w:rsidRPr="003655E9">
        <w:t xml:space="preserve"> </w:t>
      </w:r>
      <w:r>
        <w:t xml:space="preserve">scholars and activists </w:t>
      </w:r>
      <w:r w:rsidRPr="003655E9">
        <w:t xml:space="preserve">have demanded </w:t>
      </w:r>
      <w:r>
        <w:t>increased</w:t>
      </w:r>
      <w:r w:rsidRPr="003655E9">
        <w:t xml:space="preserve"> recognition of </w:t>
      </w:r>
      <w:r>
        <w:t>SGBV</w:t>
      </w:r>
      <w:r w:rsidRPr="003655E9">
        <w:t xml:space="preserve"> as </w:t>
      </w:r>
      <w:r>
        <w:t xml:space="preserve">constituting </w:t>
      </w:r>
      <w:r w:rsidRPr="003655E9">
        <w:t>violations of basic human ri</w:t>
      </w:r>
      <w:r>
        <w:t>ghts, arguing that while the international community has</w:t>
      </w:r>
      <w:r w:rsidRPr="003655E9">
        <w:t xml:space="preserve"> long </w:t>
      </w:r>
      <w:r w:rsidRPr="003655E9">
        <w:lastRenderedPageBreak/>
        <w:t xml:space="preserve">acknowledged </w:t>
      </w:r>
      <w:r>
        <w:t>human rights abuses based on race and religion, similar attention has not been paid to</w:t>
      </w:r>
      <w:r w:rsidRPr="003655E9">
        <w:t xml:space="preserve"> gender-based crimes.</w:t>
      </w:r>
      <w:r w:rsidRPr="003655E9">
        <w:rPr>
          <w:rStyle w:val="FootnoteReference"/>
        </w:rPr>
        <w:footnoteReference w:id="35"/>
      </w:r>
    </w:p>
    <w:p w14:paraId="2B7057B0" w14:textId="77777777" w:rsidR="00C1042E" w:rsidRDefault="00C1042E" w:rsidP="00C1042E">
      <w:pPr>
        <w:jc w:val="both"/>
      </w:pPr>
    </w:p>
    <w:p w14:paraId="0FE0C1F9" w14:textId="3DA0A538" w:rsidR="00C1042E" w:rsidRDefault="00C1042E" w:rsidP="00C1042E">
      <w:pPr>
        <w:jc w:val="both"/>
      </w:pPr>
      <w:r>
        <w:t>T</w:t>
      </w:r>
      <w:r w:rsidRPr="003655E9">
        <w:t xml:space="preserve">he </w:t>
      </w:r>
      <w:r>
        <w:t>international community</w:t>
      </w:r>
      <w:r w:rsidRPr="003655E9">
        <w:t xml:space="preserve"> has </w:t>
      </w:r>
      <w:r>
        <w:t xml:space="preserve">largely </w:t>
      </w:r>
      <w:r w:rsidRPr="003655E9">
        <w:t xml:space="preserve">resisted the idea of classifying gender-based abuses </w:t>
      </w:r>
      <w:r w:rsidRPr="001D510F">
        <w:t>within its system of binding international rights protections under international law (a selection of both international and regional human rights instru</w:t>
      </w:r>
      <w:r>
        <w:t>ments with relevance to SGBV are listed in</w:t>
      </w:r>
      <w:r w:rsidRPr="001D510F">
        <w:t xml:space="preserve"> </w:t>
      </w:r>
      <w:r w:rsidR="006C24DD">
        <w:t xml:space="preserve">the </w:t>
      </w:r>
      <w:r w:rsidRPr="001D510F">
        <w:t>Appendix).  Such</w:t>
      </w:r>
      <w:r>
        <w:t xml:space="preserve"> a classification, including potentially a dedicated international convention combatting SGBV, would be a key step in addressing SGBV abuses at the global level. </w:t>
      </w:r>
      <w:r w:rsidRPr="003655E9">
        <w:t xml:space="preserve">The United Nations has </w:t>
      </w:r>
      <w:r>
        <w:t xml:space="preserve">instead over its seven decades </w:t>
      </w:r>
      <w:r w:rsidRPr="003655E9">
        <w:t xml:space="preserve">enacted separate conventions engaging the issue of gender bias in specific </w:t>
      </w:r>
      <w:r w:rsidRPr="00ED3B1E">
        <w:t xml:space="preserve">arenas: </w:t>
      </w:r>
      <w:r>
        <w:t xml:space="preserve">these include </w:t>
      </w:r>
      <w:r w:rsidRPr="00ED3B1E">
        <w:t>the</w:t>
      </w:r>
      <w:r>
        <w:t xml:space="preserve"> 1949</w:t>
      </w:r>
      <w:r w:rsidRPr="00ED3B1E">
        <w:t xml:space="preserve"> </w:t>
      </w:r>
      <w:hyperlink r:id="rId16" w:history="1">
        <w:r w:rsidRPr="00555A93">
          <w:rPr>
            <w:rStyle w:val="Hyperlink"/>
            <w:i/>
          </w:rPr>
          <w:t>Convention for the Suppression of the Traffic in Persons and Exploitation of the Prostitution of Others</w:t>
        </w:r>
      </w:hyperlink>
      <w:r w:rsidRPr="00ED3B1E">
        <w:t>, the</w:t>
      </w:r>
      <w:r>
        <w:t xml:space="preserve"> 1953</w:t>
      </w:r>
      <w:r w:rsidRPr="00ED3B1E">
        <w:rPr>
          <w:i/>
        </w:rPr>
        <w:t xml:space="preserve"> </w:t>
      </w:r>
      <w:hyperlink r:id="rId17" w:history="1">
        <w:r w:rsidRPr="00555A93">
          <w:rPr>
            <w:rStyle w:val="Hyperlink"/>
            <w:i/>
          </w:rPr>
          <w:t>Convention on the Political Rights for Women</w:t>
        </w:r>
      </w:hyperlink>
      <w:r w:rsidRPr="00ED3B1E">
        <w:t>, the</w:t>
      </w:r>
      <w:r>
        <w:t xml:space="preserve"> 1958</w:t>
      </w:r>
      <w:r w:rsidRPr="00ED3B1E">
        <w:t xml:space="preserve"> </w:t>
      </w:r>
      <w:hyperlink r:id="rId18" w:history="1">
        <w:r w:rsidRPr="00555A93">
          <w:rPr>
            <w:rStyle w:val="Hyperlink"/>
            <w:i/>
          </w:rPr>
          <w:t>Convention Concerning Discrimination in Respect of Employment and Occupation</w:t>
        </w:r>
      </w:hyperlink>
      <w:r>
        <w:t xml:space="preserve">, </w:t>
      </w:r>
      <w:r w:rsidRPr="00ED3B1E">
        <w:t>the</w:t>
      </w:r>
      <w:r>
        <w:t xml:space="preserve"> 1960</w:t>
      </w:r>
      <w:r w:rsidRPr="00ED3B1E">
        <w:t xml:space="preserve"> </w:t>
      </w:r>
      <w:hyperlink r:id="rId19" w:history="1">
        <w:r w:rsidRPr="00555A93">
          <w:rPr>
            <w:rStyle w:val="Hyperlink"/>
            <w:i/>
          </w:rPr>
          <w:t>Convention Against Discrimination in Education</w:t>
        </w:r>
      </w:hyperlink>
      <w:r>
        <w:t xml:space="preserve">, </w:t>
      </w:r>
      <w:r w:rsidRPr="00ED3B1E">
        <w:t xml:space="preserve">the </w:t>
      </w:r>
      <w:r>
        <w:t xml:space="preserve">1979 </w:t>
      </w:r>
      <w:hyperlink r:id="rId20" w:history="1">
        <w:r w:rsidRPr="00555A93">
          <w:rPr>
            <w:rStyle w:val="Hyperlink"/>
            <w:i/>
          </w:rPr>
          <w:t>Convention on the Elimination of Discrimination Against Women</w:t>
        </w:r>
      </w:hyperlink>
      <w:r>
        <w:t xml:space="preserve"> (CEDAW) and the 1990 </w:t>
      </w:r>
      <w:hyperlink r:id="rId21" w:history="1">
        <w:r w:rsidRPr="00555A93">
          <w:rPr>
            <w:rStyle w:val="Hyperlink"/>
            <w:i/>
          </w:rPr>
          <w:t>Convention on the Protection of the Rights of All Migrant Workers and Members of Their Families</w:t>
        </w:r>
      </w:hyperlink>
      <w:r w:rsidRPr="00ED3B1E">
        <w:t>.</w:t>
      </w:r>
      <w:r w:rsidRPr="003655E9">
        <w:rPr>
          <w:rStyle w:val="FootnoteReference"/>
        </w:rPr>
        <w:footnoteReference w:id="36"/>
      </w:r>
    </w:p>
    <w:p w14:paraId="3C7E286D" w14:textId="77777777" w:rsidR="00C1042E" w:rsidRDefault="00C1042E" w:rsidP="00C1042E">
      <w:pPr>
        <w:jc w:val="both"/>
      </w:pPr>
    </w:p>
    <w:p w14:paraId="4EE1B590" w14:textId="77777777" w:rsidR="00C1042E" w:rsidRDefault="00C1042E" w:rsidP="00C1042E">
      <w:pPr>
        <w:jc w:val="both"/>
      </w:pPr>
      <w:r>
        <w:t>However, as Etienne explains, t</w:t>
      </w:r>
      <w:r w:rsidRPr="003655E9">
        <w:t>hese conventions have</w:t>
      </w:r>
      <w:r>
        <w:t xml:space="preserve"> </w:t>
      </w:r>
      <w:r w:rsidRPr="003655E9">
        <w:t xml:space="preserve">failed </w:t>
      </w:r>
      <w:r>
        <w:t>adequately to address SGBV at the international level:</w:t>
      </w:r>
      <w:r w:rsidRPr="003655E9">
        <w:t xml:space="preserve"> </w:t>
      </w:r>
    </w:p>
    <w:p w14:paraId="43FF3898" w14:textId="77777777" w:rsidR="00C1042E" w:rsidRDefault="00C1042E" w:rsidP="00C1042E">
      <w:pPr>
        <w:jc w:val="both"/>
      </w:pPr>
    </w:p>
    <w:p w14:paraId="312AEC8C" w14:textId="77777777" w:rsidR="00C1042E" w:rsidRPr="003655E9" w:rsidRDefault="00C1042E" w:rsidP="00C1042E">
      <w:pPr>
        <w:ind w:left="720"/>
        <w:jc w:val="both"/>
      </w:pPr>
      <w:r w:rsidRPr="003655E9">
        <w:t>First, and perhaps most obviously, the behavior that they seek to control or eradicate persists and has not significantly diminished. Violence against women continues to be pervasive. Second, many United Nations member countries have refused to sign these conventions, and those that have signed them do not conscientiously enforce them. Third, few parties outside of the political international community know how to use these bodies and conventions as a means of redress. It is unclear whether the United Nations' commitment to human rights for women is particularly weak in these areas or whether the framework of international law is an inappropriate locus for addressing the particular forms of abuses faced by women.</w:t>
      </w:r>
      <w:r w:rsidRPr="003655E9">
        <w:rPr>
          <w:rStyle w:val="FootnoteReference"/>
        </w:rPr>
        <w:footnoteReference w:id="37"/>
      </w:r>
    </w:p>
    <w:p w14:paraId="56C17BB8" w14:textId="77777777" w:rsidR="00C1042E" w:rsidRDefault="00C1042E" w:rsidP="00C1042E">
      <w:pPr>
        <w:jc w:val="both"/>
      </w:pPr>
    </w:p>
    <w:p w14:paraId="57B418E9" w14:textId="51E4B999" w:rsidR="00C1042E" w:rsidRDefault="00C1042E" w:rsidP="00C1042E">
      <w:pPr>
        <w:jc w:val="both"/>
      </w:pPr>
      <w:r>
        <w:t>However, the</w:t>
      </w:r>
      <w:r w:rsidRPr="003655E9">
        <w:t xml:space="preserve"> continued reliance on</w:t>
      </w:r>
      <w:r>
        <w:t xml:space="preserve"> such conventions and</w:t>
      </w:r>
      <w:r w:rsidRPr="003655E9">
        <w:t xml:space="preserve"> international public law </w:t>
      </w:r>
      <w:r>
        <w:t xml:space="preserve">generally remains </w:t>
      </w:r>
      <w:r w:rsidRPr="003655E9">
        <w:t xml:space="preserve">justified </w:t>
      </w:r>
      <w:r>
        <w:t xml:space="preserve">at least </w:t>
      </w:r>
      <w:r w:rsidRPr="003655E9">
        <w:t xml:space="preserve">to </w:t>
      </w:r>
      <w:r>
        <w:t>some extent since, even when this approach of the</w:t>
      </w:r>
      <w:r w:rsidRPr="003655E9">
        <w:t xml:space="preserve"> United Nations</w:t>
      </w:r>
      <w:r>
        <w:t xml:space="preserve"> to SGBV</w:t>
      </w:r>
      <w:r w:rsidRPr="003655E9">
        <w:t xml:space="preserve"> has had little effect on actual </w:t>
      </w:r>
      <w:proofErr w:type="spellStart"/>
      <w:r w:rsidRPr="003655E9">
        <w:t>behavio</w:t>
      </w:r>
      <w:r w:rsidR="004E2FBA">
        <w:t>u</w:t>
      </w:r>
      <w:r w:rsidRPr="003655E9">
        <w:t>r</w:t>
      </w:r>
      <w:proofErr w:type="spellEnd"/>
      <w:r w:rsidRPr="003655E9">
        <w:t>,</w:t>
      </w:r>
      <w:r>
        <w:t xml:space="preserve"> </w:t>
      </w:r>
      <w:r w:rsidRPr="003655E9">
        <w:t>it has been instru</w:t>
      </w:r>
      <w:r>
        <w:t>mental in reconfiguring the way</w:t>
      </w:r>
      <w:r w:rsidRPr="003655E9">
        <w:t xml:space="preserve"> in which </w:t>
      </w:r>
      <w:r>
        <w:t>the international community</w:t>
      </w:r>
      <w:r w:rsidRPr="003655E9">
        <w:t xml:space="preserve"> think</w:t>
      </w:r>
      <w:r>
        <w:t>s</w:t>
      </w:r>
      <w:r w:rsidRPr="003655E9">
        <w:t xml:space="preserve"> about </w:t>
      </w:r>
      <w:r>
        <w:t>SGBV</w:t>
      </w:r>
      <w:r w:rsidRPr="003655E9">
        <w:t xml:space="preserve"> abuses.</w:t>
      </w:r>
      <w:r w:rsidRPr="003655E9">
        <w:rPr>
          <w:rStyle w:val="FootnoteReference"/>
        </w:rPr>
        <w:footnoteReference w:id="38"/>
      </w:r>
      <w:r>
        <w:t xml:space="preserve">  </w:t>
      </w:r>
    </w:p>
    <w:p w14:paraId="332C7F08" w14:textId="77777777" w:rsidR="00C1042E" w:rsidRDefault="00C1042E" w:rsidP="00C1042E">
      <w:pPr>
        <w:jc w:val="both"/>
      </w:pPr>
    </w:p>
    <w:p w14:paraId="4D122E52" w14:textId="77777777" w:rsidR="00C1042E" w:rsidRDefault="00C1042E" w:rsidP="00C1042E">
      <w:pPr>
        <w:jc w:val="both"/>
      </w:pPr>
    </w:p>
    <w:p w14:paraId="4D87E684" w14:textId="77777777" w:rsidR="00C1042E" w:rsidRPr="00677E87" w:rsidRDefault="00C1042E" w:rsidP="00C1042E">
      <w:pPr>
        <w:jc w:val="both"/>
        <w:rPr>
          <w:b/>
          <w:i/>
        </w:rPr>
      </w:pPr>
      <w:r>
        <w:rPr>
          <w:b/>
          <w:i/>
        </w:rPr>
        <w:t>Declaration on the Elimination of Violence Against Women</w:t>
      </w:r>
    </w:p>
    <w:p w14:paraId="71A330EA" w14:textId="77777777" w:rsidR="00C1042E" w:rsidRDefault="00C1042E" w:rsidP="00C1042E">
      <w:pPr>
        <w:jc w:val="both"/>
      </w:pPr>
    </w:p>
    <w:p w14:paraId="1C986E7B" w14:textId="77777777" w:rsidR="00C1042E" w:rsidRDefault="00C1042E" w:rsidP="00C1042E">
      <w:pPr>
        <w:jc w:val="both"/>
      </w:pPr>
      <w:r>
        <w:t xml:space="preserve">The 1993 </w:t>
      </w:r>
      <w:r w:rsidRPr="002C5A9E">
        <w:t xml:space="preserve">non-binding </w:t>
      </w:r>
      <w:hyperlink r:id="rId22" w:history="1">
        <w:r w:rsidRPr="002C5A9E">
          <w:rPr>
            <w:rStyle w:val="Hyperlink"/>
            <w:i/>
          </w:rPr>
          <w:t>Declaration on the Elimination of Violence Against Women</w:t>
        </w:r>
      </w:hyperlink>
      <w:r w:rsidRPr="002C5A9E">
        <w:t xml:space="preserve"> </w:t>
      </w:r>
      <w:r>
        <w:t>provides one of the earlier definitions of SGBV in international law.  It defines ‘violence against women’ as:</w:t>
      </w:r>
    </w:p>
    <w:p w14:paraId="1ED326B3" w14:textId="77777777" w:rsidR="00C1042E" w:rsidRDefault="00C1042E" w:rsidP="00C1042E">
      <w:pPr>
        <w:jc w:val="both"/>
      </w:pPr>
    </w:p>
    <w:p w14:paraId="2580557B" w14:textId="77777777" w:rsidR="00C1042E" w:rsidRDefault="00C1042E" w:rsidP="00C1042E">
      <w:pPr>
        <w:ind w:left="720"/>
        <w:jc w:val="both"/>
        <w:rPr>
          <w:rFonts w:eastAsia="Times New Roman" w:cs="Times New Roman"/>
        </w:rPr>
      </w:pPr>
      <w:r w:rsidRPr="000111EB">
        <w:rPr>
          <w:rFonts w:eastAsia="Times New Roman" w:cs="Times New Roman"/>
        </w:rPr>
        <w:lastRenderedPageBreak/>
        <w:t>any act of gender-based violence that results in, or is likely to result in, physical, sexual, or mental harm or suffering to women, including threats of such acts, coercion or arbitrary deprivation of liberty, whether occurring in public or in private life.</w:t>
      </w:r>
      <w:r w:rsidRPr="003655E9">
        <w:rPr>
          <w:rStyle w:val="FootnoteReference"/>
          <w:rFonts w:eastAsia="Times New Roman" w:cs="Times New Roman"/>
        </w:rPr>
        <w:footnoteReference w:id="39"/>
      </w:r>
    </w:p>
    <w:p w14:paraId="475C08DB" w14:textId="77777777" w:rsidR="00C1042E" w:rsidRDefault="00C1042E" w:rsidP="00C1042E">
      <w:pPr>
        <w:jc w:val="both"/>
        <w:rPr>
          <w:rFonts w:eastAsia="Times New Roman" w:cs="Times New Roman"/>
        </w:rPr>
      </w:pPr>
    </w:p>
    <w:p w14:paraId="30CC83BD" w14:textId="77777777" w:rsidR="00C1042E" w:rsidRDefault="00C1042E" w:rsidP="00C1042E">
      <w:pPr>
        <w:jc w:val="both"/>
      </w:pPr>
      <w:r>
        <w:t>The Declaration also states:</w:t>
      </w:r>
    </w:p>
    <w:p w14:paraId="30E6BCC2" w14:textId="77777777" w:rsidR="00C1042E" w:rsidRPr="003655E9" w:rsidRDefault="00C1042E" w:rsidP="00C1042E">
      <w:pPr>
        <w:jc w:val="both"/>
      </w:pPr>
    </w:p>
    <w:p w14:paraId="1EE422D0" w14:textId="77777777" w:rsidR="00C1042E" w:rsidRDefault="00C1042E" w:rsidP="00C1042E">
      <w:pPr>
        <w:ind w:left="720"/>
        <w:jc w:val="both"/>
      </w:pPr>
      <w:r w:rsidRPr="00B90B5D">
        <w:t>[V]</w:t>
      </w:r>
      <w:proofErr w:type="spellStart"/>
      <w:r w:rsidRPr="00B90B5D">
        <w:t>iolence</w:t>
      </w:r>
      <w:proofErr w:type="spellEnd"/>
      <w:r w:rsidRPr="00B90B5D">
        <w:t xml:space="preserve"> against women is a manifestation of historically unequal power relations between men and women .... [V]</w:t>
      </w:r>
      <w:proofErr w:type="spellStart"/>
      <w:r w:rsidRPr="00B90B5D">
        <w:t>iolence</w:t>
      </w:r>
      <w:proofErr w:type="spellEnd"/>
      <w:r w:rsidRPr="00B90B5D">
        <w:t xml:space="preserve"> against women is one of the crucial social mechanisms by which women are forced into a subordinate position compared with men.</w:t>
      </w:r>
      <w:r w:rsidRPr="003655E9">
        <w:rPr>
          <w:rStyle w:val="FootnoteReference"/>
        </w:rPr>
        <w:footnoteReference w:id="40"/>
      </w:r>
    </w:p>
    <w:p w14:paraId="31185237" w14:textId="77777777" w:rsidR="00C1042E" w:rsidRDefault="00C1042E" w:rsidP="00C1042E">
      <w:pPr>
        <w:ind w:left="720"/>
        <w:jc w:val="both"/>
        <w:rPr>
          <w:i/>
        </w:rPr>
      </w:pPr>
    </w:p>
    <w:p w14:paraId="0D16DADB" w14:textId="77777777" w:rsidR="00C1042E" w:rsidRPr="002C5A9E" w:rsidRDefault="00C1042E" w:rsidP="00C1042E">
      <w:pPr>
        <w:jc w:val="both"/>
      </w:pPr>
      <w:r>
        <w:t>This Declaration is indicative of an</w:t>
      </w:r>
      <w:r w:rsidRPr="002C5A9E">
        <w:t xml:space="preserve"> increasing recognition that women are subordinated, discriminated against and suffer SGBV and that such practices are legally wrong and should be actionable under international human rights law.</w:t>
      </w:r>
      <w:r w:rsidRPr="002C5A9E">
        <w:rPr>
          <w:vertAlign w:val="superscript"/>
        </w:rPr>
        <w:footnoteReference w:id="41"/>
      </w:r>
      <w:r w:rsidRPr="002C5A9E">
        <w:t xml:space="preserve"> </w:t>
      </w:r>
    </w:p>
    <w:p w14:paraId="40D6B2FD" w14:textId="77777777" w:rsidR="00C1042E" w:rsidRDefault="00C1042E" w:rsidP="00C1042E">
      <w:pPr>
        <w:jc w:val="both"/>
      </w:pPr>
    </w:p>
    <w:p w14:paraId="2C971B3C" w14:textId="77777777" w:rsidR="008A5F9C" w:rsidRDefault="008A5F9C" w:rsidP="00C1042E">
      <w:pPr>
        <w:jc w:val="both"/>
      </w:pPr>
    </w:p>
    <w:p w14:paraId="079D6CEE" w14:textId="77777777" w:rsidR="00C1042E" w:rsidRPr="002C5A9E" w:rsidRDefault="00C1042E" w:rsidP="00C1042E">
      <w:pPr>
        <w:jc w:val="both"/>
        <w:rPr>
          <w:b/>
          <w:i/>
        </w:rPr>
      </w:pPr>
      <w:r>
        <w:rPr>
          <w:b/>
          <w:i/>
        </w:rPr>
        <w:t>Convention on the Elimination of All Forms of Discrimination Against Women</w:t>
      </w:r>
    </w:p>
    <w:p w14:paraId="3D6891D8" w14:textId="77777777" w:rsidR="00C1042E" w:rsidRPr="003655E9" w:rsidRDefault="00C1042E" w:rsidP="00C1042E">
      <w:pPr>
        <w:jc w:val="both"/>
        <w:rPr>
          <w:b/>
        </w:rPr>
      </w:pPr>
    </w:p>
    <w:p w14:paraId="6FAFEBD3" w14:textId="77777777" w:rsidR="00C1042E" w:rsidRDefault="00C1042E" w:rsidP="00C1042E">
      <w:pPr>
        <w:jc w:val="both"/>
      </w:pPr>
      <w:r>
        <w:t>The</w:t>
      </w:r>
      <w:r w:rsidRPr="003655E9">
        <w:t xml:space="preserve"> first article</w:t>
      </w:r>
      <w:r>
        <w:t xml:space="preserve"> of the</w:t>
      </w:r>
      <w:r w:rsidRPr="003655E9">
        <w:t xml:space="preserve"> </w:t>
      </w:r>
      <w:hyperlink r:id="rId23" w:history="1">
        <w:r w:rsidRPr="00D45C86">
          <w:rPr>
            <w:rStyle w:val="Hyperlink"/>
            <w:i/>
          </w:rPr>
          <w:t>Convention on the Elimination of All Forms of Discrimination Against Women</w:t>
        </w:r>
      </w:hyperlink>
      <w:r>
        <w:t xml:space="preserve"> (CEDAW)</w:t>
      </w:r>
      <w:r w:rsidRPr="003655E9">
        <w:t>, defines discrimination against women as:</w:t>
      </w:r>
    </w:p>
    <w:p w14:paraId="4AF6EE1F" w14:textId="77777777" w:rsidR="00C1042E" w:rsidRPr="003655E9" w:rsidRDefault="00C1042E" w:rsidP="00C1042E">
      <w:pPr>
        <w:jc w:val="both"/>
      </w:pPr>
    </w:p>
    <w:p w14:paraId="7E19E776" w14:textId="77777777" w:rsidR="00C1042E" w:rsidRDefault="00C1042E" w:rsidP="00C1042E">
      <w:pPr>
        <w:ind w:left="720"/>
        <w:jc w:val="both"/>
        <w:rPr>
          <w:i/>
        </w:rPr>
      </w:pPr>
      <w:r w:rsidRPr="00677E87">
        <w:t>[A]</w:t>
      </w:r>
      <w:proofErr w:type="spellStart"/>
      <w:r w:rsidRPr="00677E87">
        <w:t>ny</w:t>
      </w:r>
      <w:proofErr w:type="spellEnd"/>
      <w:r w:rsidRPr="00677E87">
        <w:t xml:space="preserve">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3655E9">
        <w:rPr>
          <w:i/>
        </w:rPr>
        <w:t>.</w:t>
      </w:r>
      <w:r w:rsidRPr="004A55E7">
        <w:rPr>
          <w:rStyle w:val="FootnoteReference"/>
        </w:rPr>
        <w:footnoteReference w:id="42"/>
      </w:r>
    </w:p>
    <w:p w14:paraId="42D18FA8" w14:textId="77777777" w:rsidR="00C1042E" w:rsidRPr="004A55E7" w:rsidRDefault="00C1042E" w:rsidP="00C1042E">
      <w:pPr>
        <w:ind w:left="720"/>
        <w:jc w:val="both"/>
      </w:pPr>
    </w:p>
    <w:p w14:paraId="7C80E82F" w14:textId="77777777" w:rsidR="00C1042E" w:rsidRPr="003655E9" w:rsidRDefault="00C1042E" w:rsidP="00C1042E">
      <w:pPr>
        <w:jc w:val="both"/>
      </w:pPr>
      <w:r>
        <w:t>While CEDAW</w:t>
      </w:r>
      <w:r w:rsidRPr="003655E9">
        <w:t xml:space="preserve"> acknowledges the necessity of a mix of political, economic, social, cultural, and civil freedoms, it continues to define the rights of women in relation </w:t>
      </w:r>
      <w:r>
        <w:t>to the positive rights of men. For although CEDAW</w:t>
      </w:r>
      <w:r w:rsidRPr="003655E9">
        <w:t xml:space="preserve"> guarantees to women all rights on a basis equal to men</w:t>
      </w:r>
      <w:r>
        <w:t>, it does not provide</w:t>
      </w:r>
      <w:r w:rsidRPr="003655E9">
        <w:t xml:space="preserve"> women special protection against harms specific to their experiences as women</w:t>
      </w:r>
      <w:r>
        <w:t xml:space="preserve">. Some commentators see this as an embedded </w:t>
      </w:r>
      <w:r w:rsidRPr="003655E9">
        <w:t>conceptual defect.</w:t>
      </w:r>
      <w:r w:rsidRPr="003655E9">
        <w:rPr>
          <w:rStyle w:val="FootnoteReference"/>
        </w:rPr>
        <w:footnoteReference w:id="43"/>
      </w:r>
    </w:p>
    <w:p w14:paraId="78585034" w14:textId="77777777" w:rsidR="00C1042E" w:rsidRPr="003655E9" w:rsidRDefault="00C1042E" w:rsidP="00C1042E">
      <w:pPr>
        <w:jc w:val="both"/>
      </w:pPr>
    </w:p>
    <w:p w14:paraId="6F09C1EA" w14:textId="500A4D44" w:rsidR="00C1042E" w:rsidRPr="003655E9" w:rsidRDefault="00C1042E" w:rsidP="00C1042E">
      <w:pPr>
        <w:jc w:val="both"/>
        <w:rPr>
          <w:rFonts w:eastAsia="Times New Roman"/>
        </w:rPr>
      </w:pPr>
      <w:r w:rsidRPr="003655E9">
        <w:rPr>
          <w:rFonts w:eastAsia="Times New Roman"/>
        </w:rPr>
        <w:t xml:space="preserve">Many of the human rights and fundamental freedoms CEDAW refers to are defined in other international human rights </w:t>
      </w:r>
      <w:r>
        <w:rPr>
          <w:rFonts w:eastAsia="Times New Roman"/>
        </w:rPr>
        <w:t xml:space="preserve">treaties such as </w:t>
      </w:r>
      <w:r w:rsidRPr="003655E9">
        <w:rPr>
          <w:rFonts w:eastAsia="Times New Roman"/>
        </w:rPr>
        <w:t xml:space="preserve">the </w:t>
      </w:r>
      <w:hyperlink r:id="rId24" w:history="1">
        <w:r w:rsidRPr="00D45C86">
          <w:rPr>
            <w:rStyle w:val="Hyperlink"/>
            <w:rFonts w:eastAsia="Times New Roman"/>
            <w:i/>
          </w:rPr>
          <w:t>International Covenant on Civil and Political Rights</w:t>
        </w:r>
      </w:hyperlink>
      <w:r w:rsidRPr="00D45C86">
        <w:rPr>
          <w:rFonts w:eastAsia="Times New Roman"/>
          <w:i/>
        </w:rPr>
        <w:t xml:space="preserve"> </w:t>
      </w:r>
      <w:r>
        <w:rPr>
          <w:rFonts w:eastAsia="Times New Roman"/>
        </w:rPr>
        <w:t>(ICCPR</w:t>
      </w:r>
      <w:r w:rsidRPr="003655E9">
        <w:rPr>
          <w:rFonts w:eastAsia="Times New Roman"/>
        </w:rPr>
        <w:t xml:space="preserve">) and the </w:t>
      </w:r>
      <w:hyperlink r:id="rId25" w:history="1">
        <w:r w:rsidRPr="00D45C86">
          <w:rPr>
            <w:rStyle w:val="Hyperlink"/>
            <w:rFonts w:eastAsia="Times New Roman"/>
            <w:i/>
          </w:rPr>
          <w:t>International Covenant on Economic, Social and Cultural Rights</w:t>
        </w:r>
      </w:hyperlink>
      <w:r w:rsidRPr="00D45C86">
        <w:rPr>
          <w:rFonts w:eastAsia="Times New Roman"/>
          <w:i/>
        </w:rPr>
        <w:t xml:space="preserve"> </w:t>
      </w:r>
      <w:r>
        <w:rPr>
          <w:rFonts w:eastAsia="Times New Roman"/>
        </w:rPr>
        <w:t>(ICESCR</w:t>
      </w:r>
      <w:r w:rsidRPr="003655E9">
        <w:rPr>
          <w:rFonts w:eastAsia="Times New Roman"/>
        </w:rPr>
        <w:t xml:space="preserve">). </w:t>
      </w:r>
      <w:r>
        <w:rPr>
          <w:rFonts w:eastAsia="Times New Roman"/>
        </w:rPr>
        <w:t>Th</w:t>
      </w:r>
      <w:r w:rsidR="003420BD">
        <w:rPr>
          <w:rFonts w:eastAsia="Times New Roman"/>
        </w:rPr>
        <w:t>ese</w:t>
      </w:r>
      <w:r>
        <w:rPr>
          <w:rFonts w:eastAsia="Times New Roman"/>
        </w:rPr>
        <w:t xml:space="preserve"> include</w:t>
      </w:r>
      <w:r w:rsidRPr="003655E9">
        <w:rPr>
          <w:rFonts w:eastAsia="Times New Roman"/>
        </w:rPr>
        <w:t xml:space="preserve"> </w:t>
      </w:r>
      <w:r>
        <w:rPr>
          <w:rFonts w:eastAsia="Times New Roman"/>
        </w:rPr>
        <w:t>numerous</w:t>
      </w:r>
      <w:r w:rsidRPr="003655E9">
        <w:rPr>
          <w:rFonts w:eastAsia="Times New Roman"/>
        </w:rPr>
        <w:t xml:space="preserve"> rights applicable to refugee</w:t>
      </w:r>
      <w:r>
        <w:rPr>
          <w:rFonts w:eastAsia="Times New Roman"/>
        </w:rPr>
        <w:t>s</w:t>
      </w:r>
      <w:r w:rsidRPr="003655E9">
        <w:rPr>
          <w:rFonts w:eastAsia="Times New Roman"/>
        </w:rPr>
        <w:t xml:space="preserve"> </w:t>
      </w:r>
      <w:r>
        <w:rPr>
          <w:rFonts w:eastAsia="Times New Roman"/>
        </w:rPr>
        <w:t xml:space="preserve">such as </w:t>
      </w:r>
      <w:r w:rsidRPr="003655E9">
        <w:rPr>
          <w:rFonts w:eastAsia="Times New Roman"/>
        </w:rPr>
        <w:t>the right to li</w:t>
      </w:r>
      <w:r>
        <w:rPr>
          <w:rFonts w:eastAsia="Times New Roman"/>
        </w:rPr>
        <w:t>fe, security of person,</w:t>
      </w:r>
      <w:r w:rsidRPr="003655E9">
        <w:rPr>
          <w:rFonts w:eastAsia="Times New Roman"/>
        </w:rPr>
        <w:t xml:space="preserve"> the right not to be tortured or be subject to degrading treatment</w:t>
      </w:r>
      <w:r>
        <w:rPr>
          <w:rFonts w:eastAsia="Times New Roman"/>
        </w:rPr>
        <w:t>,</w:t>
      </w:r>
      <w:r w:rsidRPr="003655E9">
        <w:rPr>
          <w:rFonts w:eastAsia="Times New Roman"/>
        </w:rPr>
        <w:t xml:space="preserve"> the right to have equal </w:t>
      </w:r>
      <w:r>
        <w:rPr>
          <w:rFonts w:eastAsia="Times New Roman"/>
        </w:rPr>
        <w:t>protection before the law</w:t>
      </w:r>
      <w:r w:rsidRPr="003655E9">
        <w:rPr>
          <w:rFonts w:eastAsia="Times New Roman"/>
        </w:rPr>
        <w:t xml:space="preserve"> and the right to adequate health and well-being </w:t>
      </w:r>
      <w:r>
        <w:rPr>
          <w:rFonts w:eastAsia="Times New Roman"/>
        </w:rPr>
        <w:lastRenderedPageBreak/>
        <w:t xml:space="preserve">which includes </w:t>
      </w:r>
      <w:r w:rsidRPr="003655E9">
        <w:rPr>
          <w:rFonts w:eastAsia="Times New Roman"/>
        </w:rPr>
        <w:t>food, clothing,</w:t>
      </w:r>
      <w:r>
        <w:rPr>
          <w:rFonts w:eastAsia="Times New Roman"/>
        </w:rPr>
        <w:t xml:space="preserve"> housing, and medical care</w:t>
      </w:r>
      <w:r w:rsidRPr="003655E9">
        <w:rPr>
          <w:rFonts w:eastAsia="Times New Roman"/>
        </w:rPr>
        <w:t>.</w:t>
      </w:r>
      <w:r w:rsidRPr="003655E9">
        <w:rPr>
          <w:rStyle w:val="FootnoteReference"/>
          <w:rFonts w:eastAsia="Times New Roman"/>
        </w:rPr>
        <w:footnoteReference w:id="44"/>
      </w:r>
      <w:r w:rsidRPr="003655E9">
        <w:rPr>
          <w:rFonts w:eastAsia="Times New Roman"/>
        </w:rPr>
        <w:t xml:space="preserve"> </w:t>
      </w:r>
      <w:r>
        <w:rPr>
          <w:rFonts w:eastAsia="Times New Roman"/>
        </w:rPr>
        <w:t xml:space="preserve"> CEDAW also </w:t>
      </w:r>
      <w:r w:rsidRPr="003655E9">
        <w:rPr>
          <w:rFonts w:eastAsia="Times New Roman"/>
        </w:rPr>
        <w:t xml:space="preserve">includes some specific articles </w:t>
      </w:r>
      <w:r>
        <w:rPr>
          <w:rFonts w:eastAsia="Times New Roman"/>
        </w:rPr>
        <w:t>particularly relevant to refugees and SGBV. For example, A</w:t>
      </w:r>
      <w:r w:rsidRPr="003655E9">
        <w:rPr>
          <w:rFonts w:eastAsia="Times New Roman"/>
        </w:rPr>
        <w:t xml:space="preserve">rticle 6 </w:t>
      </w:r>
      <w:r>
        <w:rPr>
          <w:rFonts w:eastAsia="Times New Roman"/>
        </w:rPr>
        <w:t>states</w:t>
      </w:r>
      <w:r w:rsidRPr="003655E9">
        <w:rPr>
          <w:rFonts w:eastAsia="Times New Roman"/>
        </w:rPr>
        <w:t xml:space="preserve"> that "State Parties shall take all appropriate measures, including legislation, to suppress all forms of traffic in women and exploitatio</w:t>
      </w:r>
      <w:r>
        <w:rPr>
          <w:rFonts w:eastAsia="Times New Roman"/>
        </w:rPr>
        <w:t>n of prostitution of women."</w:t>
      </w:r>
      <w:r w:rsidRPr="003655E9">
        <w:rPr>
          <w:rFonts w:eastAsia="Times New Roman"/>
        </w:rPr>
        <w:t xml:space="preserve"> </w:t>
      </w:r>
      <w:r>
        <w:rPr>
          <w:rFonts w:eastAsia="Times New Roman"/>
        </w:rPr>
        <w:t>This means that S</w:t>
      </w:r>
      <w:r w:rsidRPr="003655E9">
        <w:rPr>
          <w:rFonts w:eastAsia="Times New Roman"/>
        </w:rPr>
        <w:t xml:space="preserve">tates </w:t>
      </w:r>
      <w:r>
        <w:rPr>
          <w:rFonts w:eastAsia="Times New Roman"/>
        </w:rPr>
        <w:t xml:space="preserve">party </w:t>
      </w:r>
      <w:r w:rsidRPr="003655E9">
        <w:rPr>
          <w:rFonts w:eastAsia="Times New Roman"/>
        </w:rPr>
        <w:t xml:space="preserve">should </w:t>
      </w:r>
      <w:r>
        <w:rPr>
          <w:rFonts w:eastAsia="Times New Roman"/>
        </w:rPr>
        <w:t>implement</w:t>
      </w:r>
      <w:r w:rsidRPr="003655E9">
        <w:rPr>
          <w:rFonts w:eastAsia="Times New Roman"/>
        </w:rPr>
        <w:t xml:space="preserve"> legislation </w:t>
      </w:r>
      <w:r>
        <w:rPr>
          <w:rFonts w:eastAsia="Times New Roman"/>
        </w:rPr>
        <w:t>safeguarding</w:t>
      </w:r>
      <w:r w:rsidRPr="003655E9">
        <w:rPr>
          <w:rFonts w:eastAsia="Times New Roman"/>
        </w:rPr>
        <w:t xml:space="preserve"> women </w:t>
      </w:r>
      <w:r>
        <w:rPr>
          <w:rFonts w:eastAsia="Times New Roman"/>
        </w:rPr>
        <w:t>from</w:t>
      </w:r>
      <w:r w:rsidRPr="003655E9">
        <w:rPr>
          <w:rFonts w:eastAsia="Times New Roman"/>
        </w:rPr>
        <w:t xml:space="preserve"> se</w:t>
      </w:r>
      <w:r>
        <w:rPr>
          <w:rFonts w:eastAsia="Times New Roman"/>
        </w:rPr>
        <w:t>xual slavery or coercion</w:t>
      </w:r>
      <w:r w:rsidRPr="003655E9">
        <w:rPr>
          <w:rFonts w:eastAsia="Times New Roman"/>
        </w:rPr>
        <w:t xml:space="preserve"> into prostitution</w:t>
      </w:r>
      <w:r>
        <w:rPr>
          <w:rFonts w:eastAsia="Times New Roman"/>
        </w:rPr>
        <w:t xml:space="preserve"> or survival sex</w:t>
      </w:r>
      <w:r w:rsidRPr="003655E9">
        <w:rPr>
          <w:rFonts w:eastAsia="Times New Roman"/>
        </w:rPr>
        <w:t xml:space="preserve">. </w:t>
      </w:r>
      <w:r>
        <w:rPr>
          <w:rFonts w:eastAsia="Times New Roman"/>
        </w:rPr>
        <w:t>Similarly, CEDAW’s A</w:t>
      </w:r>
      <w:r w:rsidRPr="003655E9">
        <w:rPr>
          <w:rFonts w:eastAsia="Times New Roman"/>
        </w:rPr>
        <w:t xml:space="preserve">rticle 12 </w:t>
      </w:r>
      <w:r>
        <w:rPr>
          <w:rFonts w:eastAsia="Times New Roman"/>
        </w:rPr>
        <w:t>declares</w:t>
      </w:r>
      <w:r w:rsidRPr="003655E9">
        <w:rPr>
          <w:rFonts w:eastAsia="Times New Roman"/>
        </w:rPr>
        <w:t xml:space="preserve"> that "State Parties shall take all appropriate measures to</w:t>
      </w:r>
      <w:r>
        <w:rPr>
          <w:rFonts w:eastAsia="Times New Roman"/>
        </w:rPr>
        <w:t xml:space="preserve"> </w:t>
      </w:r>
      <w:r w:rsidRPr="003655E9">
        <w:rPr>
          <w:rFonts w:eastAsia="Times New Roman"/>
        </w:rPr>
        <w:t>... ensure</w:t>
      </w:r>
      <w:r>
        <w:rPr>
          <w:rFonts w:eastAsia="Times New Roman"/>
        </w:rPr>
        <w:t xml:space="preserve"> </w:t>
      </w:r>
      <w:r w:rsidRPr="003655E9">
        <w:rPr>
          <w:rFonts w:eastAsia="Times New Roman"/>
        </w:rPr>
        <w:t xml:space="preserve">... access to health care services, including those </w:t>
      </w:r>
      <w:r>
        <w:rPr>
          <w:rFonts w:eastAsia="Times New Roman"/>
        </w:rPr>
        <w:t>related to family planning."'</w:t>
      </w:r>
      <w:r w:rsidRPr="003655E9">
        <w:rPr>
          <w:rFonts w:eastAsia="Times New Roman"/>
        </w:rPr>
        <w:t xml:space="preserve"> </w:t>
      </w:r>
      <w:r>
        <w:rPr>
          <w:rFonts w:eastAsia="Times New Roman"/>
        </w:rPr>
        <w:t xml:space="preserve">This </w:t>
      </w:r>
      <w:r w:rsidRPr="003655E9">
        <w:rPr>
          <w:rFonts w:eastAsia="Times New Roman"/>
        </w:rPr>
        <w:t>obli</w:t>
      </w:r>
      <w:r>
        <w:rPr>
          <w:rFonts w:eastAsia="Times New Roman"/>
        </w:rPr>
        <w:t>gates parties</w:t>
      </w:r>
      <w:r w:rsidRPr="003655E9">
        <w:rPr>
          <w:rFonts w:eastAsia="Times New Roman"/>
        </w:rPr>
        <w:t xml:space="preserve"> to end the sexual bartering that </w:t>
      </w:r>
      <w:r>
        <w:rPr>
          <w:rFonts w:eastAsia="Times New Roman"/>
        </w:rPr>
        <w:t>can be widespread</w:t>
      </w:r>
      <w:r w:rsidRPr="003655E9">
        <w:rPr>
          <w:rFonts w:eastAsia="Times New Roman"/>
        </w:rPr>
        <w:t xml:space="preserve"> in </w:t>
      </w:r>
      <w:r>
        <w:rPr>
          <w:rFonts w:eastAsia="Times New Roman"/>
        </w:rPr>
        <w:t>refugee</w:t>
      </w:r>
      <w:r w:rsidRPr="003655E9">
        <w:rPr>
          <w:rFonts w:eastAsia="Times New Roman"/>
        </w:rPr>
        <w:t xml:space="preserve"> camps. Additionally, this article articulates the right</w:t>
      </w:r>
      <w:r>
        <w:rPr>
          <w:rFonts w:eastAsia="Times New Roman"/>
        </w:rPr>
        <w:t xml:space="preserve"> </w:t>
      </w:r>
      <w:r w:rsidRPr="003655E9">
        <w:rPr>
          <w:rFonts w:eastAsia="Times New Roman"/>
        </w:rPr>
        <w:t xml:space="preserve">refugee women </w:t>
      </w:r>
      <w:r>
        <w:rPr>
          <w:rFonts w:eastAsia="Times New Roman"/>
        </w:rPr>
        <w:t>enjoy</w:t>
      </w:r>
      <w:r w:rsidRPr="003655E9">
        <w:rPr>
          <w:rFonts w:eastAsia="Times New Roman"/>
        </w:rPr>
        <w:t xml:space="preserve"> to contraception and other reproductive health </w:t>
      </w:r>
      <w:r>
        <w:rPr>
          <w:rFonts w:eastAsia="Times New Roman"/>
        </w:rPr>
        <w:t>care</w:t>
      </w:r>
      <w:r w:rsidRPr="003655E9">
        <w:rPr>
          <w:rFonts w:eastAsia="Times New Roman"/>
        </w:rPr>
        <w:t>.</w:t>
      </w:r>
      <w:r w:rsidRPr="003655E9">
        <w:rPr>
          <w:rStyle w:val="FootnoteReference"/>
          <w:rFonts w:eastAsia="Times New Roman"/>
        </w:rPr>
        <w:footnoteReference w:id="45"/>
      </w:r>
    </w:p>
    <w:p w14:paraId="646124EB" w14:textId="77777777" w:rsidR="00C1042E" w:rsidRPr="003655E9" w:rsidRDefault="00C1042E" w:rsidP="00C1042E">
      <w:pPr>
        <w:jc w:val="both"/>
        <w:rPr>
          <w:rFonts w:eastAsia="Times New Roman"/>
        </w:rPr>
      </w:pPr>
    </w:p>
    <w:p w14:paraId="7DD22F66" w14:textId="2821C84E" w:rsidR="00C1042E" w:rsidRPr="003655E9" w:rsidRDefault="00C1042E" w:rsidP="00C1042E">
      <w:pPr>
        <w:jc w:val="both"/>
      </w:pPr>
      <w:r w:rsidRPr="003655E9">
        <w:t xml:space="preserve">Despite its shortcomings, CEDAW </w:t>
      </w:r>
      <w:r>
        <w:t>possesses</w:t>
      </w:r>
      <w:r w:rsidRPr="003655E9">
        <w:t xml:space="preserve"> a powerful declaratory effect, announcing to the world that discrimination </w:t>
      </w:r>
      <w:r>
        <w:t>against women, including SGBV as the most violent form of such discrimination, is</w:t>
      </w:r>
      <w:r w:rsidRPr="003655E9">
        <w:t xml:space="preserve"> never acceptable. Moreover, the United Nations' identification of human rights for women as an international priority gives notice to potential violators, </w:t>
      </w:r>
      <w:r w:rsidR="004E2FBA">
        <w:t xml:space="preserve">potentially </w:t>
      </w:r>
      <w:r w:rsidRPr="003655E9">
        <w:t xml:space="preserve">deters </w:t>
      </w:r>
      <w:r>
        <w:t xml:space="preserve">SGBV abuses, and </w:t>
      </w:r>
      <w:proofErr w:type="spellStart"/>
      <w:r>
        <w:t>legitimis</w:t>
      </w:r>
      <w:r w:rsidRPr="003655E9">
        <w:t>es</w:t>
      </w:r>
      <w:proofErr w:type="spellEnd"/>
      <w:r w:rsidRPr="003655E9">
        <w:t xml:space="preserve"> domestic legislation and punishment. </w:t>
      </w:r>
      <w:r>
        <w:t>Therefore</w:t>
      </w:r>
      <w:r w:rsidRPr="003655E9">
        <w:t xml:space="preserve">, the failure of </w:t>
      </w:r>
      <w:r>
        <w:t xml:space="preserve">CEDAW and </w:t>
      </w:r>
      <w:r w:rsidRPr="003655E9">
        <w:t>international law to</w:t>
      </w:r>
      <w:r>
        <w:t xml:space="preserve"> adequately</w:t>
      </w:r>
      <w:r w:rsidRPr="003655E9">
        <w:t xml:space="preserve"> protect women does not </w:t>
      </w:r>
      <w:r>
        <w:t>negate</w:t>
      </w:r>
      <w:r w:rsidRPr="003655E9">
        <w:t xml:space="preserve"> the crucial role that </w:t>
      </w:r>
      <w:r>
        <w:t>it</w:t>
      </w:r>
      <w:r w:rsidRPr="003655E9">
        <w:t xml:space="preserve"> plays in establishing positive norms. Even for countries </w:t>
      </w:r>
      <w:r>
        <w:t>outside of the CEDAW regime</w:t>
      </w:r>
      <w:r w:rsidRPr="003655E9">
        <w:t xml:space="preserve">, </w:t>
      </w:r>
      <w:r>
        <w:t xml:space="preserve">the </w:t>
      </w:r>
      <w:r w:rsidRPr="003655E9">
        <w:t xml:space="preserve">international </w:t>
      </w:r>
      <w:r>
        <w:t xml:space="preserve">legal norms it helps establish provide </w:t>
      </w:r>
      <w:r w:rsidRPr="003655E9">
        <w:t>a measure by which other nations may judge their actions.</w:t>
      </w:r>
      <w:r w:rsidRPr="003655E9">
        <w:rPr>
          <w:rStyle w:val="FootnoteReference"/>
        </w:rPr>
        <w:footnoteReference w:id="46"/>
      </w:r>
    </w:p>
    <w:p w14:paraId="037148B4" w14:textId="77777777" w:rsidR="00C1042E" w:rsidRDefault="00C1042E" w:rsidP="00C1042E">
      <w:pPr>
        <w:jc w:val="both"/>
      </w:pPr>
    </w:p>
    <w:p w14:paraId="199CA7C0" w14:textId="77777777" w:rsidR="00C1042E" w:rsidRDefault="00C1042E" w:rsidP="00C1042E">
      <w:pPr>
        <w:jc w:val="both"/>
      </w:pPr>
    </w:p>
    <w:p w14:paraId="29DC3BC1" w14:textId="77777777" w:rsidR="00C1042E" w:rsidRPr="004676D3" w:rsidRDefault="00C1042E" w:rsidP="00C1042E">
      <w:pPr>
        <w:jc w:val="both"/>
        <w:rPr>
          <w:b/>
          <w:i/>
        </w:rPr>
      </w:pPr>
      <w:r w:rsidRPr="004676D3">
        <w:rPr>
          <w:b/>
          <w:i/>
        </w:rPr>
        <w:t>UN Committee on the Elimination of Discrimination Against Women &amp; SGBV</w:t>
      </w:r>
    </w:p>
    <w:p w14:paraId="00ED2E23" w14:textId="77777777" w:rsidR="00C1042E" w:rsidRPr="003655E9" w:rsidRDefault="00C1042E" w:rsidP="00C1042E">
      <w:pPr>
        <w:jc w:val="both"/>
        <w:rPr>
          <w:b/>
        </w:rPr>
      </w:pPr>
    </w:p>
    <w:p w14:paraId="260FB215" w14:textId="7B1BAD9C" w:rsidR="00C1042E" w:rsidRDefault="00C1042E" w:rsidP="00C1042E">
      <w:pPr>
        <w:jc w:val="both"/>
        <w:rPr>
          <w:rFonts w:eastAsia="Times New Roman"/>
        </w:rPr>
      </w:pPr>
      <w:r w:rsidRPr="003655E9">
        <w:rPr>
          <w:rFonts w:eastAsia="Times New Roman"/>
        </w:rPr>
        <w:t xml:space="preserve">In 1992 the Committee on the Elimination of Discrimination </w:t>
      </w:r>
      <w:r>
        <w:rPr>
          <w:rFonts w:eastAsia="Times New Roman"/>
        </w:rPr>
        <w:t>A</w:t>
      </w:r>
      <w:r w:rsidRPr="003655E9">
        <w:rPr>
          <w:rFonts w:eastAsia="Times New Roman"/>
        </w:rPr>
        <w:t xml:space="preserve">gainst </w:t>
      </w:r>
      <w:r>
        <w:rPr>
          <w:rFonts w:eastAsia="Times New Roman"/>
        </w:rPr>
        <w:t xml:space="preserve">Women (established by CEDAW) </w:t>
      </w:r>
      <w:r w:rsidRPr="003655E9">
        <w:rPr>
          <w:rFonts w:eastAsia="Times New Roman"/>
        </w:rPr>
        <w:t>issued</w:t>
      </w:r>
      <w:r>
        <w:rPr>
          <w:rFonts w:eastAsia="Times New Roman"/>
        </w:rPr>
        <w:t xml:space="preserve"> its</w:t>
      </w:r>
      <w:r w:rsidRPr="003655E9">
        <w:rPr>
          <w:rFonts w:eastAsia="Times New Roman"/>
        </w:rPr>
        <w:t xml:space="preserve"> </w:t>
      </w:r>
      <w:hyperlink r:id="rId26" w:anchor="recom19" w:history="1">
        <w:r w:rsidRPr="002D0221">
          <w:rPr>
            <w:rStyle w:val="Hyperlink"/>
            <w:rFonts w:eastAsia="Times New Roman"/>
            <w:i/>
          </w:rPr>
          <w:t>General Recommendation No. 19</w:t>
        </w:r>
      </w:hyperlink>
      <w:r>
        <w:rPr>
          <w:rFonts w:eastAsia="Times New Roman"/>
        </w:rPr>
        <w:t xml:space="preserve"> </w:t>
      </w:r>
      <w:r w:rsidRPr="003655E9">
        <w:rPr>
          <w:rFonts w:eastAsia="Times New Roman"/>
        </w:rPr>
        <w:t xml:space="preserve">dealing exclusively with violence against women. </w:t>
      </w:r>
      <w:r>
        <w:rPr>
          <w:rFonts w:eastAsia="Times New Roman"/>
        </w:rPr>
        <w:t>In this document the Committee states</w:t>
      </w:r>
      <w:r w:rsidRPr="003655E9">
        <w:rPr>
          <w:rFonts w:eastAsia="Times New Roman"/>
        </w:rPr>
        <w:t xml:space="preserve"> that </w:t>
      </w:r>
      <w:r>
        <w:rPr>
          <w:rFonts w:eastAsia="Times New Roman"/>
        </w:rPr>
        <w:t>SGBV</w:t>
      </w:r>
      <w:r w:rsidRPr="003655E9">
        <w:rPr>
          <w:rFonts w:eastAsia="Times New Roman"/>
        </w:rPr>
        <w:t xml:space="preserve"> is a form of discrimination which seriously inhibits a woman's ability to enjoy rights and freedoms on an equal basis with men. </w:t>
      </w:r>
      <w:r>
        <w:rPr>
          <w:rFonts w:eastAsia="Times New Roman"/>
        </w:rPr>
        <w:t>It also defines</w:t>
      </w:r>
      <w:r w:rsidRPr="003655E9">
        <w:rPr>
          <w:rFonts w:eastAsia="Times New Roman"/>
        </w:rPr>
        <w:t xml:space="preserve"> gender-based violence as that which is directed against a woman because she is </w:t>
      </w:r>
      <w:r w:rsidR="009712EE">
        <w:rPr>
          <w:rFonts w:eastAsia="Times New Roman"/>
        </w:rPr>
        <w:t>female</w:t>
      </w:r>
      <w:r w:rsidRPr="003655E9">
        <w:rPr>
          <w:rFonts w:eastAsia="Times New Roman"/>
        </w:rPr>
        <w:t xml:space="preserve"> or which affects women dis</w:t>
      </w:r>
      <w:r>
        <w:rPr>
          <w:rFonts w:eastAsia="Times New Roman"/>
        </w:rPr>
        <w:t>proportionately, with “sexual harm or suffering”</w:t>
      </w:r>
      <w:r w:rsidRPr="003655E9">
        <w:rPr>
          <w:rFonts w:eastAsia="Times New Roman"/>
        </w:rPr>
        <w:t xml:space="preserve"> and </w:t>
      </w:r>
      <w:r>
        <w:rPr>
          <w:rFonts w:eastAsia="Times New Roman"/>
        </w:rPr>
        <w:t>“</w:t>
      </w:r>
      <w:r w:rsidRPr="003655E9">
        <w:rPr>
          <w:rFonts w:eastAsia="Times New Roman"/>
        </w:rPr>
        <w:t>threats of such acts</w:t>
      </w:r>
      <w:r>
        <w:rPr>
          <w:rFonts w:eastAsia="Times New Roman"/>
        </w:rPr>
        <w:t>”</w:t>
      </w:r>
      <w:r w:rsidRPr="003655E9">
        <w:rPr>
          <w:rFonts w:eastAsia="Times New Roman"/>
        </w:rPr>
        <w:t xml:space="preserve"> </w:t>
      </w:r>
      <w:r w:rsidR="00AD5A43">
        <w:rPr>
          <w:rFonts w:eastAsia="Times New Roman"/>
        </w:rPr>
        <w:t xml:space="preserve">specifically </w:t>
      </w:r>
      <w:r>
        <w:rPr>
          <w:rFonts w:eastAsia="Times New Roman"/>
        </w:rPr>
        <w:t xml:space="preserve">included </w:t>
      </w:r>
      <w:r w:rsidRPr="003655E9">
        <w:rPr>
          <w:rFonts w:eastAsia="Times New Roman"/>
        </w:rPr>
        <w:t xml:space="preserve">as </w:t>
      </w:r>
      <w:r>
        <w:rPr>
          <w:rFonts w:eastAsia="Times New Roman"/>
        </w:rPr>
        <w:t>forms of</w:t>
      </w:r>
      <w:r w:rsidRPr="003655E9">
        <w:rPr>
          <w:rFonts w:eastAsia="Times New Roman"/>
        </w:rPr>
        <w:t xml:space="preserve"> gender-based violence</w:t>
      </w:r>
      <w:r>
        <w:rPr>
          <w:rFonts w:eastAsia="Times New Roman"/>
        </w:rPr>
        <w:t>. Therefore, the term used by the Committee of ‘gender-based violence’ is synonymous with SGBV</w:t>
      </w:r>
      <w:r w:rsidRPr="003655E9">
        <w:rPr>
          <w:rFonts w:eastAsia="Times New Roman"/>
        </w:rPr>
        <w:t>.</w:t>
      </w:r>
      <w:r w:rsidRPr="003655E9">
        <w:rPr>
          <w:rStyle w:val="FootnoteReference"/>
          <w:rFonts w:eastAsia="Times New Roman"/>
        </w:rPr>
        <w:footnoteReference w:id="47"/>
      </w:r>
      <w:r w:rsidRPr="003655E9">
        <w:rPr>
          <w:rFonts w:eastAsia="Times New Roman"/>
        </w:rPr>
        <w:t xml:space="preserve"> </w:t>
      </w:r>
      <w:r>
        <w:rPr>
          <w:rFonts w:eastAsia="Times New Roman"/>
        </w:rPr>
        <w:t>The Committee further notes</w:t>
      </w:r>
      <w:r w:rsidRPr="003655E9">
        <w:rPr>
          <w:rFonts w:eastAsia="Times New Roman"/>
        </w:rPr>
        <w:t xml:space="preserve"> </w:t>
      </w:r>
      <w:r>
        <w:rPr>
          <w:rFonts w:eastAsia="Times New Roman"/>
        </w:rPr>
        <w:t>that “[g]</w:t>
      </w:r>
      <w:r w:rsidRPr="003655E9">
        <w:rPr>
          <w:rFonts w:eastAsia="Times New Roman"/>
        </w:rPr>
        <w:t>ender-based violence may breach specific provisions of the Convention</w:t>
      </w:r>
      <w:r>
        <w:rPr>
          <w:rFonts w:eastAsia="Times New Roman"/>
        </w:rPr>
        <w:t xml:space="preserve"> [on the Elimination of Discrimination Against Women]</w:t>
      </w:r>
      <w:r w:rsidRPr="003655E9">
        <w:rPr>
          <w:rFonts w:eastAsia="Times New Roman"/>
        </w:rPr>
        <w:t xml:space="preserve">, regardless </w:t>
      </w:r>
      <w:r>
        <w:rPr>
          <w:rFonts w:eastAsia="Times New Roman"/>
        </w:rPr>
        <w:t xml:space="preserve">[of] </w:t>
      </w:r>
      <w:r w:rsidRPr="003655E9">
        <w:rPr>
          <w:rFonts w:eastAsia="Times New Roman"/>
        </w:rPr>
        <w:t xml:space="preserve">whether those provisions expressly mention </w:t>
      </w:r>
      <w:r>
        <w:rPr>
          <w:rFonts w:eastAsia="Times New Roman"/>
        </w:rPr>
        <w:t>violence”</w:t>
      </w:r>
      <w:r w:rsidRPr="003655E9">
        <w:rPr>
          <w:rFonts w:eastAsia="Times New Roman"/>
        </w:rPr>
        <w:t>.</w:t>
      </w:r>
      <w:r w:rsidRPr="003655E9">
        <w:rPr>
          <w:rStyle w:val="FootnoteReference"/>
          <w:rFonts w:eastAsia="Times New Roman"/>
        </w:rPr>
        <w:footnoteReference w:id="48"/>
      </w:r>
      <w:r w:rsidRPr="00A33F18">
        <w:rPr>
          <w:rFonts w:eastAsia="Times New Roman"/>
        </w:rPr>
        <w:t xml:space="preserve"> </w:t>
      </w:r>
      <w:r>
        <w:rPr>
          <w:rFonts w:eastAsia="Times New Roman"/>
        </w:rPr>
        <w:t xml:space="preserve">It also clarified in its </w:t>
      </w:r>
      <w:hyperlink r:id="rId27" w:anchor="recom19" w:history="1">
        <w:r w:rsidRPr="00CC66C5">
          <w:rPr>
            <w:rStyle w:val="Hyperlink"/>
            <w:rFonts w:eastAsia="Times New Roman"/>
            <w:i/>
          </w:rPr>
          <w:t>General Recommendation No. 19</w:t>
        </w:r>
      </w:hyperlink>
      <w:r>
        <w:rPr>
          <w:rFonts w:eastAsia="Times New Roman"/>
        </w:rPr>
        <w:t xml:space="preserve"> </w:t>
      </w:r>
      <w:r w:rsidRPr="003655E9">
        <w:rPr>
          <w:rFonts w:eastAsia="Times New Roman" w:cs="Times New Roman"/>
        </w:rPr>
        <w:t xml:space="preserve">that discrimination </w:t>
      </w:r>
      <w:r>
        <w:rPr>
          <w:rFonts w:eastAsia="Times New Roman" w:cs="Times New Roman"/>
        </w:rPr>
        <w:t>against women, as defined in A</w:t>
      </w:r>
      <w:r w:rsidRPr="003655E9">
        <w:rPr>
          <w:rFonts w:eastAsia="Times New Roman" w:cs="Times New Roman"/>
        </w:rPr>
        <w:t xml:space="preserve">rticle 1 of </w:t>
      </w:r>
      <w:r>
        <w:rPr>
          <w:rFonts w:eastAsia="Times New Roman" w:cs="Times New Roman"/>
        </w:rPr>
        <w:t>CEDAW</w:t>
      </w:r>
      <w:r w:rsidRPr="003655E9">
        <w:rPr>
          <w:rFonts w:eastAsia="Times New Roman" w:cs="Times New Roman"/>
        </w:rPr>
        <w:t xml:space="preserve">, </w:t>
      </w:r>
      <w:r w:rsidRPr="003655E9">
        <w:rPr>
          <w:rFonts w:eastAsia="Times New Roman" w:cs="Times New Roman"/>
        </w:rPr>
        <w:lastRenderedPageBreak/>
        <w:t>i</w:t>
      </w:r>
      <w:r>
        <w:rPr>
          <w:rFonts w:eastAsia="Times New Roman" w:cs="Times New Roman"/>
        </w:rPr>
        <w:t>ncludes gender-based violence, and that SGBV therefore constitutes</w:t>
      </w:r>
      <w:r w:rsidRPr="003655E9">
        <w:rPr>
          <w:rFonts w:eastAsia="Times New Roman" w:cs="Times New Roman"/>
        </w:rPr>
        <w:t xml:space="preserve"> a violation of </w:t>
      </w:r>
      <w:r>
        <w:rPr>
          <w:rFonts w:eastAsia="Times New Roman" w:cs="Times New Roman"/>
        </w:rPr>
        <w:t>women’s</w:t>
      </w:r>
      <w:r w:rsidRPr="003655E9">
        <w:rPr>
          <w:rFonts w:eastAsia="Times New Roman" w:cs="Times New Roman"/>
        </w:rPr>
        <w:t xml:space="preserve"> human rights.</w:t>
      </w:r>
      <w:r w:rsidRPr="003655E9">
        <w:rPr>
          <w:rStyle w:val="FootnoteReference"/>
          <w:rFonts w:eastAsia="Times New Roman" w:cs="Times New Roman"/>
        </w:rPr>
        <w:footnoteReference w:id="49"/>
      </w:r>
      <w:r>
        <w:rPr>
          <w:rFonts w:eastAsia="Times New Roman" w:cs="Times New Roman"/>
        </w:rPr>
        <w:t> </w:t>
      </w:r>
    </w:p>
    <w:p w14:paraId="432FA067" w14:textId="77777777" w:rsidR="00C1042E" w:rsidRDefault="00C1042E" w:rsidP="00C1042E">
      <w:pPr>
        <w:jc w:val="both"/>
        <w:rPr>
          <w:rFonts w:eastAsia="Times New Roman"/>
        </w:rPr>
      </w:pPr>
    </w:p>
    <w:p w14:paraId="15296D6B" w14:textId="47C81EBC" w:rsidR="00C1042E" w:rsidRDefault="00C1042E" w:rsidP="00C1042E">
      <w:pPr>
        <w:jc w:val="both"/>
      </w:pPr>
      <w:r>
        <w:rPr>
          <w:rFonts w:eastAsia="Times New Roman"/>
        </w:rPr>
        <w:t xml:space="preserve">In its 2017 </w:t>
      </w:r>
      <w:hyperlink r:id="rId28" w:history="1">
        <w:r w:rsidRPr="006A66D4">
          <w:rPr>
            <w:rStyle w:val="Hyperlink"/>
            <w:rFonts w:eastAsia="Times New Roman"/>
            <w:i/>
          </w:rPr>
          <w:t>General Recommendation No. 35</w:t>
        </w:r>
      </w:hyperlink>
      <w:r>
        <w:rPr>
          <w:rFonts w:eastAsia="Times New Roman"/>
          <w:i/>
        </w:rPr>
        <w:t xml:space="preserve">, </w:t>
      </w:r>
      <w:r>
        <w:rPr>
          <w:rFonts w:eastAsia="Times New Roman"/>
        </w:rPr>
        <w:t xml:space="preserve">which updates </w:t>
      </w:r>
      <w:hyperlink r:id="rId29" w:anchor="recom19" w:history="1">
        <w:r w:rsidRPr="00CC66C5">
          <w:rPr>
            <w:rStyle w:val="Hyperlink"/>
            <w:rFonts w:eastAsia="Times New Roman"/>
            <w:i/>
          </w:rPr>
          <w:t>General Recommendation No. 19</w:t>
        </w:r>
      </w:hyperlink>
      <w:r>
        <w:rPr>
          <w:rFonts w:eastAsia="Times New Roman"/>
        </w:rPr>
        <w:t xml:space="preserve">, the Committee </w:t>
      </w:r>
      <w:r>
        <w:t>employs the revised language of ‘</w:t>
      </w:r>
      <w:r w:rsidRPr="003655E9">
        <w:t>gender-</w:t>
      </w:r>
      <w:r>
        <w:t>based violence against women’ to strengthen the idea that it is a</w:t>
      </w:r>
      <w:r w:rsidRPr="003655E9">
        <w:t xml:space="preserve"> social rather than an individual problem, requiring comprehensive responses, beyond those </w:t>
      </w:r>
      <w:r>
        <w:t>targeted at</w:t>
      </w:r>
      <w:r w:rsidRPr="003655E9">
        <w:t xml:space="preserve"> specific events, individual perpetrators and victims/survivors.</w:t>
      </w:r>
      <w:r w:rsidRPr="003655E9">
        <w:rPr>
          <w:rStyle w:val="FootnoteReference"/>
        </w:rPr>
        <w:footnoteReference w:id="50"/>
      </w:r>
      <w:r w:rsidRPr="003655E9">
        <w:t> </w:t>
      </w:r>
      <w:r>
        <w:rPr>
          <w:rFonts w:eastAsia="Times New Roman"/>
        </w:rPr>
        <w:t xml:space="preserve"> </w:t>
      </w:r>
      <w:hyperlink r:id="rId30" w:history="1">
        <w:r w:rsidRPr="00CC66C5">
          <w:rPr>
            <w:rStyle w:val="Hyperlink"/>
            <w:rFonts w:eastAsia="Times New Roman" w:cs="Times New Roman"/>
            <w:i/>
          </w:rPr>
          <w:t>General Recommendation No. 35</w:t>
        </w:r>
      </w:hyperlink>
      <w:r>
        <w:rPr>
          <w:rFonts w:eastAsia="Times New Roman" w:cs="Times New Roman"/>
        </w:rPr>
        <w:t xml:space="preserve"> clarifies that the Committee considers SGBV against women</w:t>
      </w:r>
      <w:r>
        <w:rPr>
          <w:rFonts w:eastAsia="Times New Roman"/>
        </w:rPr>
        <w:t xml:space="preserve"> </w:t>
      </w:r>
      <w:r w:rsidR="00C24C50">
        <w:t>constitutes</w:t>
      </w:r>
      <w:r w:rsidRPr="003655E9">
        <w:t xml:space="preserve"> one of the fundamental social, political and economic means by which the subordinate position of women with respect to men and their stereotyped roles are perpetuated. </w:t>
      </w:r>
      <w:r>
        <w:t>SGBV therefore serves</w:t>
      </w:r>
      <w:r w:rsidRPr="003655E9">
        <w:t xml:space="preserve"> </w:t>
      </w:r>
      <w:r>
        <w:t>as a</w:t>
      </w:r>
      <w:r w:rsidRPr="003655E9">
        <w:t xml:space="preserve"> critical obstacle to the achievement of substantive equality between women and men and to the enjoyment by women of their human rights and fundamental freedoms, as </w:t>
      </w:r>
      <w:r>
        <w:t>guaranteed by CEDAW</w:t>
      </w:r>
      <w:r w:rsidRPr="003655E9">
        <w:t>.</w:t>
      </w:r>
      <w:r w:rsidRPr="003655E9">
        <w:rPr>
          <w:rStyle w:val="FootnoteReference"/>
        </w:rPr>
        <w:footnoteReference w:id="51"/>
      </w:r>
    </w:p>
    <w:p w14:paraId="71576381" w14:textId="77777777" w:rsidR="00C1042E" w:rsidRDefault="00C1042E" w:rsidP="00C1042E">
      <w:pPr>
        <w:jc w:val="both"/>
      </w:pPr>
    </w:p>
    <w:p w14:paraId="40915090" w14:textId="77777777" w:rsidR="00C1042E" w:rsidRPr="003655E9" w:rsidRDefault="00C1042E" w:rsidP="00C1042E">
      <w:pPr>
        <w:spacing w:line="167" w:lineRule="atLeast"/>
        <w:jc w:val="both"/>
      </w:pPr>
      <w:r>
        <w:t xml:space="preserve">Reiterating that SGBV is itself a form of discrimination against women as defined in Article 1 of CEDAW, the Committee in </w:t>
      </w:r>
      <w:hyperlink r:id="rId31" w:history="1">
        <w:r w:rsidRPr="00756F69">
          <w:rPr>
            <w:rStyle w:val="Hyperlink"/>
            <w:i/>
          </w:rPr>
          <w:t>General Recommendation No. 35</w:t>
        </w:r>
      </w:hyperlink>
      <w:r>
        <w:t xml:space="preserve"> holds that  “[w]</w:t>
      </w:r>
      <w:proofErr w:type="spellStart"/>
      <w:r w:rsidRPr="003655E9">
        <w:t>omen’s</w:t>
      </w:r>
      <w:proofErr w:type="spellEnd"/>
      <w:r w:rsidRPr="003655E9">
        <w:t xml:space="preserve"> right to a life free from gender-based violence is indivisible from and inter</w:t>
      </w:r>
      <w:r>
        <w:t>dependent on other human rights.”</w:t>
      </w:r>
      <w:r>
        <w:rPr>
          <w:rStyle w:val="FootnoteReference"/>
        </w:rPr>
        <w:footnoteReference w:id="52"/>
      </w:r>
      <w:r w:rsidRPr="003655E9">
        <w:t xml:space="preserve"> </w:t>
      </w:r>
      <w:r>
        <w:t>These include the</w:t>
      </w:r>
      <w:r w:rsidRPr="003655E9">
        <w:t xml:space="preserve"> rights to life, health, liberty and security of the person, equality and equal protection within the family, freedom from torture, cruel, inhumane or degrading treatment, and freedom of expression, movement, participation, assembly and association.</w:t>
      </w:r>
      <w:r w:rsidRPr="003655E9">
        <w:rPr>
          <w:rStyle w:val="FootnoteReference"/>
        </w:rPr>
        <w:footnoteReference w:id="53"/>
      </w:r>
      <w:r w:rsidRPr="003655E9">
        <w:t> </w:t>
      </w:r>
    </w:p>
    <w:p w14:paraId="21CC722A" w14:textId="77777777" w:rsidR="00C1042E" w:rsidRDefault="00C1042E" w:rsidP="00C1042E">
      <w:pPr>
        <w:jc w:val="both"/>
      </w:pPr>
      <w:r w:rsidRPr="003655E9">
        <w:t xml:space="preserve"> </w:t>
      </w:r>
    </w:p>
    <w:p w14:paraId="3B448488" w14:textId="77777777" w:rsidR="00C1042E" w:rsidRDefault="00C1042E" w:rsidP="00C1042E">
      <w:pPr>
        <w:jc w:val="both"/>
      </w:pPr>
      <w:r>
        <w:t xml:space="preserve">As factors associated with the refugee experience, the Committee states in its 2017 </w:t>
      </w:r>
      <w:hyperlink r:id="rId32" w:history="1">
        <w:r w:rsidRPr="00756F69">
          <w:rPr>
            <w:rStyle w:val="Hyperlink"/>
            <w:i/>
          </w:rPr>
          <w:t>General Recommendation No. 35</w:t>
        </w:r>
      </w:hyperlink>
      <w:r>
        <w:t xml:space="preserve"> that:</w:t>
      </w:r>
    </w:p>
    <w:p w14:paraId="4E9D35FD" w14:textId="77777777" w:rsidR="00C1042E" w:rsidRDefault="00C1042E" w:rsidP="00C1042E">
      <w:pPr>
        <w:pStyle w:val="p1"/>
        <w:ind w:left="720"/>
        <w:jc w:val="both"/>
        <w:rPr>
          <w:rFonts w:asciiTheme="minorHAnsi" w:hAnsiTheme="minorHAnsi" w:cstheme="minorBidi"/>
          <w:sz w:val="24"/>
          <w:szCs w:val="24"/>
        </w:rPr>
      </w:pPr>
    </w:p>
    <w:p w14:paraId="002D09EC" w14:textId="77777777" w:rsidR="00C1042E" w:rsidRPr="003655E9" w:rsidRDefault="00C1042E" w:rsidP="00C1042E">
      <w:pPr>
        <w:pStyle w:val="p1"/>
        <w:ind w:left="720"/>
        <w:jc w:val="both"/>
        <w:rPr>
          <w:rFonts w:asciiTheme="minorHAnsi" w:hAnsiTheme="minorHAnsi" w:cstheme="minorBidi"/>
          <w:sz w:val="24"/>
          <w:szCs w:val="24"/>
        </w:rPr>
      </w:pPr>
      <w:r w:rsidRPr="003655E9">
        <w:rPr>
          <w:rFonts w:asciiTheme="minorHAnsi" w:hAnsiTheme="minorHAnsi" w:cstheme="minorBidi"/>
          <w:sz w:val="24"/>
          <w:szCs w:val="24"/>
        </w:rPr>
        <w:t>Gender-based violence against women is affected and often exacerbated by cultural, economic, ideological, technological, political, religious, social and environmental factors, as evidenced, among other things, in the contexts of displacement, migration, the increased globalization of economic activities, including global supply chains, the extractive and offshoring industry, militarization, foreign occupation, armed conflict, violent extremism and terrorism. Gender-based violence against women is also affected by political, economic and social crises, civil unrest, humanitarian emergencies, natural disasters and the destruction or d</w:t>
      </w:r>
      <w:r>
        <w:rPr>
          <w:rFonts w:asciiTheme="minorHAnsi" w:hAnsiTheme="minorHAnsi" w:cstheme="minorBidi"/>
          <w:sz w:val="24"/>
          <w:szCs w:val="24"/>
        </w:rPr>
        <w:t>egradation of natural resources</w:t>
      </w:r>
      <w:r w:rsidRPr="003655E9">
        <w:rPr>
          <w:rFonts w:asciiTheme="minorHAnsi" w:hAnsiTheme="minorHAnsi" w:cstheme="minorBidi"/>
          <w:sz w:val="24"/>
          <w:szCs w:val="24"/>
        </w:rPr>
        <w:t>.</w:t>
      </w:r>
      <w:r w:rsidRPr="003655E9">
        <w:rPr>
          <w:rStyle w:val="FootnoteReference"/>
          <w:rFonts w:asciiTheme="minorHAnsi" w:hAnsiTheme="minorHAnsi" w:cstheme="minorBidi"/>
          <w:sz w:val="24"/>
          <w:szCs w:val="24"/>
        </w:rPr>
        <w:footnoteReference w:id="54"/>
      </w:r>
    </w:p>
    <w:p w14:paraId="5AE2627F" w14:textId="77777777" w:rsidR="00C1042E" w:rsidRDefault="00C1042E" w:rsidP="00C1042E">
      <w:pPr>
        <w:spacing w:line="167" w:lineRule="atLeast"/>
        <w:jc w:val="both"/>
      </w:pPr>
    </w:p>
    <w:p w14:paraId="39E99215" w14:textId="77777777" w:rsidR="00C1042E" w:rsidRDefault="00C1042E" w:rsidP="00C1042E">
      <w:pPr>
        <w:spacing w:line="167" w:lineRule="atLeast"/>
        <w:jc w:val="both"/>
      </w:pPr>
      <w:r>
        <w:t>It also notes in regard to the causes of SGBV that:</w:t>
      </w:r>
    </w:p>
    <w:p w14:paraId="5095FFBA" w14:textId="77777777" w:rsidR="00C1042E" w:rsidRDefault="00C1042E" w:rsidP="00C1042E">
      <w:pPr>
        <w:spacing w:line="167" w:lineRule="atLeast"/>
        <w:jc w:val="both"/>
      </w:pPr>
    </w:p>
    <w:p w14:paraId="25806314" w14:textId="77777777" w:rsidR="00C1042E" w:rsidRPr="003655E9" w:rsidRDefault="00C1042E" w:rsidP="00C1042E">
      <w:pPr>
        <w:spacing w:line="167" w:lineRule="atLeast"/>
        <w:ind w:left="720"/>
        <w:jc w:val="both"/>
      </w:pPr>
      <w:r>
        <w:t>[t]</w:t>
      </w:r>
      <w:r w:rsidRPr="003655E9">
        <w:t xml:space="preserve">he Committee regards gender-based violence against women as being rooted in gender-related factors, such as the ideology of men’s entitlement and privilege over </w:t>
      </w:r>
      <w:r w:rsidRPr="003655E9">
        <w:lastRenderedPageBreak/>
        <w:t xml:space="preserve">women, social norms regarding masculinity, and the need to assert male control or power, enforce gender roles or prevent, discourage or punish what is considered to be unacceptable female </w:t>
      </w:r>
      <w:proofErr w:type="spellStart"/>
      <w:r w:rsidRPr="003655E9">
        <w:t>behaviour</w:t>
      </w:r>
      <w:proofErr w:type="spellEnd"/>
      <w:r w:rsidRPr="003655E9">
        <w:t>. Those factors also contribute to the explicit or implicit social acceptance of gender-based violence against women, often still considered a private matter, and to the widespread impunity in that regard.</w:t>
      </w:r>
      <w:r w:rsidRPr="003655E9">
        <w:rPr>
          <w:rStyle w:val="FootnoteReference"/>
        </w:rPr>
        <w:footnoteReference w:id="55"/>
      </w:r>
      <w:r w:rsidRPr="003655E9">
        <w:t xml:space="preserve">  </w:t>
      </w:r>
    </w:p>
    <w:p w14:paraId="4965CE4E" w14:textId="77777777" w:rsidR="00C1042E" w:rsidRDefault="00C1042E" w:rsidP="00C1042E">
      <w:pPr>
        <w:spacing w:line="167" w:lineRule="atLeast"/>
        <w:jc w:val="both"/>
      </w:pPr>
    </w:p>
    <w:p w14:paraId="61A87095" w14:textId="77777777" w:rsidR="00C1042E" w:rsidRDefault="00C1042E" w:rsidP="00C1042E">
      <w:pPr>
        <w:jc w:val="both"/>
      </w:pPr>
    </w:p>
    <w:p w14:paraId="15F3F3B3" w14:textId="77777777" w:rsidR="00C1042E" w:rsidRPr="00F50719" w:rsidRDefault="00C1042E" w:rsidP="00C1042E">
      <w:pPr>
        <w:jc w:val="both"/>
        <w:rPr>
          <w:b/>
          <w:i/>
        </w:rPr>
      </w:pPr>
      <w:r>
        <w:rPr>
          <w:b/>
          <w:i/>
        </w:rPr>
        <w:t>The Torture Convention</w:t>
      </w:r>
    </w:p>
    <w:p w14:paraId="4AD8DF43" w14:textId="77777777" w:rsidR="00C1042E" w:rsidRDefault="00C1042E" w:rsidP="00C1042E">
      <w:pPr>
        <w:jc w:val="both"/>
        <w:rPr>
          <w:i/>
        </w:rPr>
      </w:pPr>
    </w:p>
    <w:p w14:paraId="7CF9E0E2" w14:textId="77777777" w:rsidR="00C1042E" w:rsidRDefault="00C1042E" w:rsidP="00C1042E">
      <w:pPr>
        <w:jc w:val="both"/>
        <w:rPr>
          <w:i/>
        </w:rPr>
      </w:pPr>
      <w:r>
        <w:t>The UN’s 1984</w:t>
      </w:r>
      <w:r w:rsidRPr="005D31BE">
        <w:rPr>
          <w:i/>
        </w:rPr>
        <w:t xml:space="preserve"> </w:t>
      </w:r>
      <w:hyperlink r:id="rId33" w:history="1">
        <w:r w:rsidRPr="005D31BE">
          <w:rPr>
            <w:rStyle w:val="Hyperlink"/>
            <w:i/>
          </w:rPr>
          <w:t>Convention Against Torture and Other Cruel, Inhuman or Degrading Treatment or Punishment</w:t>
        </w:r>
      </w:hyperlink>
      <w:r w:rsidRPr="00123DAA">
        <w:rPr>
          <w:i/>
        </w:rPr>
        <w:t xml:space="preserve"> </w:t>
      </w:r>
      <w:r w:rsidRPr="007100BB">
        <w:t>(</w:t>
      </w:r>
      <w:r>
        <w:t>Torture Convention) requires at its Article 16 that States:</w:t>
      </w:r>
      <w:r>
        <w:rPr>
          <w:i/>
        </w:rPr>
        <w:t xml:space="preserve"> </w:t>
      </w:r>
    </w:p>
    <w:p w14:paraId="19352C40" w14:textId="77777777" w:rsidR="00C1042E" w:rsidRDefault="00C1042E" w:rsidP="00C1042E">
      <w:pPr>
        <w:jc w:val="both"/>
      </w:pPr>
    </w:p>
    <w:p w14:paraId="27EF4754" w14:textId="77777777" w:rsidR="00C1042E" w:rsidRDefault="00C1042E" w:rsidP="00C1042E">
      <w:pPr>
        <w:ind w:left="720"/>
        <w:jc w:val="both"/>
      </w:pPr>
      <w:r w:rsidRPr="00123DAA">
        <w:t>prevent … acts of cruel, inhuman or degrading treatment or punishment …, when such acts are committed by or at the instigation of or with the consent or acquiescence of a public official or other person acting in an official</w:t>
      </w:r>
      <w:r>
        <w:t xml:space="preserve"> capacity.</w:t>
      </w:r>
    </w:p>
    <w:p w14:paraId="21901E36" w14:textId="77777777" w:rsidR="00C1042E" w:rsidRDefault="00C1042E" w:rsidP="00C1042E">
      <w:pPr>
        <w:ind w:left="720"/>
        <w:jc w:val="both"/>
      </w:pPr>
    </w:p>
    <w:p w14:paraId="30E3B60A" w14:textId="0E53532C" w:rsidR="00C1042E" w:rsidRPr="00D40295" w:rsidRDefault="00C1042E" w:rsidP="00C1042E">
      <w:pPr>
        <w:jc w:val="both"/>
        <w:rPr>
          <w:color w:val="0563C1" w:themeColor="hyperlink"/>
          <w:u w:val="single"/>
        </w:rPr>
      </w:pPr>
      <w:r>
        <w:t>The manner in which the Torture Convention has</w:t>
      </w:r>
      <w:r w:rsidRPr="003655E9">
        <w:t xml:space="preserve"> construed</w:t>
      </w:r>
      <w:r>
        <w:t xml:space="preserve"> the definition of</w:t>
      </w:r>
      <w:r w:rsidRPr="003655E9">
        <w:t xml:space="preserve"> torture, the paradigmatic human rights abuse, </w:t>
      </w:r>
      <w:r>
        <w:t>excludes</w:t>
      </w:r>
      <w:r w:rsidRPr="003655E9">
        <w:t xml:space="preserve"> </w:t>
      </w:r>
      <w:r>
        <w:t>most</w:t>
      </w:r>
      <w:r w:rsidRPr="003655E9">
        <w:t xml:space="preserve"> </w:t>
      </w:r>
      <w:r>
        <w:t>SGBV related</w:t>
      </w:r>
      <w:r w:rsidRPr="003655E9">
        <w:t xml:space="preserve"> crimes. </w:t>
      </w:r>
      <w:r>
        <w:t>For a</w:t>
      </w:r>
      <w:r w:rsidRPr="003655E9">
        <w:t xml:space="preserve"> prima facie case for torture </w:t>
      </w:r>
      <w:r>
        <w:t xml:space="preserve">under international law </w:t>
      </w:r>
      <w:r w:rsidRPr="003655E9">
        <w:t xml:space="preserve">requires </w:t>
      </w:r>
      <w:r>
        <w:t>demonstrating</w:t>
      </w:r>
      <w:r w:rsidRPr="003655E9">
        <w:t xml:space="preserve"> that the actor inflicted torture "at the instigation of or with the consent or acquiescence of” a public official with the purpose of secu</w:t>
      </w:r>
      <w:r w:rsidRPr="00E019D9">
        <w:t>ring "information or a confe</w:t>
      </w:r>
      <w:r>
        <w:t>ssion, punishing him for an act</w:t>
      </w:r>
      <w:r w:rsidRPr="00E019D9">
        <w:t xml:space="preserve"> … or</w:t>
      </w:r>
      <w:r>
        <w:t xml:space="preserve"> intimidating or coercing him" (Art I)</w:t>
      </w:r>
      <w:r w:rsidRPr="00E019D9">
        <w:t>. Although</w:t>
      </w:r>
      <w:r w:rsidRPr="003655E9">
        <w:t xml:space="preserve"> this last clause initially appears applicable to rape, in order to </w:t>
      </w:r>
      <w:r>
        <w:t>contravene</w:t>
      </w:r>
      <w:r w:rsidRPr="003655E9">
        <w:t xml:space="preserve"> the Torture Convention, the rape must be a means of attaining a larger goal rather than being the goal itself. While the Torture Convention also states that torture can be a result of "discrimination of any </w:t>
      </w:r>
      <w:r>
        <w:t>kind” (Art I)</w:t>
      </w:r>
      <w:r w:rsidR="00BA6EC9">
        <w:t>,</w:t>
      </w:r>
      <w:r w:rsidRPr="00E019D9">
        <w:t xml:space="preserve"> </w:t>
      </w:r>
      <w:r>
        <w:t>States party</w:t>
      </w:r>
      <w:r w:rsidRPr="003655E9">
        <w:t xml:space="preserve"> have arguably acquiesced to</w:t>
      </w:r>
      <w:r>
        <w:t xml:space="preserve"> numerous international</w:t>
      </w:r>
      <w:r w:rsidRPr="003655E9">
        <w:t xml:space="preserve"> </w:t>
      </w:r>
      <w:r>
        <w:t xml:space="preserve">SGBV atrocities </w:t>
      </w:r>
      <w:r w:rsidRPr="003655E9">
        <w:t>by failing to use the language of th</w:t>
      </w:r>
      <w:r w:rsidR="00EE74FE">
        <w:t>is</w:t>
      </w:r>
      <w:r w:rsidRPr="003655E9">
        <w:t xml:space="preserve"> Convention to address rape</w:t>
      </w:r>
      <w:r>
        <w:t xml:space="preserve"> and other SGBV related crimes</w:t>
      </w:r>
      <w:r w:rsidRPr="003655E9">
        <w:t xml:space="preserve"> as an act of torture based on </w:t>
      </w:r>
      <w:r>
        <w:t>gender</w:t>
      </w:r>
      <w:r w:rsidRPr="003655E9">
        <w:t xml:space="preserve"> discrimination.</w:t>
      </w:r>
      <w:r w:rsidRPr="003655E9">
        <w:rPr>
          <w:rStyle w:val="FootnoteReference"/>
        </w:rPr>
        <w:footnoteReference w:id="56"/>
      </w:r>
      <w:r>
        <w:t xml:space="preserve"> Ultimately, w</w:t>
      </w:r>
      <w:r w:rsidRPr="003655E9">
        <w:t xml:space="preserve">hile torture against women often includes sexual intimidation, much of what is classified as </w:t>
      </w:r>
      <w:r>
        <w:t>SGBV</w:t>
      </w:r>
      <w:r w:rsidRPr="003655E9">
        <w:t xml:space="preserve"> does not constitute torture </w:t>
      </w:r>
      <w:r>
        <w:t>under th</w:t>
      </w:r>
      <w:r w:rsidR="00DE1DB6">
        <w:t>is</w:t>
      </w:r>
      <w:r>
        <w:t xml:space="preserve"> Convention </w:t>
      </w:r>
      <w:r w:rsidRPr="003655E9">
        <w:t>because, legally defined,</w:t>
      </w:r>
      <w:r>
        <w:t xml:space="preserve"> torture requires state action or at least acquiescence</w:t>
      </w:r>
      <w:r w:rsidRPr="003655E9">
        <w:t>.</w:t>
      </w:r>
      <w:r w:rsidRPr="003655E9">
        <w:rPr>
          <w:rStyle w:val="FootnoteReference"/>
        </w:rPr>
        <w:footnoteReference w:id="57"/>
      </w:r>
    </w:p>
    <w:p w14:paraId="2ACB6EDB" w14:textId="77777777" w:rsidR="00C1042E" w:rsidRDefault="00C1042E" w:rsidP="00C1042E">
      <w:pPr>
        <w:jc w:val="both"/>
      </w:pPr>
    </w:p>
    <w:p w14:paraId="59689D80" w14:textId="77777777" w:rsidR="00C1042E" w:rsidRPr="003655E9" w:rsidRDefault="00C1042E" w:rsidP="00C1042E">
      <w:pPr>
        <w:jc w:val="both"/>
      </w:pPr>
      <w:r>
        <w:t xml:space="preserve">The UN Committee on </w:t>
      </w:r>
      <w:r w:rsidRPr="003655E9">
        <w:rPr>
          <w:rFonts w:eastAsia="Times New Roman"/>
        </w:rPr>
        <w:t xml:space="preserve">the Elimination of Discrimination </w:t>
      </w:r>
      <w:r>
        <w:rPr>
          <w:rFonts w:eastAsia="Times New Roman"/>
        </w:rPr>
        <w:t>A</w:t>
      </w:r>
      <w:r w:rsidRPr="003655E9">
        <w:rPr>
          <w:rFonts w:eastAsia="Times New Roman"/>
        </w:rPr>
        <w:t xml:space="preserve">gainst </w:t>
      </w:r>
      <w:r>
        <w:rPr>
          <w:rFonts w:eastAsia="Times New Roman"/>
        </w:rPr>
        <w:t xml:space="preserve">Women in its </w:t>
      </w:r>
      <w:hyperlink r:id="rId34" w:history="1">
        <w:r w:rsidRPr="006A66D4">
          <w:rPr>
            <w:rStyle w:val="Hyperlink"/>
            <w:rFonts w:eastAsia="Times New Roman"/>
            <w:i/>
          </w:rPr>
          <w:t>General Recommendation No. 35</w:t>
        </w:r>
      </w:hyperlink>
      <w:r>
        <w:rPr>
          <w:rFonts w:eastAsia="Times New Roman"/>
        </w:rPr>
        <w:t xml:space="preserve"> has, however, stated that SGBV perpetrated </w:t>
      </w:r>
      <w:r w:rsidRPr="003655E9">
        <w:t xml:space="preserve">against women may amount to torture or cruel, inhuman or degrading treatment in certain circumstances, including in cases of rape, domestic </w:t>
      </w:r>
      <w:r>
        <w:t>violence or harmful practices.</w:t>
      </w:r>
      <w:r w:rsidRPr="003655E9">
        <w:t xml:space="preserve"> </w:t>
      </w:r>
      <w:r>
        <w:t>It goes on to declare that in</w:t>
      </w:r>
      <w:r w:rsidRPr="003655E9">
        <w:t xml:space="preserve"> certain cases, some forms of</w:t>
      </w:r>
      <w:r>
        <w:t xml:space="preserve"> SGBV</w:t>
      </w:r>
      <w:r w:rsidRPr="003655E9">
        <w:t xml:space="preserve"> against women </w:t>
      </w:r>
      <w:r>
        <w:t>will</w:t>
      </w:r>
      <w:r w:rsidRPr="003655E9">
        <w:t xml:space="preserve"> constitute international crimes.</w:t>
      </w:r>
      <w:r w:rsidRPr="003655E9">
        <w:rPr>
          <w:rStyle w:val="FootnoteReference"/>
        </w:rPr>
        <w:footnoteReference w:id="58"/>
      </w:r>
      <w:r>
        <w:t xml:space="preserve"> It furthermore endorses the view that</w:t>
      </w:r>
      <w:r w:rsidRPr="003655E9">
        <w:t xml:space="preserve"> in determining when acts of </w:t>
      </w:r>
      <w:r>
        <w:t>SGBV</w:t>
      </w:r>
      <w:r w:rsidRPr="003655E9">
        <w:t xml:space="preserve"> against women amount to torture or cruel, inhuman or degrading treatment, a gender-sensitive approach is required to understand the level of pain and suffering, and that the purpose and intent requirements for classifying such acts as torture are satisfied when acts or omissions are gender-specific or perpetrated against a person on the basis of </w:t>
      </w:r>
      <w:r>
        <w:t xml:space="preserve">their </w:t>
      </w:r>
      <w:r w:rsidRPr="003655E9">
        <w:t>sex.</w:t>
      </w:r>
      <w:r w:rsidRPr="003655E9">
        <w:rPr>
          <w:rStyle w:val="FootnoteReference"/>
        </w:rPr>
        <w:footnoteReference w:id="59"/>
      </w:r>
    </w:p>
    <w:p w14:paraId="1D6F1E74" w14:textId="77777777" w:rsidR="00C1042E" w:rsidRDefault="00C1042E" w:rsidP="00C1042E">
      <w:pPr>
        <w:jc w:val="both"/>
        <w:rPr>
          <w:b/>
        </w:rPr>
      </w:pPr>
    </w:p>
    <w:p w14:paraId="4EC45DC8" w14:textId="77777777" w:rsidR="00C1042E" w:rsidRPr="00A400F3" w:rsidRDefault="00C1042E" w:rsidP="00C1042E">
      <w:pPr>
        <w:jc w:val="both"/>
        <w:rPr>
          <w:rFonts w:eastAsia="Times New Roman"/>
          <w:b/>
          <w:u w:val="single"/>
        </w:rPr>
      </w:pPr>
      <w:r w:rsidRPr="00A400F3">
        <w:rPr>
          <w:rFonts w:eastAsia="Times New Roman"/>
          <w:b/>
          <w:u w:val="single"/>
        </w:rPr>
        <w:lastRenderedPageBreak/>
        <w:t>SGBV UNDER INTERNATIONAL LAW</w:t>
      </w:r>
    </w:p>
    <w:p w14:paraId="5E4EB15F" w14:textId="77777777" w:rsidR="00C1042E" w:rsidRDefault="00C1042E" w:rsidP="00C1042E">
      <w:pPr>
        <w:jc w:val="both"/>
        <w:rPr>
          <w:rFonts w:eastAsia="Times New Roman"/>
        </w:rPr>
      </w:pPr>
    </w:p>
    <w:p w14:paraId="0BF7830D" w14:textId="58B66E0B" w:rsidR="00C1042E" w:rsidRDefault="00C1042E" w:rsidP="00C1042E">
      <w:pPr>
        <w:jc w:val="both"/>
        <w:rPr>
          <w:rFonts w:eastAsia="Times New Roman"/>
        </w:rPr>
      </w:pPr>
      <w:r w:rsidRPr="003655E9">
        <w:rPr>
          <w:rFonts w:eastAsia="Times New Roman"/>
        </w:rPr>
        <w:t>International law prohibits</w:t>
      </w:r>
      <w:r>
        <w:rPr>
          <w:rFonts w:eastAsia="Times New Roman"/>
        </w:rPr>
        <w:t xml:space="preserve"> some forms of</w:t>
      </w:r>
      <w:r w:rsidRPr="003655E9">
        <w:rPr>
          <w:rFonts w:eastAsia="Times New Roman"/>
        </w:rPr>
        <w:t xml:space="preserve"> </w:t>
      </w:r>
      <w:r>
        <w:rPr>
          <w:rFonts w:eastAsia="Times New Roman"/>
        </w:rPr>
        <w:t>SGBV</w:t>
      </w:r>
      <w:r w:rsidRPr="003655E9">
        <w:rPr>
          <w:rFonts w:eastAsia="Times New Roman"/>
        </w:rPr>
        <w:t xml:space="preserve">. </w:t>
      </w:r>
      <w:r>
        <w:rPr>
          <w:rFonts w:eastAsia="Times New Roman"/>
        </w:rPr>
        <w:t>As detailed in</w:t>
      </w:r>
      <w:r w:rsidR="006C24DD">
        <w:rPr>
          <w:rFonts w:eastAsia="Times New Roman"/>
        </w:rPr>
        <w:t xml:space="preserve"> the</w:t>
      </w:r>
      <w:r>
        <w:rPr>
          <w:rFonts w:eastAsia="Times New Roman"/>
        </w:rPr>
        <w:t xml:space="preserve"> Appendix, t</w:t>
      </w:r>
      <w:r w:rsidRPr="003655E9">
        <w:rPr>
          <w:rFonts w:eastAsia="Times New Roman"/>
        </w:rPr>
        <w:t xml:space="preserve">his prohibition is found in </w:t>
      </w:r>
      <w:r>
        <w:rPr>
          <w:rFonts w:eastAsia="Times New Roman"/>
        </w:rPr>
        <w:t xml:space="preserve">various binding provisions of both </w:t>
      </w:r>
      <w:r w:rsidRPr="003655E9">
        <w:rPr>
          <w:rFonts w:eastAsia="Times New Roman"/>
        </w:rPr>
        <w:t>human rights instruments</w:t>
      </w:r>
      <w:r>
        <w:rPr>
          <w:rFonts w:eastAsia="Times New Roman"/>
        </w:rPr>
        <w:t xml:space="preserve"> (international and regional) and instruments of international humanitarian law (namely the Geneva Conventions), </w:t>
      </w:r>
      <w:r w:rsidRPr="003655E9">
        <w:rPr>
          <w:rFonts w:eastAsia="Times New Roman"/>
        </w:rPr>
        <w:t>as well as in customary international law.</w:t>
      </w:r>
      <w:r w:rsidRPr="003655E9">
        <w:rPr>
          <w:rStyle w:val="FootnoteReference"/>
          <w:rFonts w:eastAsia="Times New Roman"/>
        </w:rPr>
        <w:footnoteReference w:id="60"/>
      </w:r>
    </w:p>
    <w:p w14:paraId="316B2EAA" w14:textId="77777777" w:rsidR="00C1042E" w:rsidRDefault="00C1042E" w:rsidP="00C1042E">
      <w:pPr>
        <w:jc w:val="both"/>
        <w:rPr>
          <w:rFonts w:eastAsia="Times New Roman"/>
        </w:rPr>
      </w:pPr>
    </w:p>
    <w:p w14:paraId="77E9F849" w14:textId="77777777" w:rsidR="00C1042E" w:rsidRPr="003655E9" w:rsidRDefault="00C1042E" w:rsidP="00C1042E">
      <w:pPr>
        <w:jc w:val="both"/>
      </w:pPr>
      <w:r w:rsidRPr="003655E9">
        <w:t xml:space="preserve">In the </w:t>
      </w:r>
      <w:r>
        <w:t>past two decades</w:t>
      </w:r>
      <w:r w:rsidRPr="003655E9">
        <w:t xml:space="preserve">, successful prosecutions of gender-based crimes as violations of international law have advanced </w:t>
      </w:r>
      <w:r>
        <w:t>i</w:t>
      </w:r>
      <w:r w:rsidRPr="003655E9">
        <w:t>n large measure due to the precedent</w:t>
      </w:r>
      <w:r>
        <w:t>s</w:t>
      </w:r>
      <w:r w:rsidRPr="003655E9">
        <w:t xml:space="preserve"> created by</w:t>
      </w:r>
      <w:r>
        <w:t xml:space="preserve"> the United Nations ad hoc</w:t>
      </w:r>
      <w:r w:rsidRPr="003655E9">
        <w:t xml:space="preserve"> tribunal</w:t>
      </w:r>
      <w:r>
        <w:t>s (namely the International Criminal Tribunals for both Rwanda and the former Yugoslavia) and the International Criminal Court. I</w:t>
      </w:r>
      <w:r w:rsidRPr="003655E9">
        <w:t xml:space="preserve">nternational law now treats rape </w:t>
      </w:r>
      <w:r>
        <w:t xml:space="preserve">(in certain circumstances) </w:t>
      </w:r>
      <w:r w:rsidRPr="003655E9">
        <w:t>as a war crime, a crime against humanity, and</w:t>
      </w:r>
      <w:r>
        <w:t>/or</w:t>
      </w:r>
      <w:r w:rsidRPr="003655E9">
        <w:t xml:space="preserve"> an instrument of genocide. That is, </w:t>
      </w:r>
      <w:r>
        <w:t xml:space="preserve">some </w:t>
      </w:r>
      <w:r w:rsidRPr="003655E9">
        <w:t>sexual assault</w:t>
      </w:r>
      <w:r>
        <w:t>s</w:t>
      </w:r>
      <w:r w:rsidRPr="003655E9">
        <w:t>, whether perpetrated in international or internal armed conflict, can be prosecuted and punished under international law.</w:t>
      </w:r>
      <w:r w:rsidRPr="003655E9">
        <w:rPr>
          <w:rStyle w:val="FootnoteReference"/>
        </w:rPr>
        <w:footnoteReference w:id="61"/>
      </w:r>
    </w:p>
    <w:p w14:paraId="65E70220" w14:textId="77777777" w:rsidR="00C1042E" w:rsidRPr="003655E9" w:rsidRDefault="00C1042E" w:rsidP="00C1042E">
      <w:pPr>
        <w:jc w:val="both"/>
      </w:pPr>
    </w:p>
    <w:p w14:paraId="6A497E55" w14:textId="77777777" w:rsidR="00C1042E" w:rsidRPr="003655E9" w:rsidRDefault="00C1042E" w:rsidP="00C1042E">
      <w:pPr>
        <w:jc w:val="both"/>
      </w:pPr>
      <w:r>
        <w:t>Ultimately, however,</w:t>
      </w:r>
      <w:r w:rsidRPr="003655E9">
        <w:t xml:space="preserve"> international law </w:t>
      </w:r>
      <w:r>
        <w:t>generally requires that S</w:t>
      </w:r>
      <w:r w:rsidRPr="003655E9">
        <w:t xml:space="preserve">tates </w:t>
      </w:r>
      <w:r>
        <w:t xml:space="preserve">only </w:t>
      </w:r>
      <w:r w:rsidRPr="003655E9">
        <w:t xml:space="preserve">be </w:t>
      </w:r>
      <w:r>
        <w:t xml:space="preserve">held </w:t>
      </w:r>
      <w:r w:rsidRPr="003655E9">
        <w:t>accountable for their</w:t>
      </w:r>
      <w:r>
        <w:t xml:space="preserve"> own actions</w:t>
      </w:r>
      <w:r w:rsidRPr="003655E9">
        <w:t xml:space="preserve"> </w:t>
      </w:r>
      <w:r>
        <w:t>and</w:t>
      </w:r>
      <w:r w:rsidRPr="003655E9">
        <w:t xml:space="preserve"> treatment of individuals. States usually do not bear responsibility for the acts of private individuals against one another</w:t>
      </w:r>
      <w:r>
        <w:t xml:space="preserve"> within their borders</w:t>
      </w:r>
      <w:r w:rsidRPr="003655E9">
        <w:t xml:space="preserve">. </w:t>
      </w:r>
      <w:r>
        <w:t>Accordingly, many SGBV a</w:t>
      </w:r>
      <w:r w:rsidRPr="003655E9">
        <w:t xml:space="preserve">buses </w:t>
      </w:r>
      <w:r>
        <w:t>most commonly perpetrated</w:t>
      </w:r>
      <w:r w:rsidRPr="003655E9">
        <w:t xml:space="preserve">, </w:t>
      </w:r>
      <w:r>
        <w:t>such as sexual assault, domestic violence, rape</w:t>
      </w:r>
      <w:r w:rsidRPr="003655E9">
        <w:t xml:space="preserve"> and constraints on reproductive freedom, </w:t>
      </w:r>
      <w:r>
        <w:t>commonly fall outside</w:t>
      </w:r>
      <w:r w:rsidRPr="003655E9">
        <w:t xml:space="preserve"> </w:t>
      </w:r>
      <w:r>
        <w:t xml:space="preserve">the purview of </w:t>
      </w:r>
      <w:r w:rsidRPr="00BF6446">
        <w:t>State action and therefore largely outside the jurisdiction of international law. The requirement that a State must in some way be involved in the perpetuation of SGBV abuses in order to qualify as violations</w:t>
      </w:r>
      <w:r>
        <w:t xml:space="preserve"> of international human rights – the state action requirement – </w:t>
      </w:r>
      <w:r w:rsidRPr="003655E9">
        <w:t>is a significant impediment in establishing gender-based</w:t>
      </w:r>
      <w:r>
        <w:t xml:space="preserve"> rights. </w:t>
      </w:r>
      <w:r w:rsidRPr="003655E9">
        <w:t xml:space="preserve">Consequently, the international community </w:t>
      </w:r>
      <w:r>
        <w:t>has relegated</w:t>
      </w:r>
      <w:r w:rsidRPr="003655E9">
        <w:t xml:space="preserve"> </w:t>
      </w:r>
      <w:r>
        <w:t>the majority of SGBV violations</w:t>
      </w:r>
      <w:r w:rsidRPr="003655E9">
        <w:t xml:space="preserve"> to the sphere of </w:t>
      </w:r>
      <w:r>
        <w:t>domestic state jurisdiction</w:t>
      </w:r>
      <w:r w:rsidRPr="003655E9">
        <w:t>.</w:t>
      </w:r>
      <w:r w:rsidRPr="003655E9">
        <w:rPr>
          <w:rStyle w:val="FootnoteReference"/>
        </w:rPr>
        <w:footnoteReference w:id="62"/>
      </w:r>
    </w:p>
    <w:p w14:paraId="2080749F" w14:textId="77777777" w:rsidR="00C1042E" w:rsidRPr="003655E9" w:rsidRDefault="00C1042E" w:rsidP="00C1042E">
      <w:pPr>
        <w:jc w:val="both"/>
      </w:pPr>
    </w:p>
    <w:p w14:paraId="7B06C742" w14:textId="2DAA7409" w:rsidR="00C1042E" w:rsidRDefault="00C1042E" w:rsidP="00C1042E">
      <w:pPr>
        <w:jc w:val="both"/>
        <w:rPr>
          <w:rFonts w:eastAsia="Times New Roman"/>
        </w:rPr>
      </w:pPr>
      <w:r>
        <w:rPr>
          <w:rFonts w:eastAsia="Times New Roman"/>
        </w:rPr>
        <w:t>However, the</w:t>
      </w:r>
      <w:r w:rsidRPr="003655E9">
        <w:rPr>
          <w:rFonts w:eastAsia="Times New Roman"/>
        </w:rPr>
        <w:t xml:space="preserve"> I</w:t>
      </w:r>
      <w:r>
        <w:rPr>
          <w:rFonts w:eastAsia="Times New Roman"/>
        </w:rPr>
        <w:t xml:space="preserve">nternational </w:t>
      </w:r>
      <w:r w:rsidRPr="003655E9">
        <w:rPr>
          <w:rFonts w:eastAsia="Times New Roman"/>
        </w:rPr>
        <w:t>C</w:t>
      </w:r>
      <w:r>
        <w:rPr>
          <w:rFonts w:eastAsia="Times New Roman"/>
        </w:rPr>
        <w:t xml:space="preserve">riminal </w:t>
      </w:r>
      <w:r w:rsidRPr="003655E9">
        <w:rPr>
          <w:rFonts w:eastAsia="Times New Roman"/>
        </w:rPr>
        <w:t>T</w:t>
      </w:r>
      <w:r>
        <w:rPr>
          <w:rFonts w:eastAsia="Times New Roman"/>
        </w:rPr>
        <w:t xml:space="preserve">ribunal for </w:t>
      </w:r>
      <w:r w:rsidRPr="003655E9">
        <w:rPr>
          <w:rFonts w:eastAsia="Times New Roman"/>
        </w:rPr>
        <w:t>R</w:t>
      </w:r>
      <w:r>
        <w:rPr>
          <w:rFonts w:eastAsia="Times New Roman"/>
        </w:rPr>
        <w:t>wanda (ICTR)</w:t>
      </w:r>
      <w:r w:rsidRPr="003655E9">
        <w:rPr>
          <w:rFonts w:eastAsia="Times New Roman"/>
        </w:rPr>
        <w:t xml:space="preserve"> </w:t>
      </w:r>
      <w:r>
        <w:rPr>
          <w:rFonts w:eastAsia="Times New Roman"/>
        </w:rPr>
        <w:t>in its</w:t>
      </w:r>
      <w:r w:rsidRPr="003655E9">
        <w:rPr>
          <w:rFonts w:eastAsia="Times New Roman"/>
        </w:rPr>
        <w:t xml:space="preserve"> </w:t>
      </w:r>
      <w:proofErr w:type="spellStart"/>
      <w:r w:rsidRPr="003655E9">
        <w:rPr>
          <w:rFonts w:eastAsia="Times New Roman"/>
          <w:i/>
        </w:rPr>
        <w:t>Akayesu</w:t>
      </w:r>
      <w:proofErr w:type="spellEnd"/>
      <w:r w:rsidRPr="003655E9">
        <w:rPr>
          <w:rFonts w:eastAsia="Times New Roman"/>
        </w:rPr>
        <w:t xml:space="preserve"> </w:t>
      </w:r>
      <w:r>
        <w:rPr>
          <w:rFonts w:eastAsia="Times New Roman"/>
        </w:rPr>
        <w:t>decision</w:t>
      </w:r>
      <w:r>
        <w:rPr>
          <w:rStyle w:val="FootnoteReference"/>
          <w:rFonts w:eastAsia="Times New Roman"/>
        </w:rPr>
        <w:footnoteReference w:id="63"/>
      </w:r>
      <w:r w:rsidRPr="003655E9">
        <w:rPr>
          <w:rFonts w:eastAsia="Times New Roman"/>
        </w:rPr>
        <w:t xml:space="preserve"> expanded the definition of </w:t>
      </w:r>
      <w:r>
        <w:rPr>
          <w:rFonts w:eastAsia="Times New Roman"/>
        </w:rPr>
        <w:t>SGBV, finding that non-State actors, as well as S</w:t>
      </w:r>
      <w:r w:rsidRPr="003655E9">
        <w:rPr>
          <w:rFonts w:eastAsia="Times New Roman"/>
        </w:rPr>
        <w:t>tate actors</w:t>
      </w:r>
      <w:r>
        <w:rPr>
          <w:rFonts w:eastAsia="Times New Roman"/>
        </w:rPr>
        <w:t>,</w:t>
      </w:r>
      <w:r w:rsidRPr="003655E9">
        <w:rPr>
          <w:rFonts w:eastAsia="Times New Roman"/>
        </w:rPr>
        <w:t xml:space="preserve"> can violate international humanitarian law</w:t>
      </w:r>
      <w:r>
        <w:rPr>
          <w:rFonts w:eastAsia="Times New Roman"/>
        </w:rPr>
        <w:t xml:space="preserve"> (</w:t>
      </w:r>
      <w:r w:rsidR="00FF44E0">
        <w:rPr>
          <w:rFonts w:eastAsia="Times New Roman"/>
        </w:rPr>
        <w:t xml:space="preserve">that being </w:t>
      </w:r>
      <w:r>
        <w:rPr>
          <w:rFonts w:eastAsia="Times New Roman"/>
        </w:rPr>
        <w:t>the law of war largely set out under the Geneva Conventions)</w:t>
      </w:r>
      <w:r w:rsidRPr="003655E9">
        <w:rPr>
          <w:rFonts w:eastAsia="Times New Roman"/>
        </w:rPr>
        <w:t>.</w:t>
      </w:r>
      <w:r w:rsidRPr="003655E9">
        <w:rPr>
          <w:rStyle w:val="FootnoteReference"/>
          <w:rFonts w:eastAsia="Times New Roman"/>
        </w:rPr>
        <w:footnoteReference w:id="64"/>
      </w:r>
      <w:r>
        <w:rPr>
          <w:rFonts w:eastAsia="Times New Roman"/>
        </w:rPr>
        <w:t xml:space="preserve"> Following</w:t>
      </w:r>
      <w:r w:rsidRPr="003655E9">
        <w:rPr>
          <w:rFonts w:eastAsia="Times New Roman"/>
        </w:rPr>
        <w:t xml:space="preserve"> the </w:t>
      </w:r>
      <w:proofErr w:type="spellStart"/>
      <w:r w:rsidRPr="00000390">
        <w:rPr>
          <w:rFonts w:eastAsia="Times New Roman"/>
          <w:i/>
        </w:rPr>
        <w:t>Akayesu</w:t>
      </w:r>
      <w:proofErr w:type="spellEnd"/>
      <w:r w:rsidRPr="003655E9">
        <w:rPr>
          <w:rFonts w:eastAsia="Times New Roman"/>
        </w:rPr>
        <w:t xml:space="preserve"> </w:t>
      </w:r>
      <w:r w:rsidR="00F54C34">
        <w:rPr>
          <w:rFonts w:eastAsia="Times New Roman"/>
        </w:rPr>
        <w:t>case</w:t>
      </w:r>
      <w:r w:rsidRPr="003655E9">
        <w:rPr>
          <w:rFonts w:eastAsia="Times New Roman"/>
        </w:rPr>
        <w:t>, it is possible for a non-military person to be convicted of sexual assault as a violation of Common Articl</w:t>
      </w:r>
      <w:r>
        <w:rPr>
          <w:rFonts w:eastAsia="Times New Roman"/>
        </w:rPr>
        <w:t>e 3 and Additional Protocol II (</w:t>
      </w:r>
      <w:r w:rsidRPr="003655E9">
        <w:rPr>
          <w:rFonts w:eastAsia="Times New Roman"/>
        </w:rPr>
        <w:t xml:space="preserve">of the Geneva </w:t>
      </w:r>
      <w:r>
        <w:rPr>
          <w:rFonts w:eastAsia="Times New Roman"/>
        </w:rPr>
        <w:t>Conventions)</w:t>
      </w:r>
      <w:r w:rsidRPr="003655E9">
        <w:rPr>
          <w:rFonts w:eastAsia="Times New Roman"/>
        </w:rPr>
        <w:t xml:space="preserve"> even when physical contact does not occur, but was coerced and sexual in nature such as forcing a person to do activities while naked. </w:t>
      </w:r>
    </w:p>
    <w:p w14:paraId="4E172477" w14:textId="77777777" w:rsidR="00C1042E" w:rsidRDefault="00C1042E" w:rsidP="00C1042E">
      <w:pPr>
        <w:jc w:val="both"/>
        <w:rPr>
          <w:rFonts w:eastAsia="Times New Roman"/>
        </w:rPr>
      </w:pPr>
    </w:p>
    <w:p w14:paraId="68DEBBE0" w14:textId="7F3247D2" w:rsidR="00C1042E" w:rsidRPr="003655E9" w:rsidRDefault="00C1042E" w:rsidP="00C1042E">
      <w:pPr>
        <w:jc w:val="both"/>
        <w:rPr>
          <w:rFonts w:eastAsia="Times New Roman"/>
        </w:rPr>
      </w:pPr>
      <w:r>
        <w:rPr>
          <w:rFonts w:eastAsia="Times New Roman"/>
        </w:rPr>
        <w:t>W</w:t>
      </w:r>
      <w:r w:rsidRPr="003655E9">
        <w:rPr>
          <w:rFonts w:eastAsia="Times New Roman"/>
        </w:rPr>
        <w:t>omen</w:t>
      </w:r>
      <w:r>
        <w:rPr>
          <w:rFonts w:eastAsia="Times New Roman"/>
        </w:rPr>
        <w:t xml:space="preserve"> and girls</w:t>
      </w:r>
      <w:r w:rsidRPr="003655E9">
        <w:rPr>
          <w:rFonts w:eastAsia="Times New Roman"/>
        </w:rPr>
        <w:t xml:space="preserve"> w</w:t>
      </w:r>
      <w:r>
        <w:rPr>
          <w:rFonts w:eastAsia="Times New Roman"/>
        </w:rPr>
        <w:t>ho are sexually assaulted by a State or non-S</w:t>
      </w:r>
      <w:r w:rsidRPr="003655E9">
        <w:rPr>
          <w:rFonts w:eastAsia="Times New Roman"/>
        </w:rPr>
        <w:t xml:space="preserve">tate actor in a </w:t>
      </w:r>
      <w:r>
        <w:rPr>
          <w:rFonts w:eastAsia="Times New Roman"/>
        </w:rPr>
        <w:t xml:space="preserve">refugee </w:t>
      </w:r>
      <w:r w:rsidRPr="003655E9">
        <w:rPr>
          <w:rFonts w:eastAsia="Times New Roman"/>
        </w:rPr>
        <w:t xml:space="preserve">camp, </w:t>
      </w:r>
      <w:r>
        <w:rPr>
          <w:rFonts w:eastAsia="Times New Roman"/>
        </w:rPr>
        <w:t>with</w:t>
      </w:r>
      <w:r w:rsidRPr="003655E9">
        <w:rPr>
          <w:rFonts w:eastAsia="Times New Roman"/>
        </w:rPr>
        <w:t>in a country that is experiencing internal armed conflict</w:t>
      </w:r>
      <w:r>
        <w:rPr>
          <w:rFonts w:eastAsia="Times New Roman"/>
        </w:rPr>
        <w:t>,</w:t>
      </w:r>
      <w:r w:rsidRPr="003655E9">
        <w:rPr>
          <w:rFonts w:eastAsia="Times New Roman"/>
        </w:rPr>
        <w:t xml:space="preserve"> can assert their legal rights under Common Article 3 </w:t>
      </w:r>
      <w:r>
        <w:rPr>
          <w:rFonts w:eastAsia="Times New Roman"/>
        </w:rPr>
        <w:t xml:space="preserve">of the Geneva Conventions </w:t>
      </w:r>
      <w:r w:rsidRPr="003655E9">
        <w:rPr>
          <w:rFonts w:eastAsia="Times New Roman"/>
        </w:rPr>
        <w:t>and can argue for the broader protections based on Additional Protocol II and the</w:t>
      </w:r>
      <w:r w:rsidR="00F54C34">
        <w:rPr>
          <w:rFonts w:eastAsia="Times New Roman"/>
        </w:rPr>
        <w:t xml:space="preserve"> ICTR’s</w:t>
      </w:r>
      <w:r w:rsidRPr="003655E9">
        <w:rPr>
          <w:rFonts w:eastAsia="Times New Roman"/>
        </w:rPr>
        <w:t xml:space="preserve"> </w:t>
      </w:r>
      <w:proofErr w:type="spellStart"/>
      <w:r w:rsidRPr="006F72DD">
        <w:rPr>
          <w:rFonts w:eastAsia="Times New Roman"/>
          <w:i/>
        </w:rPr>
        <w:t>Akayesu</w:t>
      </w:r>
      <w:proofErr w:type="spellEnd"/>
      <w:r w:rsidRPr="003655E9">
        <w:rPr>
          <w:rFonts w:eastAsia="Times New Roman"/>
        </w:rPr>
        <w:t xml:space="preserve"> </w:t>
      </w:r>
      <w:r w:rsidR="00F54C34">
        <w:rPr>
          <w:rFonts w:eastAsia="Times New Roman"/>
        </w:rPr>
        <w:t>decision</w:t>
      </w:r>
      <w:r w:rsidR="00F54C34" w:rsidRPr="003655E9">
        <w:rPr>
          <w:rFonts w:eastAsia="Times New Roman"/>
        </w:rPr>
        <w:t xml:space="preserve"> </w:t>
      </w:r>
      <w:r w:rsidRPr="003655E9">
        <w:rPr>
          <w:rFonts w:eastAsia="Times New Roman"/>
        </w:rPr>
        <w:t xml:space="preserve">as persuasive, non-binding international law. </w:t>
      </w:r>
      <w:r>
        <w:rPr>
          <w:rFonts w:eastAsia="Times New Roman"/>
        </w:rPr>
        <w:t>Using these</w:t>
      </w:r>
      <w:r w:rsidRPr="003655E9">
        <w:rPr>
          <w:rFonts w:eastAsia="Times New Roman"/>
        </w:rPr>
        <w:t xml:space="preserve"> provisions, </w:t>
      </w:r>
      <w:r>
        <w:rPr>
          <w:rFonts w:eastAsia="Times New Roman"/>
        </w:rPr>
        <w:t xml:space="preserve">the rights of refugee </w:t>
      </w:r>
      <w:r w:rsidRPr="003655E9">
        <w:rPr>
          <w:rFonts w:eastAsia="Times New Roman"/>
        </w:rPr>
        <w:t xml:space="preserve">women to be free of sexual </w:t>
      </w:r>
      <w:r w:rsidRPr="003655E9">
        <w:rPr>
          <w:rFonts w:eastAsia="Times New Roman"/>
        </w:rPr>
        <w:lastRenderedPageBreak/>
        <w:t>bartering, domestic violence, sexual</w:t>
      </w:r>
      <w:r>
        <w:rPr>
          <w:rFonts w:eastAsia="Times New Roman"/>
        </w:rPr>
        <w:t xml:space="preserve"> assault and rape within the refugee camp environment are bolstered by international humanitarian law.</w:t>
      </w:r>
      <w:r w:rsidRPr="003655E9">
        <w:rPr>
          <w:rStyle w:val="FootnoteReference"/>
          <w:rFonts w:eastAsia="Times New Roman"/>
        </w:rPr>
        <w:t xml:space="preserve"> </w:t>
      </w:r>
      <w:r w:rsidRPr="003655E9">
        <w:rPr>
          <w:rStyle w:val="FootnoteReference"/>
          <w:rFonts w:eastAsia="Times New Roman"/>
        </w:rPr>
        <w:footnoteReference w:id="65"/>
      </w:r>
    </w:p>
    <w:p w14:paraId="43DA67A0" w14:textId="77777777" w:rsidR="00C1042E" w:rsidRDefault="00C1042E" w:rsidP="00C1042E">
      <w:pPr>
        <w:jc w:val="both"/>
        <w:rPr>
          <w:b/>
          <w:caps/>
          <w:u w:val="single"/>
        </w:rPr>
      </w:pPr>
    </w:p>
    <w:p w14:paraId="2CC64A81" w14:textId="77777777" w:rsidR="00C1042E" w:rsidRPr="00A400F3" w:rsidRDefault="00C1042E" w:rsidP="00C1042E">
      <w:pPr>
        <w:jc w:val="both"/>
        <w:rPr>
          <w:b/>
          <w:i/>
          <w:caps/>
        </w:rPr>
      </w:pPr>
    </w:p>
    <w:p w14:paraId="4E25077C" w14:textId="17917508" w:rsidR="00C1042E" w:rsidRPr="00A400F3" w:rsidRDefault="00E15D7C" w:rsidP="00C1042E">
      <w:pPr>
        <w:jc w:val="both"/>
        <w:rPr>
          <w:rFonts w:eastAsia="Times New Roman"/>
          <w:b/>
          <w:i/>
        </w:rPr>
      </w:pPr>
      <w:r>
        <w:rPr>
          <w:rFonts w:eastAsia="Times New Roman"/>
          <w:b/>
          <w:i/>
        </w:rPr>
        <w:t xml:space="preserve">SGBV </w:t>
      </w:r>
      <w:r w:rsidR="00E0001C">
        <w:rPr>
          <w:rFonts w:eastAsia="Times New Roman"/>
          <w:b/>
          <w:i/>
        </w:rPr>
        <w:t>as Crimes Before t</w:t>
      </w:r>
      <w:r w:rsidR="00C1042E" w:rsidRPr="00A400F3">
        <w:rPr>
          <w:rFonts w:eastAsia="Times New Roman"/>
          <w:b/>
          <w:i/>
        </w:rPr>
        <w:t>he I</w:t>
      </w:r>
      <w:r w:rsidR="00427105">
        <w:rPr>
          <w:rFonts w:eastAsia="Times New Roman"/>
          <w:b/>
          <w:i/>
        </w:rPr>
        <w:t xml:space="preserve">nternational </w:t>
      </w:r>
      <w:r w:rsidR="00C1042E" w:rsidRPr="00A400F3">
        <w:rPr>
          <w:rFonts w:eastAsia="Times New Roman"/>
          <w:b/>
          <w:i/>
        </w:rPr>
        <w:t>C</w:t>
      </w:r>
      <w:r w:rsidR="00427105">
        <w:rPr>
          <w:rFonts w:eastAsia="Times New Roman"/>
          <w:b/>
          <w:i/>
        </w:rPr>
        <w:t xml:space="preserve">riminal </w:t>
      </w:r>
      <w:r w:rsidR="00C1042E" w:rsidRPr="00A400F3">
        <w:rPr>
          <w:rFonts w:eastAsia="Times New Roman"/>
          <w:b/>
          <w:i/>
        </w:rPr>
        <w:t>C</w:t>
      </w:r>
      <w:r w:rsidR="00427105">
        <w:rPr>
          <w:rFonts w:eastAsia="Times New Roman"/>
          <w:b/>
          <w:i/>
        </w:rPr>
        <w:t>ourt</w:t>
      </w:r>
    </w:p>
    <w:p w14:paraId="7D9D0AF7" w14:textId="77777777" w:rsidR="00C1042E" w:rsidRDefault="00C1042E" w:rsidP="00C1042E">
      <w:pPr>
        <w:jc w:val="both"/>
        <w:rPr>
          <w:rFonts w:eastAsia="Times New Roman"/>
        </w:rPr>
      </w:pPr>
    </w:p>
    <w:p w14:paraId="0CBAADA7" w14:textId="778277CE" w:rsidR="00C1042E" w:rsidRPr="003655E9" w:rsidRDefault="00C1042E" w:rsidP="00C1042E">
      <w:pPr>
        <w:jc w:val="both"/>
        <w:rPr>
          <w:rFonts w:eastAsia="Times New Roman"/>
        </w:rPr>
      </w:pPr>
      <w:r w:rsidRPr="003655E9">
        <w:rPr>
          <w:rFonts w:eastAsia="Times New Roman"/>
        </w:rPr>
        <w:t xml:space="preserve">In 2014, the Office of the Prosecutor of the International Criminal Court (ICC) launched its </w:t>
      </w:r>
      <w:hyperlink r:id="rId35" w:history="1">
        <w:r w:rsidRPr="00164428">
          <w:rPr>
            <w:rStyle w:val="Hyperlink"/>
            <w:rFonts w:eastAsia="Times New Roman"/>
            <w:i/>
          </w:rPr>
          <w:t>Policy Paper on Sexual and Gender-Based Crimes</w:t>
        </w:r>
      </w:hyperlink>
      <w:r w:rsidRPr="00164428">
        <w:rPr>
          <w:rFonts w:eastAsia="Times New Roman"/>
        </w:rPr>
        <w:t>, the</w:t>
      </w:r>
      <w:r>
        <w:rPr>
          <w:rFonts w:eastAsia="Times New Roman"/>
        </w:rPr>
        <w:t xml:space="preserve"> first policy paper to be issued by this office. This document represents</w:t>
      </w:r>
      <w:r w:rsidRPr="003655E9">
        <w:rPr>
          <w:rFonts w:eastAsia="Times New Roman"/>
        </w:rPr>
        <w:t xml:space="preserve"> an important </w:t>
      </w:r>
      <w:r>
        <w:rPr>
          <w:rFonts w:eastAsia="Times New Roman"/>
        </w:rPr>
        <w:t>development within the SGBV discourse</w:t>
      </w:r>
      <w:r w:rsidRPr="003655E9">
        <w:rPr>
          <w:rFonts w:eastAsia="Times New Roman"/>
        </w:rPr>
        <w:t xml:space="preserve"> and has the potential to transform how gendered acts</w:t>
      </w:r>
      <w:r>
        <w:rPr>
          <w:rFonts w:eastAsia="Times New Roman"/>
        </w:rPr>
        <w:t xml:space="preserve"> within genocide, mass atrocity</w:t>
      </w:r>
      <w:r w:rsidRPr="003655E9">
        <w:rPr>
          <w:rFonts w:eastAsia="Times New Roman"/>
        </w:rPr>
        <w:t xml:space="preserve"> and war are prosecuted</w:t>
      </w:r>
      <w:r>
        <w:rPr>
          <w:rFonts w:eastAsia="Times New Roman"/>
        </w:rPr>
        <w:t xml:space="preserve"> internationally. The basis for this</w:t>
      </w:r>
      <w:r w:rsidRPr="003655E9">
        <w:rPr>
          <w:rFonts w:eastAsia="Times New Roman"/>
        </w:rPr>
        <w:t xml:space="preserve"> policy </w:t>
      </w:r>
      <w:r w:rsidR="007124A1">
        <w:rPr>
          <w:rFonts w:eastAsia="Times New Roman"/>
        </w:rPr>
        <w:t xml:space="preserve">document </w:t>
      </w:r>
      <w:r>
        <w:rPr>
          <w:rFonts w:eastAsia="Times New Roman"/>
        </w:rPr>
        <w:t>is</w:t>
      </w:r>
      <w:r w:rsidRPr="003655E9">
        <w:rPr>
          <w:rFonts w:eastAsia="Times New Roman"/>
        </w:rPr>
        <w:t xml:space="preserve"> the explicit inclusion </w:t>
      </w:r>
      <w:r>
        <w:rPr>
          <w:rFonts w:eastAsia="Times New Roman"/>
        </w:rPr>
        <w:t>with</w:t>
      </w:r>
      <w:r w:rsidRPr="003655E9">
        <w:rPr>
          <w:rFonts w:eastAsia="Times New Roman"/>
        </w:rPr>
        <w:t xml:space="preserve">in the </w:t>
      </w:r>
      <w:hyperlink r:id="rId36" w:history="1">
        <w:r w:rsidRPr="00652A12">
          <w:rPr>
            <w:rStyle w:val="Hyperlink"/>
            <w:rFonts w:eastAsia="Times New Roman"/>
            <w:i/>
          </w:rPr>
          <w:t>Rome Statute of the ICC</w:t>
        </w:r>
      </w:hyperlink>
      <w:r w:rsidRPr="003655E9">
        <w:rPr>
          <w:rFonts w:eastAsia="Times New Roman"/>
        </w:rPr>
        <w:t xml:space="preserve"> of an expansive list of </w:t>
      </w:r>
      <w:r>
        <w:rPr>
          <w:rFonts w:eastAsia="Times New Roman"/>
        </w:rPr>
        <w:t>SGBV crimes</w:t>
      </w:r>
      <w:r w:rsidRPr="003655E9">
        <w:rPr>
          <w:rFonts w:eastAsia="Times New Roman"/>
        </w:rPr>
        <w:t>, i</w:t>
      </w:r>
      <w:r>
        <w:rPr>
          <w:rFonts w:eastAsia="Times New Roman"/>
        </w:rPr>
        <w:t xml:space="preserve">ncluding </w:t>
      </w:r>
      <w:r w:rsidRPr="003655E9">
        <w:rPr>
          <w:rFonts w:eastAsia="Times New Roman"/>
        </w:rPr>
        <w:t>rape, sexual slavery, enforced</w:t>
      </w:r>
      <w:r>
        <w:rPr>
          <w:rFonts w:eastAsia="Times New Roman"/>
        </w:rPr>
        <w:t xml:space="preserve"> prostitution, forced pregnancy and enforced </w:t>
      </w:r>
      <w:proofErr w:type="spellStart"/>
      <w:r>
        <w:rPr>
          <w:rFonts w:eastAsia="Times New Roman"/>
        </w:rPr>
        <w:t>sterilisation</w:t>
      </w:r>
      <w:proofErr w:type="spellEnd"/>
      <w:r>
        <w:rPr>
          <w:rFonts w:eastAsia="Times New Roman"/>
        </w:rPr>
        <w:t>.</w:t>
      </w:r>
      <w:r w:rsidRPr="003655E9">
        <w:rPr>
          <w:rFonts w:eastAsia="Times New Roman"/>
        </w:rPr>
        <w:t xml:space="preserve">  This was the first time in international criminal law that </w:t>
      </w:r>
      <w:r>
        <w:rPr>
          <w:rFonts w:eastAsia="Times New Roman"/>
        </w:rPr>
        <w:t>acts of SGBV</w:t>
      </w:r>
      <w:r w:rsidRPr="003655E9">
        <w:rPr>
          <w:rFonts w:eastAsia="Times New Roman"/>
        </w:rPr>
        <w:t xml:space="preserve"> had been this extensively enumerated as </w:t>
      </w:r>
      <w:r>
        <w:rPr>
          <w:rFonts w:eastAsia="Times New Roman"/>
        </w:rPr>
        <w:t xml:space="preserve">international </w:t>
      </w:r>
      <w:r w:rsidRPr="003655E9">
        <w:rPr>
          <w:rFonts w:eastAsia="Times New Roman"/>
        </w:rPr>
        <w:t>crimes.</w:t>
      </w:r>
      <w:r w:rsidRPr="003655E9">
        <w:rPr>
          <w:rStyle w:val="FootnoteReference"/>
          <w:rFonts w:eastAsia="Times New Roman"/>
        </w:rPr>
        <w:footnoteReference w:id="66"/>
      </w:r>
    </w:p>
    <w:p w14:paraId="70A4A653" w14:textId="77777777" w:rsidR="00C1042E" w:rsidRDefault="00C1042E" w:rsidP="00C1042E">
      <w:pPr>
        <w:contextualSpacing/>
        <w:jc w:val="both"/>
        <w:rPr>
          <w:rFonts w:cstheme="minorHAnsi"/>
        </w:rPr>
      </w:pPr>
    </w:p>
    <w:p w14:paraId="778DA301" w14:textId="77777777" w:rsidR="00C1042E" w:rsidRDefault="00C1042E" w:rsidP="00C1042E">
      <w:pPr>
        <w:contextualSpacing/>
        <w:jc w:val="both"/>
      </w:pPr>
      <w:r>
        <w:rPr>
          <w:rFonts w:cstheme="minorHAnsi"/>
        </w:rPr>
        <w:t>However, u</w:t>
      </w:r>
      <w:r w:rsidRPr="003655E9">
        <w:t xml:space="preserve">nder the </w:t>
      </w:r>
      <w:r>
        <w:t xml:space="preserve">ICC’s </w:t>
      </w:r>
      <w:r w:rsidRPr="00AB33E5">
        <w:rPr>
          <w:i/>
        </w:rPr>
        <w:t>Rome Statute</w:t>
      </w:r>
      <w:r w:rsidRPr="003655E9">
        <w:t xml:space="preserve">, to prosecute rape as a crime against humanity, </w:t>
      </w:r>
      <w:r>
        <w:t xml:space="preserve">its </w:t>
      </w:r>
      <w:r w:rsidRPr="003655E9">
        <w:t>Article 7(0) requires that the rape occur "as part of a widespread or systematic attack directed against a civilian population, with kno</w:t>
      </w:r>
      <w:r>
        <w:t>wledge of the attack."  Similarly</w:t>
      </w:r>
      <w:r w:rsidRPr="003655E9">
        <w:t>, rape may be prosecuted as a war crime pursuant to Article 8(2)(e)(vi), but the scope is again limited to instances where the rape is committed "as part of a plan or policy or as part of a large-scale commi</w:t>
      </w:r>
      <w:r>
        <w:t>ssion of such crimes"</w:t>
      </w:r>
      <w:r w:rsidRPr="003655E9">
        <w:t>. If the language "as part of" is cons</w:t>
      </w:r>
      <w:r>
        <w:t>trued narrowly to require</w:t>
      </w:r>
      <w:r w:rsidRPr="003655E9">
        <w:t xml:space="preserve"> a widespread, systematic attack or policy, many rapes committed as crimes of opportunity </w:t>
      </w:r>
      <w:r>
        <w:t xml:space="preserve">in conflict and </w:t>
      </w:r>
      <w:r w:rsidRPr="003655E9">
        <w:t xml:space="preserve">post-conflict </w:t>
      </w:r>
      <w:r>
        <w:t>settings</w:t>
      </w:r>
      <w:r w:rsidRPr="003655E9">
        <w:t>, rather than as deliberate acts of armed aggression, animated by larger policy objectives, will</w:t>
      </w:r>
      <w:r>
        <w:t xml:space="preserve"> fall outside of this</w:t>
      </w:r>
      <w:r w:rsidRPr="003655E9">
        <w:t xml:space="preserve"> definition.</w:t>
      </w:r>
      <w:r w:rsidRPr="003655E9">
        <w:rPr>
          <w:rStyle w:val="FootnoteReference"/>
        </w:rPr>
        <w:footnoteReference w:id="67"/>
      </w:r>
      <w:r>
        <w:t xml:space="preserve"> For most</w:t>
      </w:r>
      <w:r w:rsidRPr="003655E9">
        <w:t xml:space="preserve"> instances of rape</w:t>
      </w:r>
      <w:r>
        <w:t xml:space="preserve"> perpetrated against refugees</w:t>
      </w:r>
      <w:r w:rsidRPr="003655E9">
        <w:t>, while occurring within the larger context of armed conflict, may not be committed by government or militia forces or, if committed by those forces, not committed in furtherance of those groups' objectives</w:t>
      </w:r>
      <w:r>
        <w:t>, thus seemingly not constituting crimes prosecutable before the ICC.</w:t>
      </w:r>
      <w:r w:rsidRPr="003655E9">
        <w:rPr>
          <w:rStyle w:val="FootnoteReference"/>
        </w:rPr>
        <w:footnoteReference w:id="68"/>
      </w:r>
    </w:p>
    <w:p w14:paraId="0FB34A16" w14:textId="77777777" w:rsidR="00C1042E" w:rsidRDefault="00C1042E" w:rsidP="00C1042E">
      <w:pPr>
        <w:contextualSpacing/>
        <w:jc w:val="both"/>
      </w:pPr>
    </w:p>
    <w:p w14:paraId="6C2DF70B" w14:textId="08723C51" w:rsidR="00C1042E" w:rsidRDefault="00C1042E" w:rsidP="00C1042E">
      <w:pPr>
        <w:jc w:val="both"/>
        <w:rPr>
          <w:rFonts w:eastAsia="Times New Roman"/>
        </w:rPr>
      </w:pPr>
      <w:r w:rsidRPr="003655E9">
        <w:rPr>
          <w:rFonts w:eastAsia="Times New Roman"/>
        </w:rPr>
        <w:t xml:space="preserve">The </w:t>
      </w:r>
      <w:hyperlink r:id="rId37" w:history="1">
        <w:r w:rsidRPr="00652A12">
          <w:rPr>
            <w:rStyle w:val="Hyperlink"/>
            <w:rFonts w:eastAsia="Times New Roman"/>
            <w:i/>
          </w:rPr>
          <w:t>Rome Statute of the ICC</w:t>
        </w:r>
      </w:hyperlink>
      <w:r w:rsidRPr="003655E9">
        <w:rPr>
          <w:rFonts w:eastAsia="Times New Roman"/>
        </w:rPr>
        <w:t xml:space="preserve"> contains a</w:t>
      </w:r>
      <w:r>
        <w:rPr>
          <w:rFonts w:eastAsia="Times New Roman"/>
        </w:rPr>
        <w:t>n existing definition of the term ’gender’</w:t>
      </w:r>
      <w:r w:rsidRPr="003655E9">
        <w:rPr>
          <w:rFonts w:eastAsia="Times New Roman"/>
        </w:rPr>
        <w:t xml:space="preserve"> </w:t>
      </w:r>
      <w:r w:rsidR="00150C29">
        <w:rPr>
          <w:rFonts w:eastAsia="Times New Roman"/>
        </w:rPr>
        <w:t>at</w:t>
      </w:r>
      <w:r w:rsidRPr="003655E9">
        <w:rPr>
          <w:rFonts w:eastAsia="Times New Roman"/>
        </w:rPr>
        <w:t xml:space="preserve"> Article 7(3): “the two sexes, male and female, within the context of society.” This</w:t>
      </w:r>
      <w:r>
        <w:rPr>
          <w:rFonts w:eastAsia="Times New Roman"/>
        </w:rPr>
        <w:t xml:space="preserve"> definition was deliberately constructively ambiguous to ensure international acceptance of the </w:t>
      </w:r>
      <w:r w:rsidRPr="00BF6446">
        <w:rPr>
          <w:rFonts w:eastAsia="Times New Roman"/>
          <w:i/>
        </w:rPr>
        <w:t>Rome Statute</w:t>
      </w:r>
      <w:r>
        <w:rPr>
          <w:rFonts w:eastAsia="Times New Roman"/>
        </w:rPr>
        <w:t xml:space="preserve">, particularly by conservative Catholic and Arab States. </w:t>
      </w:r>
      <w:r w:rsidRPr="003655E9">
        <w:rPr>
          <w:rFonts w:eastAsia="Times New Roman"/>
        </w:rPr>
        <w:t xml:space="preserve">The </w:t>
      </w:r>
      <w:r>
        <w:rPr>
          <w:rFonts w:eastAsia="Times New Roman"/>
        </w:rPr>
        <w:t>subsequent result had</w:t>
      </w:r>
      <w:r w:rsidRPr="003655E9">
        <w:rPr>
          <w:rFonts w:eastAsia="Times New Roman"/>
        </w:rPr>
        <w:t xml:space="preserve"> </w:t>
      </w:r>
      <w:r w:rsidR="00D261BF">
        <w:rPr>
          <w:rFonts w:eastAsia="Times New Roman"/>
        </w:rPr>
        <w:t>s</w:t>
      </w:r>
      <w:r>
        <w:rPr>
          <w:rFonts w:eastAsia="Times New Roman"/>
        </w:rPr>
        <w:t xml:space="preserve">een some confusion within – and outside of – </w:t>
      </w:r>
      <w:r w:rsidRPr="003655E9">
        <w:rPr>
          <w:rFonts w:eastAsia="Times New Roman"/>
        </w:rPr>
        <w:t xml:space="preserve">the </w:t>
      </w:r>
      <w:r>
        <w:rPr>
          <w:rFonts w:eastAsia="Times New Roman"/>
        </w:rPr>
        <w:t>ICC</w:t>
      </w:r>
      <w:r w:rsidRPr="003655E9">
        <w:rPr>
          <w:rFonts w:eastAsia="Times New Roman"/>
        </w:rPr>
        <w:t xml:space="preserve"> as to how to </w:t>
      </w:r>
      <w:r>
        <w:rPr>
          <w:rFonts w:eastAsia="Times New Roman"/>
        </w:rPr>
        <w:t xml:space="preserve">properly </w:t>
      </w:r>
      <w:r w:rsidRPr="003655E9">
        <w:rPr>
          <w:rFonts w:eastAsia="Times New Roman"/>
        </w:rPr>
        <w:t>interpret Article 7</w:t>
      </w:r>
      <w:r>
        <w:rPr>
          <w:rFonts w:eastAsia="Times New Roman"/>
        </w:rPr>
        <w:t>(3)</w:t>
      </w:r>
      <w:r w:rsidRPr="003655E9">
        <w:rPr>
          <w:rFonts w:eastAsia="Times New Roman"/>
        </w:rPr>
        <w:t>.</w:t>
      </w:r>
      <w:r w:rsidRPr="003655E9">
        <w:rPr>
          <w:rStyle w:val="FootnoteReference"/>
          <w:rFonts w:eastAsia="Times New Roman"/>
        </w:rPr>
        <w:footnoteReference w:id="69"/>
      </w:r>
      <w:r>
        <w:rPr>
          <w:rFonts w:eastAsia="Times New Roman"/>
        </w:rPr>
        <w:t xml:space="preserve"> </w:t>
      </w:r>
      <w:r w:rsidRPr="003655E9">
        <w:rPr>
          <w:rFonts w:eastAsia="Times New Roman"/>
        </w:rPr>
        <w:t>The</w:t>
      </w:r>
      <w:r>
        <w:rPr>
          <w:rFonts w:eastAsia="Times New Roman"/>
        </w:rPr>
        <w:t xml:space="preserve"> ICC’s</w:t>
      </w:r>
      <w:r w:rsidRPr="003655E9">
        <w:rPr>
          <w:rFonts w:eastAsia="Times New Roman"/>
        </w:rPr>
        <w:t xml:space="preserve"> </w:t>
      </w:r>
      <w:hyperlink r:id="rId38" w:history="1">
        <w:r w:rsidRPr="00164428">
          <w:rPr>
            <w:rStyle w:val="Hyperlink"/>
            <w:rFonts w:eastAsia="Times New Roman"/>
            <w:i/>
          </w:rPr>
          <w:t>Policy Paper on Sexual and Gender-Based Crimes</w:t>
        </w:r>
      </w:hyperlink>
      <w:r>
        <w:rPr>
          <w:rFonts w:eastAsia="Times New Roman"/>
          <w:i/>
        </w:rPr>
        <w:t xml:space="preserve"> </w:t>
      </w:r>
      <w:r>
        <w:rPr>
          <w:rFonts w:eastAsia="Times New Roman"/>
        </w:rPr>
        <w:t>confronts this</w:t>
      </w:r>
      <w:r w:rsidRPr="003655E9">
        <w:rPr>
          <w:rFonts w:eastAsia="Times New Roman"/>
        </w:rPr>
        <w:t xml:space="preserve"> ambiguity of the Article 7(3) definition</w:t>
      </w:r>
      <w:r>
        <w:rPr>
          <w:rFonts w:eastAsia="Times New Roman"/>
        </w:rPr>
        <w:t xml:space="preserve"> of ‘gender’</w:t>
      </w:r>
      <w:r w:rsidRPr="003655E9">
        <w:rPr>
          <w:rFonts w:eastAsia="Times New Roman"/>
        </w:rPr>
        <w:t xml:space="preserve">. It does so directly by interpreting “context of society” as acknowledging the social construction of gender and its link to “male and female” as referring to the accompanying roles, </w:t>
      </w:r>
      <w:proofErr w:type="spellStart"/>
      <w:r w:rsidRPr="003655E9">
        <w:rPr>
          <w:rFonts w:eastAsia="Times New Roman"/>
        </w:rPr>
        <w:t>behaviours</w:t>
      </w:r>
      <w:proofErr w:type="spellEnd"/>
      <w:r w:rsidRPr="003655E9">
        <w:rPr>
          <w:rFonts w:eastAsia="Times New Roman"/>
        </w:rPr>
        <w:t>, activities, and attributes a</w:t>
      </w:r>
      <w:r>
        <w:rPr>
          <w:rFonts w:eastAsia="Times New Roman"/>
        </w:rPr>
        <w:t>ssigned to each gender.</w:t>
      </w:r>
      <w:r w:rsidRPr="003655E9">
        <w:rPr>
          <w:rFonts w:eastAsia="Times New Roman"/>
        </w:rPr>
        <w:t xml:space="preserve">  </w:t>
      </w:r>
    </w:p>
    <w:p w14:paraId="3A6B6505" w14:textId="77777777" w:rsidR="00C1042E" w:rsidRDefault="00C1042E" w:rsidP="00C1042E">
      <w:pPr>
        <w:jc w:val="both"/>
        <w:rPr>
          <w:rFonts w:eastAsia="Times New Roman"/>
        </w:rPr>
      </w:pPr>
    </w:p>
    <w:p w14:paraId="450F4CC1" w14:textId="1F3B8759" w:rsidR="00C1042E" w:rsidRPr="003655E9" w:rsidRDefault="00C1042E" w:rsidP="00C1042E">
      <w:pPr>
        <w:jc w:val="both"/>
        <w:rPr>
          <w:rFonts w:eastAsia="Times New Roman"/>
        </w:rPr>
      </w:pPr>
      <w:r w:rsidRPr="003655E9">
        <w:rPr>
          <w:rFonts w:eastAsia="Times New Roman"/>
        </w:rPr>
        <w:lastRenderedPageBreak/>
        <w:t xml:space="preserve">The Policy Paper also indicates that, in accordance with Article 21(3) </w:t>
      </w:r>
      <w:r w:rsidRPr="00BF6446">
        <w:rPr>
          <w:rFonts w:eastAsia="Times New Roman"/>
        </w:rPr>
        <w:t xml:space="preserve">of the </w:t>
      </w:r>
      <w:r w:rsidRPr="00BF6446">
        <w:rPr>
          <w:rFonts w:eastAsia="Times New Roman"/>
          <w:i/>
        </w:rPr>
        <w:t>Rome Statute</w:t>
      </w:r>
      <w:r w:rsidRPr="00BF6446">
        <w:rPr>
          <w:rFonts w:eastAsia="Times New Roman"/>
        </w:rPr>
        <w:t>, it</w:t>
      </w:r>
      <w:r w:rsidRPr="003655E9">
        <w:rPr>
          <w:rFonts w:eastAsia="Times New Roman"/>
        </w:rPr>
        <w:t xml:space="preserve"> interprets and applies the definition of gender “in accordance with internationally </w:t>
      </w:r>
      <w:proofErr w:type="spellStart"/>
      <w:r w:rsidRPr="003655E9">
        <w:rPr>
          <w:rFonts w:eastAsia="Times New Roman"/>
        </w:rPr>
        <w:t>recognised</w:t>
      </w:r>
      <w:proofErr w:type="spellEnd"/>
      <w:r w:rsidRPr="003655E9">
        <w:rPr>
          <w:rFonts w:eastAsia="Times New Roman"/>
        </w:rPr>
        <w:t xml:space="preserve"> human rights” as they evolve over time, and “without any adverse d</w:t>
      </w:r>
      <w:r>
        <w:rPr>
          <w:rFonts w:eastAsia="Times New Roman"/>
        </w:rPr>
        <w:t>istinction founded, inter alia on gender or other status.”</w:t>
      </w:r>
      <w:r w:rsidRPr="003655E9">
        <w:rPr>
          <w:rFonts w:eastAsia="Times New Roman"/>
        </w:rPr>
        <w:t xml:space="preserve">  This means that the Office </w:t>
      </w:r>
      <w:r>
        <w:rPr>
          <w:rFonts w:eastAsia="Times New Roman"/>
        </w:rPr>
        <w:t xml:space="preserve">of the ICC Prosecutor </w:t>
      </w:r>
      <w:r w:rsidRPr="003655E9">
        <w:rPr>
          <w:rFonts w:eastAsia="Times New Roman"/>
        </w:rPr>
        <w:t xml:space="preserve">considers how international human rights law addresses, for example, </w:t>
      </w:r>
      <w:r>
        <w:rPr>
          <w:rFonts w:eastAsia="Times New Roman"/>
        </w:rPr>
        <w:t>SGBV</w:t>
      </w:r>
      <w:r w:rsidRPr="003655E9">
        <w:rPr>
          <w:rFonts w:eastAsia="Times New Roman"/>
        </w:rPr>
        <w:t xml:space="preserve"> against women and gender</w:t>
      </w:r>
      <w:r>
        <w:rPr>
          <w:rFonts w:eastAsia="Times New Roman"/>
        </w:rPr>
        <w:t xml:space="preserve"> inequality. This document confirms that</w:t>
      </w:r>
      <w:r w:rsidRPr="003655E9">
        <w:rPr>
          <w:rFonts w:eastAsia="Times New Roman"/>
        </w:rPr>
        <w:t xml:space="preserve"> the definition </w:t>
      </w:r>
      <w:r>
        <w:rPr>
          <w:rFonts w:eastAsia="Times New Roman"/>
        </w:rPr>
        <w:t xml:space="preserve">of gender </w:t>
      </w:r>
      <w:r w:rsidRPr="003655E9">
        <w:rPr>
          <w:rFonts w:eastAsia="Times New Roman"/>
        </w:rPr>
        <w:t xml:space="preserve">refers to socially constructed norms of femaleness and maleness, </w:t>
      </w:r>
      <w:r>
        <w:rPr>
          <w:rFonts w:eastAsia="Times New Roman"/>
        </w:rPr>
        <w:t xml:space="preserve">with these gender </w:t>
      </w:r>
      <w:r w:rsidRPr="003655E9">
        <w:rPr>
          <w:rFonts w:eastAsia="Times New Roman"/>
        </w:rPr>
        <w:t xml:space="preserve">norms </w:t>
      </w:r>
      <w:r>
        <w:rPr>
          <w:rFonts w:eastAsia="Times New Roman"/>
        </w:rPr>
        <w:t>often having a tremendous</w:t>
      </w:r>
      <w:r w:rsidRPr="003655E9">
        <w:rPr>
          <w:rFonts w:eastAsia="Times New Roman"/>
        </w:rPr>
        <w:t xml:space="preserve"> impact on </w:t>
      </w:r>
      <w:r>
        <w:rPr>
          <w:rFonts w:eastAsia="Times New Roman"/>
        </w:rPr>
        <w:t>how women and men are treated</w:t>
      </w:r>
      <w:r w:rsidRPr="003655E9">
        <w:rPr>
          <w:rFonts w:eastAsia="Times New Roman"/>
        </w:rPr>
        <w:t xml:space="preserve"> during </w:t>
      </w:r>
      <w:r>
        <w:rPr>
          <w:rFonts w:eastAsia="Times New Roman"/>
        </w:rPr>
        <w:t xml:space="preserve">periods of </w:t>
      </w:r>
      <w:r w:rsidRPr="003655E9">
        <w:rPr>
          <w:rFonts w:eastAsia="Times New Roman"/>
        </w:rPr>
        <w:t>armed conflict and mass atrocity.</w:t>
      </w:r>
      <w:r>
        <w:rPr>
          <w:rFonts w:eastAsia="Times New Roman"/>
        </w:rPr>
        <w:t xml:space="preserve"> </w:t>
      </w:r>
      <w:r w:rsidRPr="003655E9">
        <w:rPr>
          <w:rFonts w:eastAsia="Times New Roman"/>
        </w:rPr>
        <w:t xml:space="preserve">Thus, the </w:t>
      </w:r>
      <w:r>
        <w:rPr>
          <w:rFonts w:eastAsia="Times New Roman"/>
        </w:rPr>
        <w:t xml:space="preserve">constructively ambiguous </w:t>
      </w:r>
      <w:r w:rsidRPr="003655E9">
        <w:rPr>
          <w:rFonts w:eastAsia="Times New Roman"/>
        </w:rPr>
        <w:t xml:space="preserve">definition </w:t>
      </w:r>
      <w:r>
        <w:rPr>
          <w:rFonts w:eastAsia="Times New Roman"/>
        </w:rPr>
        <w:t xml:space="preserve">appearing </w:t>
      </w:r>
      <w:r w:rsidR="001F49C4">
        <w:rPr>
          <w:rFonts w:eastAsia="Times New Roman"/>
        </w:rPr>
        <w:t>at</w:t>
      </w:r>
      <w:r w:rsidRPr="003655E9">
        <w:rPr>
          <w:rFonts w:eastAsia="Times New Roman"/>
        </w:rPr>
        <w:t xml:space="preserve"> Article 7(3) </w:t>
      </w:r>
      <w:r>
        <w:rPr>
          <w:rFonts w:eastAsia="Times New Roman"/>
        </w:rPr>
        <w:t xml:space="preserve">of the </w:t>
      </w:r>
      <w:r w:rsidRPr="00153EFB">
        <w:rPr>
          <w:rFonts w:eastAsia="Times New Roman"/>
          <w:i/>
        </w:rPr>
        <w:t>Rome Statute</w:t>
      </w:r>
      <w:r>
        <w:rPr>
          <w:rFonts w:eastAsia="Times New Roman"/>
        </w:rPr>
        <w:t xml:space="preserve"> is clarified by this ICC Policy Paper.</w:t>
      </w:r>
      <w:r w:rsidRPr="00C36E16">
        <w:rPr>
          <w:rFonts w:eastAsia="Times New Roman"/>
        </w:rPr>
        <w:t xml:space="preserve"> </w:t>
      </w:r>
      <w:r w:rsidRPr="003655E9">
        <w:rPr>
          <w:rFonts w:eastAsia="Times New Roman"/>
        </w:rPr>
        <w:t xml:space="preserve">This clarity seems to have </w:t>
      </w:r>
      <w:r>
        <w:rPr>
          <w:rFonts w:eastAsia="Times New Roman"/>
        </w:rPr>
        <w:t xml:space="preserve">also </w:t>
      </w:r>
      <w:r w:rsidRPr="003655E9">
        <w:rPr>
          <w:rFonts w:eastAsia="Times New Roman"/>
        </w:rPr>
        <w:t xml:space="preserve">empowered the </w:t>
      </w:r>
      <w:r>
        <w:rPr>
          <w:rFonts w:eastAsia="Times New Roman"/>
        </w:rPr>
        <w:t>Office of the ICC</w:t>
      </w:r>
      <w:r w:rsidRPr="003655E9">
        <w:rPr>
          <w:rFonts w:eastAsia="Times New Roman"/>
        </w:rPr>
        <w:t xml:space="preserve"> Prosecutor, as it now engages directly on the question of gender in cases such as </w:t>
      </w:r>
      <w:r w:rsidRPr="003655E9">
        <w:rPr>
          <w:rFonts w:eastAsia="Times New Roman"/>
          <w:i/>
        </w:rPr>
        <w:t xml:space="preserve">Prosecutor v. </w:t>
      </w:r>
      <w:proofErr w:type="spellStart"/>
      <w:r w:rsidRPr="003655E9">
        <w:rPr>
          <w:rFonts w:eastAsia="Times New Roman"/>
          <w:i/>
        </w:rPr>
        <w:t>Ongwen</w:t>
      </w:r>
      <w:proofErr w:type="spellEnd"/>
      <w:r w:rsidRPr="008F72C4">
        <w:rPr>
          <w:rStyle w:val="FootnoteReference"/>
          <w:rFonts w:eastAsia="Times New Roman"/>
        </w:rPr>
        <w:footnoteReference w:id="70"/>
      </w:r>
      <w:r>
        <w:rPr>
          <w:rFonts w:eastAsia="Times New Roman"/>
        </w:rPr>
        <w:t xml:space="preserve"> and in its public statements.</w:t>
      </w:r>
      <w:r w:rsidRPr="003655E9">
        <w:rPr>
          <w:rFonts w:eastAsia="Times New Roman"/>
        </w:rPr>
        <w:t> </w:t>
      </w:r>
      <w:r>
        <w:rPr>
          <w:rFonts w:eastAsia="Times New Roman"/>
        </w:rPr>
        <w:t xml:space="preserve"> It also means that the constructively ambiguous definition of gender appearing in the </w:t>
      </w:r>
      <w:r w:rsidRPr="00153EFB">
        <w:rPr>
          <w:rFonts w:eastAsia="Times New Roman"/>
          <w:i/>
        </w:rPr>
        <w:t>Rome Statute</w:t>
      </w:r>
      <w:r>
        <w:rPr>
          <w:rFonts w:eastAsia="Times New Roman"/>
        </w:rPr>
        <w:t xml:space="preserve"> </w:t>
      </w:r>
      <w:r w:rsidRPr="003655E9">
        <w:rPr>
          <w:rFonts w:eastAsia="Times New Roman"/>
        </w:rPr>
        <w:t>cannot</w:t>
      </w:r>
      <w:r>
        <w:rPr>
          <w:rFonts w:eastAsia="Times New Roman"/>
        </w:rPr>
        <w:t xml:space="preserve"> now ever</w:t>
      </w:r>
      <w:r w:rsidRPr="003655E9">
        <w:rPr>
          <w:rFonts w:eastAsia="Times New Roman"/>
        </w:rPr>
        <w:t xml:space="preserve"> be used to justify </w:t>
      </w:r>
      <w:r>
        <w:rPr>
          <w:rFonts w:eastAsia="Times New Roman"/>
        </w:rPr>
        <w:t>SGBV</w:t>
      </w:r>
      <w:r w:rsidRPr="003655E9">
        <w:rPr>
          <w:rFonts w:eastAsia="Times New Roman"/>
        </w:rPr>
        <w:t xml:space="preserve"> or </w:t>
      </w:r>
      <w:r>
        <w:rPr>
          <w:rFonts w:eastAsia="Times New Roman"/>
        </w:rPr>
        <w:t>gender discrimination</w:t>
      </w:r>
      <w:r w:rsidRPr="003655E9">
        <w:rPr>
          <w:rFonts w:eastAsia="Times New Roman"/>
        </w:rPr>
        <w:t>.</w:t>
      </w:r>
      <w:r w:rsidRPr="003655E9">
        <w:rPr>
          <w:rStyle w:val="FootnoteReference"/>
          <w:rFonts w:eastAsia="Times New Roman"/>
        </w:rPr>
        <w:footnoteReference w:id="71"/>
      </w:r>
    </w:p>
    <w:p w14:paraId="77005D14" w14:textId="77777777" w:rsidR="00C1042E" w:rsidRDefault="00C1042E" w:rsidP="00C1042E">
      <w:pPr>
        <w:jc w:val="both"/>
        <w:rPr>
          <w:rFonts w:eastAsia="Times New Roman"/>
        </w:rPr>
      </w:pPr>
    </w:p>
    <w:p w14:paraId="63FFC7B7" w14:textId="77777777" w:rsidR="00C1042E" w:rsidRDefault="00C1042E" w:rsidP="00C1042E">
      <w:pPr>
        <w:jc w:val="both"/>
        <w:rPr>
          <w:rFonts w:eastAsia="Times New Roman"/>
        </w:rPr>
      </w:pPr>
    </w:p>
    <w:p w14:paraId="669DB6A2" w14:textId="77777777" w:rsidR="00C1042E" w:rsidRPr="005D51BF" w:rsidRDefault="00C1042E" w:rsidP="00C1042E">
      <w:pPr>
        <w:contextualSpacing/>
        <w:jc w:val="both"/>
        <w:rPr>
          <w:rFonts w:cstheme="minorHAnsi"/>
          <w:b/>
          <w:u w:val="single"/>
        </w:rPr>
      </w:pPr>
      <w:r w:rsidRPr="005D51BF">
        <w:rPr>
          <w:rFonts w:cstheme="minorHAnsi"/>
          <w:b/>
          <w:u w:val="single"/>
        </w:rPr>
        <w:t>SGBV IN THE HUMANITARIAN AND REFUGEE CONTEXTS</w:t>
      </w:r>
    </w:p>
    <w:p w14:paraId="4B74480E" w14:textId="77777777" w:rsidR="00C1042E" w:rsidRDefault="00C1042E" w:rsidP="00C1042E">
      <w:pPr>
        <w:contextualSpacing/>
        <w:jc w:val="both"/>
        <w:rPr>
          <w:rFonts w:cstheme="minorHAnsi"/>
        </w:rPr>
      </w:pPr>
    </w:p>
    <w:p w14:paraId="46FD2DCF" w14:textId="77777777" w:rsidR="00C1042E" w:rsidRPr="00F50719" w:rsidRDefault="00C1042E" w:rsidP="00C1042E">
      <w:pPr>
        <w:contextualSpacing/>
        <w:jc w:val="both"/>
        <w:rPr>
          <w:rFonts w:cstheme="minorHAnsi"/>
        </w:rPr>
      </w:pPr>
      <w:r w:rsidRPr="00F50719">
        <w:rPr>
          <w:rFonts w:cstheme="minorHAnsi"/>
        </w:rPr>
        <w:t xml:space="preserve">The 1951 </w:t>
      </w:r>
      <w:hyperlink r:id="rId39" w:history="1">
        <w:r w:rsidRPr="00F50719">
          <w:rPr>
            <w:rStyle w:val="Hyperlink"/>
            <w:rFonts w:cstheme="minorHAnsi"/>
            <w:i/>
          </w:rPr>
          <w:t>Convention Relating to the Status of Refugees</w:t>
        </w:r>
      </w:hyperlink>
      <w:r w:rsidRPr="00F50719">
        <w:rPr>
          <w:rFonts w:cstheme="minorHAnsi"/>
        </w:rPr>
        <w:t xml:space="preserve"> </w:t>
      </w:r>
      <w:r>
        <w:rPr>
          <w:rFonts w:cstheme="minorHAnsi"/>
        </w:rPr>
        <w:t xml:space="preserve">(Refugee Convention) </w:t>
      </w:r>
      <w:r w:rsidRPr="00F50719">
        <w:rPr>
          <w:rFonts w:cstheme="minorHAnsi"/>
        </w:rPr>
        <w:t xml:space="preserve">defines a ‘refugee’ as a person forced to flee </w:t>
      </w:r>
      <w:r>
        <w:rPr>
          <w:rFonts w:cstheme="minorHAnsi"/>
        </w:rPr>
        <w:t xml:space="preserve">his or </w:t>
      </w:r>
      <w:r w:rsidRPr="00F50719">
        <w:rPr>
          <w:rFonts w:cstheme="minorHAnsi"/>
        </w:rPr>
        <w:t>her country and unable to return because of a "well-founded fear of being persecuted for reasons of race, nationality, membership of a particular social group or political opinion”.</w:t>
      </w:r>
      <w:r w:rsidRPr="00F50719">
        <w:rPr>
          <w:rFonts w:cstheme="minorHAnsi"/>
          <w:vertAlign w:val="superscript"/>
        </w:rPr>
        <w:footnoteReference w:id="72"/>
      </w:r>
      <w:r>
        <w:rPr>
          <w:rFonts w:cstheme="minorHAnsi"/>
        </w:rPr>
        <w:t xml:space="preserve"> This definition,</w:t>
      </w:r>
      <w:r w:rsidRPr="00F50719">
        <w:rPr>
          <w:rFonts w:cstheme="minorHAnsi"/>
        </w:rPr>
        <w:t xml:space="preserve"> however</w:t>
      </w:r>
      <w:r>
        <w:rPr>
          <w:rFonts w:cstheme="minorHAnsi"/>
        </w:rPr>
        <w:t>,</w:t>
      </w:r>
      <w:r w:rsidRPr="00F50719">
        <w:rPr>
          <w:rFonts w:cstheme="minorHAnsi"/>
        </w:rPr>
        <w:t xml:space="preserve"> does not include persons who fear persecution by reason of their gender.</w:t>
      </w:r>
      <w:r w:rsidRPr="00F50719">
        <w:rPr>
          <w:rFonts w:cstheme="minorHAnsi"/>
          <w:vertAlign w:val="superscript"/>
        </w:rPr>
        <w:footnoteReference w:id="73"/>
      </w:r>
      <w:r w:rsidRPr="00F50719">
        <w:rPr>
          <w:rFonts w:cstheme="minorHAnsi"/>
        </w:rPr>
        <w:t xml:space="preserve"> </w:t>
      </w:r>
      <w:r>
        <w:rPr>
          <w:rFonts w:cstheme="minorHAnsi"/>
        </w:rPr>
        <w:t>D</w:t>
      </w:r>
      <w:r w:rsidRPr="005D51BF">
        <w:rPr>
          <w:rFonts w:cstheme="minorHAnsi"/>
        </w:rPr>
        <w:t>uring the early years of the Refugee Convention</w:t>
      </w:r>
      <w:r>
        <w:rPr>
          <w:rFonts w:cstheme="minorHAnsi"/>
        </w:rPr>
        <w:t>’s operation</w:t>
      </w:r>
      <w:r w:rsidRPr="005D51BF">
        <w:rPr>
          <w:rFonts w:cstheme="minorHAnsi"/>
        </w:rPr>
        <w:t>, women's claims for refugee status were only viewed as the derivative claims of a spouse accompanying a male refugee.</w:t>
      </w:r>
      <w:r w:rsidRPr="005D51BF">
        <w:rPr>
          <w:rFonts w:cstheme="minorHAnsi"/>
          <w:vertAlign w:val="superscript"/>
        </w:rPr>
        <w:footnoteReference w:id="74"/>
      </w:r>
      <w:r>
        <w:rPr>
          <w:rFonts w:cstheme="minorHAnsi"/>
        </w:rPr>
        <w:t xml:space="preserve"> There are moves internationally to include</w:t>
      </w:r>
      <w:r w:rsidRPr="00F50719">
        <w:rPr>
          <w:rFonts w:cstheme="minorHAnsi"/>
        </w:rPr>
        <w:t xml:space="preserve"> SGBV as an explicit basis for seeking refugee status.</w:t>
      </w:r>
      <w:r w:rsidRPr="00F50719">
        <w:rPr>
          <w:rFonts w:cstheme="minorHAnsi"/>
          <w:vertAlign w:val="superscript"/>
        </w:rPr>
        <w:footnoteReference w:id="75"/>
      </w:r>
    </w:p>
    <w:p w14:paraId="79D3272D" w14:textId="77777777" w:rsidR="00C1042E" w:rsidRPr="00F50719" w:rsidRDefault="00C1042E" w:rsidP="00C1042E">
      <w:pPr>
        <w:contextualSpacing/>
        <w:jc w:val="both"/>
        <w:rPr>
          <w:rFonts w:cstheme="minorHAnsi"/>
        </w:rPr>
      </w:pPr>
    </w:p>
    <w:p w14:paraId="3492E667" w14:textId="1A2E941A" w:rsidR="00C1042E" w:rsidRPr="00F50719" w:rsidRDefault="00C1042E" w:rsidP="00C1042E">
      <w:pPr>
        <w:contextualSpacing/>
        <w:jc w:val="both"/>
        <w:rPr>
          <w:rFonts w:cstheme="minorHAnsi"/>
        </w:rPr>
      </w:pPr>
      <w:r w:rsidRPr="00F50719">
        <w:rPr>
          <w:rFonts w:cstheme="minorHAnsi"/>
        </w:rPr>
        <w:t xml:space="preserve">While SGBV is not yet </w:t>
      </w:r>
      <w:proofErr w:type="spellStart"/>
      <w:r w:rsidRPr="00F50719">
        <w:rPr>
          <w:rFonts w:cstheme="minorHAnsi"/>
        </w:rPr>
        <w:t>recognised</w:t>
      </w:r>
      <w:proofErr w:type="spellEnd"/>
      <w:r w:rsidRPr="00F50719">
        <w:rPr>
          <w:rFonts w:cstheme="minorHAnsi"/>
        </w:rPr>
        <w:t xml:space="preserve"> as specific grounds for seeking refugee status under the Refugee Convention </w:t>
      </w:r>
      <w:r>
        <w:rPr>
          <w:rFonts w:cstheme="minorHAnsi"/>
        </w:rPr>
        <w:t>framework, refugees can however</w:t>
      </w:r>
      <w:r w:rsidRPr="00F50719">
        <w:rPr>
          <w:rFonts w:cstheme="minorHAnsi"/>
        </w:rPr>
        <w:t xml:space="preserve"> apply for protection as a member of a Particular Social Group (PSG). This can encompass women fleeing sexual violence, amongst other social, religious, ethnic and political demographics.</w:t>
      </w:r>
      <w:r w:rsidRPr="00F50719">
        <w:rPr>
          <w:rFonts w:cstheme="minorHAnsi"/>
          <w:vertAlign w:val="superscript"/>
        </w:rPr>
        <w:footnoteReference w:id="76"/>
      </w:r>
      <w:r w:rsidRPr="00F50719">
        <w:rPr>
          <w:rFonts w:cstheme="minorHAnsi"/>
        </w:rPr>
        <w:t xml:space="preserve"> For example, in acknowledgement of experiences of persecution involving SGBV as part of a PSG, the United Kingdom Border Agency has  issued the document </w:t>
      </w:r>
      <w:hyperlink r:id="rId40" w:history="1">
        <w:r w:rsidRPr="00F50719">
          <w:rPr>
            <w:rStyle w:val="Hyperlink"/>
            <w:rFonts w:cstheme="minorHAnsi"/>
            <w:i/>
          </w:rPr>
          <w:t>Gender Issues in the Asylum Claim</w:t>
        </w:r>
      </w:hyperlink>
      <w:r w:rsidRPr="00F50719">
        <w:rPr>
          <w:rFonts w:cstheme="minorHAnsi"/>
        </w:rPr>
        <w:t xml:space="preserve"> to introduce a gendered focus when assessing refugee claims in the UK, particularly in relation to issues such as rape, sexual violence and domestic abuse.</w:t>
      </w:r>
      <w:r w:rsidRPr="00F50719">
        <w:rPr>
          <w:rFonts w:cstheme="minorHAnsi"/>
          <w:vertAlign w:val="superscript"/>
        </w:rPr>
        <w:footnoteReference w:id="77"/>
      </w:r>
      <w:r w:rsidRPr="00F50719">
        <w:rPr>
          <w:rFonts w:cstheme="minorHAnsi"/>
        </w:rPr>
        <w:t xml:space="preserve"> Similarly guidelines from the U</w:t>
      </w:r>
      <w:r w:rsidR="00DC6BB0">
        <w:rPr>
          <w:rFonts w:cstheme="minorHAnsi"/>
        </w:rPr>
        <w:t xml:space="preserve">nited </w:t>
      </w:r>
      <w:r w:rsidRPr="00F50719">
        <w:rPr>
          <w:rFonts w:cstheme="minorHAnsi"/>
        </w:rPr>
        <w:t>N</w:t>
      </w:r>
      <w:r w:rsidR="00DC6BB0">
        <w:rPr>
          <w:rFonts w:cstheme="minorHAnsi"/>
        </w:rPr>
        <w:t xml:space="preserve">ations </w:t>
      </w:r>
      <w:r w:rsidRPr="00F50719">
        <w:rPr>
          <w:rFonts w:cstheme="minorHAnsi"/>
        </w:rPr>
        <w:t>H</w:t>
      </w:r>
      <w:r w:rsidR="00DC6BB0">
        <w:rPr>
          <w:rFonts w:cstheme="minorHAnsi"/>
        </w:rPr>
        <w:t xml:space="preserve">igh </w:t>
      </w:r>
      <w:r w:rsidRPr="00F50719">
        <w:rPr>
          <w:rFonts w:cstheme="minorHAnsi"/>
        </w:rPr>
        <w:lastRenderedPageBreak/>
        <w:t>C</w:t>
      </w:r>
      <w:r w:rsidR="00DC6BB0">
        <w:rPr>
          <w:rFonts w:cstheme="minorHAnsi"/>
        </w:rPr>
        <w:t xml:space="preserve">ommissioner for </w:t>
      </w:r>
      <w:r w:rsidRPr="00F50719">
        <w:rPr>
          <w:rFonts w:cstheme="minorHAnsi"/>
        </w:rPr>
        <w:t>R</w:t>
      </w:r>
      <w:r w:rsidR="00DC6BB0">
        <w:rPr>
          <w:rFonts w:cstheme="minorHAnsi"/>
        </w:rPr>
        <w:t>efugees (UNHCR),</w:t>
      </w:r>
      <w:r w:rsidRPr="00F50719">
        <w:rPr>
          <w:rFonts w:cstheme="minorHAnsi"/>
          <w:vertAlign w:val="superscript"/>
        </w:rPr>
        <w:footnoteReference w:id="78"/>
      </w:r>
      <w:r w:rsidRPr="00F50719">
        <w:rPr>
          <w:rFonts w:cstheme="minorHAnsi"/>
        </w:rPr>
        <w:t>  as well as the E</w:t>
      </w:r>
      <w:r>
        <w:rPr>
          <w:rFonts w:cstheme="minorHAnsi"/>
        </w:rPr>
        <w:t xml:space="preserve">uropean </w:t>
      </w:r>
      <w:r w:rsidRPr="00F50719">
        <w:rPr>
          <w:rFonts w:cstheme="minorHAnsi"/>
        </w:rPr>
        <w:t>U</w:t>
      </w:r>
      <w:r>
        <w:rPr>
          <w:rFonts w:cstheme="minorHAnsi"/>
        </w:rPr>
        <w:t>nion</w:t>
      </w:r>
      <w:r w:rsidRPr="00F50719">
        <w:rPr>
          <w:rFonts w:cstheme="minorHAnsi"/>
        </w:rPr>
        <w:t xml:space="preserve"> Directive on the standards applicable to refugee protection,</w:t>
      </w:r>
      <w:r w:rsidRPr="00F50719">
        <w:rPr>
          <w:rFonts w:cstheme="minorHAnsi"/>
          <w:vertAlign w:val="superscript"/>
        </w:rPr>
        <w:footnoteReference w:id="79"/>
      </w:r>
      <w:r w:rsidRPr="00F50719">
        <w:rPr>
          <w:rFonts w:cstheme="minorHAnsi"/>
        </w:rPr>
        <w:t>  have specified that gender-related persecutions must be considered as legitimate grounds for granting refugee status.</w:t>
      </w:r>
      <w:r w:rsidRPr="00F50719">
        <w:rPr>
          <w:rFonts w:cstheme="minorHAnsi"/>
          <w:vertAlign w:val="superscript"/>
        </w:rPr>
        <w:footnoteReference w:id="80"/>
      </w:r>
      <w:r w:rsidRPr="00F50719">
        <w:rPr>
          <w:rFonts w:cstheme="minorHAnsi"/>
        </w:rPr>
        <w:t xml:space="preserve"> </w:t>
      </w:r>
    </w:p>
    <w:p w14:paraId="029DDD68" w14:textId="77777777" w:rsidR="00C1042E" w:rsidRPr="00F50719" w:rsidRDefault="00C1042E" w:rsidP="00C1042E">
      <w:pPr>
        <w:contextualSpacing/>
        <w:jc w:val="both"/>
        <w:rPr>
          <w:rFonts w:cstheme="minorHAnsi"/>
        </w:rPr>
      </w:pPr>
    </w:p>
    <w:p w14:paraId="7D43860A" w14:textId="77777777" w:rsidR="00C1042E" w:rsidRPr="00F50719" w:rsidRDefault="00C1042E" w:rsidP="00C1042E">
      <w:pPr>
        <w:contextualSpacing/>
        <w:jc w:val="both"/>
        <w:rPr>
          <w:rFonts w:cstheme="minorHAnsi"/>
        </w:rPr>
      </w:pPr>
      <w:r>
        <w:rPr>
          <w:rFonts w:cstheme="minorHAnsi"/>
        </w:rPr>
        <w:t>Several</w:t>
      </w:r>
      <w:r w:rsidRPr="00F50719">
        <w:rPr>
          <w:rFonts w:cstheme="minorHAnsi"/>
        </w:rPr>
        <w:t xml:space="preserve"> countries adhere to a more inclusive refugee definition than that </w:t>
      </w:r>
      <w:r>
        <w:rPr>
          <w:rFonts w:cstheme="minorHAnsi"/>
        </w:rPr>
        <w:t>under</w:t>
      </w:r>
      <w:r w:rsidRPr="00F50719">
        <w:rPr>
          <w:rFonts w:cstheme="minorHAnsi"/>
        </w:rPr>
        <w:t xml:space="preserve"> the Refugee Convention. For example, tw</w:t>
      </w:r>
      <w:r>
        <w:rPr>
          <w:rFonts w:cstheme="minorHAnsi"/>
        </w:rPr>
        <w:t>o regional instruments –</w:t>
      </w:r>
      <w:r w:rsidRPr="00F50719">
        <w:rPr>
          <w:rFonts w:cstheme="minorHAnsi"/>
        </w:rPr>
        <w:t xml:space="preserve"> the Organization for African Unity’s own 1969 Refugee Convention (</w:t>
      </w:r>
      <w:hyperlink r:id="rId41" w:history="1">
        <w:r w:rsidRPr="00F50719">
          <w:rPr>
            <w:rStyle w:val="Hyperlink"/>
            <w:rFonts w:cstheme="minorHAnsi"/>
            <w:i/>
          </w:rPr>
          <w:t>OAU Convention Governing the Specific Aspects of Refugee Problems in Africa</w:t>
        </w:r>
      </w:hyperlink>
      <w:r w:rsidRPr="00F50719">
        <w:rPr>
          <w:rFonts w:cstheme="minorHAnsi"/>
        </w:rPr>
        <w:t xml:space="preserve">) and the 1984 </w:t>
      </w:r>
      <w:hyperlink r:id="rId42" w:history="1">
        <w:r w:rsidRPr="00F50719">
          <w:rPr>
            <w:rStyle w:val="Hyperlink"/>
            <w:rFonts w:cstheme="minorHAnsi"/>
            <w:i/>
          </w:rPr>
          <w:t>Cartagena Declaration on Refugees</w:t>
        </w:r>
      </w:hyperlink>
      <w:r w:rsidRPr="00F50719">
        <w:rPr>
          <w:rFonts w:cstheme="minorHAnsi"/>
          <w:i/>
        </w:rPr>
        <w:t xml:space="preserve"> </w:t>
      </w:r>
      <w:r>
        <w:rPr>
          <w:rFonts w:cstheme="minorHAnsi"/>
        </w:rPr>
        <w:t xml:space="preserve">for Latin America – </w:t>
      </w:r>
      <w:proofErr w:type="spellStart"/>
      <w:r w:rsidRPr="00F50719">
        <w:rPr>
          <w:rFonts w:cstheme="minorHAnsi"/>
        </w:rPr>
        <w:t>recognise</w:t>
      </w:r>
      <w:proofErr w:type="spellEnd"/>
      <w:r w:rsidRPr="00F50719">
        <w:rPr>
          <w:rFonts w:cstheme="minorHAnsi"/>
        </w:rPr>
        <w:t xml:space="preserve"> a broader array of grounds for protection, including fleeing "external aggression, occupation, foreign domination or events seriously disturbing public order" or "</w:t>
      </w:r>
      <w:proofErr w:type="spellStart"/>
      <w:r w:rsidRPr="00F50719">
        <w:rPr>
          <w:rFonts w:cstheme="minorHAnsi"/>
        </w:rPr>
        <w:t>generalised</w:t>
      </w:r>
      <w:proofErr w:type="spellEnd"/>
      <w:r w:rsidRPr="00F50719">
        <w:rPr>
          <w:rFonts w:cstheme="minorHAnsi"/>
        </w:rPr>
        <w:t xml:space="preserve"> violence, foreign aggression, [or] internal conflicts".</w:t>
      </w:r>
      <w:r w:rsidRPr="00F50719">
        <w:rPr>
          <w:rFonts w:cstheme="minorHAnsi"/>
          <w:vertAlign w:val="superscript"/>
        </w:rPr>
        <w:footnoteReference w:id="81"/>
      </w:r>
      <w:r w:rsidRPr="00F50719">
        <w:rPr>
          <w:rFonts w:cstheme="minorHAnsi"/>
        </w:rPr>
        <w:t xml:space="preserve"> Article 60(1) of the </w:t>
      </w:r>
      <w:hyperlink r:id="rId43" w:history="1">
        <w:r w:rsidRPr="00F50719">
          <w:rPr>
            <w:rStyle w:val="Hyperlink"/>
            <w:rFonts w:cstheme="minorHAnsi"/>
            <w:i/>
          </w:rPr>
          <w:t>Council of Europe Convention on Preventing and Combating Violence Against Women and Domestic Violence</w:t>
        </w:r>
      </w:hyperlink>
      <w:r w:rsidRPr="00F50719">
        <w:rPr>
          <w:rFonts w:cstheme="minorHAnsi"/>
        </w:rPr>
        <w:t xml:space="preserve"> (Istanbul Convention) also requires parties ‘‘take the necessary legislative or other measures to ensure that gender-based violence against women may be </w:t>
      </w:r>
      <w:proofErr w:type="spellStart"/>
      <w:r w:rsidRPr="00F50719">
        <w:rPr>
          <w:rFonts w:cstheme="minorHAnsi"/>
        </w:rPr>
        <w:t>recognised</w:t>
      </w:r>
      <w:proofErr w:type="spellEnd"/>
      <w:r w:rsidRPr="00F50719">
        <w:rPr>
          <w:rFonts w:cstheme="minorHAnsi"/>
        </w:rPr>
        <w:t xml:space="preserve"> as a form of persecution within the meaning of … the 1951 Convention Relating to the Status of Refugees and as a form of serious harm giving rise to complementary/subsidiary protection”. It also provides that parties shall ensure that a gender-sensitive interpretation is given to each of the grounds outlined in the Refugee Convention and ‘‘that where it is established that the persecution feared is for one or more of these grounds, applicants shall be granted refugee status according to the applicable relevant instruments”.</w:t>
      </w:r>
      <w:r w:rsidRPr="00F50719">
        <w:rPr>
          <w:rFonts w:cstheme="minorHAnsi"/>
          <w:vertAlign w:val="superscript"/>
        </w:rPr>
        <w:footnoteReference w:id="82"/>
      </w:r>
    </w:p>
    <w:p w14:paraId="227A34BC" w14:textId="77777777" w:rsidR="00C1042E" w:rsidRDefault="00C1042E" w:rsidP="00C1042E">
      <w:pPr>
        <w:contextualSpacing/>
        <w:jc w:val="both"/>
        <w:rPr>
          <w:rFonts w:cstheme="minorHAnsi"/>
        </w:rPr>
      </w:pPr>
    </w:p>
    <w:p w14:paraId="4545C785" w14:textId="28D9D941" w:rsidR="00C1042E" w:rsidRPr="00580F77" w:rsidRDefault="00C1042E" w:rsidP="00C1042E">
      <w:pPr>
        <w:contextualSpacing/>
        <w:jc w:val="both"/>
        <w:rPr>
          <w:rFonts w:cstheme="minorHAnsi"/>
        </w:rPr>
      </w:pPr>
      <w:r w:rsidRPr="00580F77">
        <w:rPr>
          <w:rFonts w:cstheme="minorHAnsi"/>
        </w:rPr>
        <w:t xml:space="preserve">In 1991, the UNHCR addressed  SGBV in the refugee context with its </w:t>
      </w:r>
      <w:hyperlink r:id="rId44" w:history="1">
        <w:r w:rsidRPr="00580F77">
          <w:rPr>
            <w:rStyle w:val="Hyperlink"/>
            <w:rFonts w:cstheme="minorHAnsi"/>
            <w:i/>
          </w:rPr>
          <w:t>Guidelines for the Protection of Refugee Women</w:t>
        </w:r>
      </w:hyperlink>
      <w:r w:rsidRPr="00580F77">
        <w:rPr>
          <w:rFonts w:cstheme="minorHAnsi"/>
          <w:i/>
          <w:u w:val="single"/>
        </w:rPr>
        <w:t>.</w:t>
      </w:r>
      <w:r w:rsidRPr="00580F77">
        <w:rPr>
          <w:rFonts w:cstheme="minorHAnsi"/>
          <w:vertAlign w:val="superscript"/>
        </w:rPr>
        <w:footnoteReference w:id="83"/>
      </w:r>
      <w:r w:rsidRPr="00580F77">
        <w:rPr>
          <w:rFonts w:cstheme="minorHAnsi"/>
        </w:rPr>
        <w:t xml:space="preserve"> These guidelines focused on the “special protection needs” of refugee women and girls and acknowledged that “refugee women who are unable to feed, clothe, and shelter themselves and their children, for example, will be more vulnerable to physical and sexual abuse in order to obtain such necessities.” </w:t>
      </w:r>
    </w:p>
    <w:p w14:paraId="21040E23" w14:textId="77777777" w:rsidR="00C1042E" w:rsidRPr="00580F77" w:rsidRDefault="00C1042E" w:rsidP="00C1042E">
      <w:pPr>
        <w:contextualSpacing/>
        <w:jc w:val="both"/>
        <w:rPr>
          <w:rFonts w:cstheme="minorHAnsi"/>
        </w:rPr>
      </w:pPr>
    </w:p>
    <w:p w14:paraId="339F1FDE" w14:textId="1BAA1391" w:rsidR="00C1042E" w:rsidRPr="00580F77" w:rsidRDefault="00C1042E" w:rsidP="00C1042E">
      <w:pPr>
        <w:contextualSpacing/>
        <w:jc w:val="both"/>
        <w:rPr>
          <w:rFonts w:cstheme="minorHAnsi"/>
        </w:rPr>
      </w:pPr>
      <w:r w:rsidRPr="00580F77">
        <w:rPr>
          <w:rFonts w:cstheme="minorHAnsi"/>
        </w:rPr>
        <w:t xml:space="preserve">These guidelines were revised by the </w:t>
      </w:r>
      <w:r w:rsidR="008556A8">
        <w:rPr>
          <w:rFonts w:cstheme="minorHAnsi"/>
        </w:rPr>
        <w:t>UNHCR</w:t>
      </w:r>
      <w:r w:rsidRPr="00580F77">
        <w:rPr>
          <w:rFonts w:cstheme="minorHAnsi"/>
        </w:rPr>
        <w:t xml:space="preserve"> in 1995 with the release of </w:t>
      </w:r>
      <w:hyperlink r:id="rId45" w:history="1">
        <w:r w:rsidRPr="00580F77">
          <w:rPr>
            <w:rStyle w:val="Hyperlink"/>
            <w:rFonts w:cstheme="minorHAnsi"/>
            <w:i/>
          </w:rPr>
          <w:t>Sexual Violence Against Refugees: Guidelines on Prevention and Response</w:t>
        </w:r>
      </w:hyperlink>
      <w:r w:rsidRPr="00580F77">
        <w:rPr>
          <w:rFonts w:cstheme="minorHAnsi"/>
          <w:i/>
          <w:u w:val="single"/>
        </w:rPr>
        <w:t>.</w:t>
      </w:r>
      <w:r w:rsidRPr="00580F77">
        <w:rPr>
          <w:rFonts w:cstheme="minorHAnsi"/>
        </w:rPr>
        <w:t xml:space="preserve">  ‘Sexual violence’ is defined </w:t>
      </w:r>
      <w:r>
        <w:rPr>
          <w:rFonts w:cstheme="minorHAnsi"/>
        </w:rPr>
        <w:t xml:space="preserve">in this document </w:t>
      </w:r>
      <w:r w:rsidRPr="00580F77">
        <w:rPr>
          <w:rFonts w:cstheme="minorHAnsi"/>
        </w:rPr>
        <w:t>as:</w:t>
      </w:r>
    </w:p>
    <w:p w14:paraId="7A96689A" w14:textId="77777777" w:rsidR="00C1042E" w:rsidRPr="00580F77" w:rsidRDefault="00C1042E" w:rsidP="00C1042E">
      <w:pPr>
        <w:contextualSpacing/>
        <w:jc w:val="both"/>
        <w:rPr>
          <w:rFonts w:cstheme="minorHAnsi"/>
        </w:rPr>
      </w:pPr>
    </w:p>
    <w:p w14:paraId="7737DDCB" w14:textId="77777777" w:rsidR="00C1042E" w:rsidRPr="00580F77" w:rsidRDefault="00C1042E" w:rsidP="00C1042E">
      <w:pPr>
        <w:ind w:left="720"/>
        <w:contextualSpacing/>
        <w:jc w:val="both"/>
        <w:rPr>
          <w:rFonts w:cstheme="minorHAnsi"/>
        </w:rPr>
      </w:pPr>
      <w:r w:rsidRPr="00580F77">
        <w:rPr>
          <w:rFonts w:cstheme="minorHAnsi"/>
        </w:rPr>
        <w:t xml:space="preserve">a gross violation of fundamental human rights and, when committed in the context of armed conflict, a grave breach of humanitarian law ... There are various forms of sexual violence, rape being the one most commonly referred to. The legal definition </w:t>
      </w:r>
      <w:r w:rsidRPr="00580F77">
        <w:rPr>
          <w:rFonts w:cstheme="minorHAnsi"/>
        </w:rPr>
        <w:lastRenderedPageBreak/>
        <w:t>of rape varies from country to country. In many societies it is defined as sexual intercourse with another person without their consent. Rape is committed when the victim's resistance is overcome by force or fear or under other coercive conditions. In certain countries 'statutory rape' exists as an offence. This is sexual intercourse with someone under a specified age, which is deemed to be unlawful. The victim is presumed by law to be unable to give consent by reason of his or her tender age. However, many forms of sexual violence do not fall under the strict definition of rape, such as insertion of objects into genital openings, oral and anal coitus, attempted rape and the infliction of other sexually abusive acts. Sexual violence can also involve the use or threat of force in order to have sexual acts performed by third persons.</w:t>
      </w:r>
      <w:r w:rsidRPr="00580F77">
        <w:rPr>
          <w:rFonts w:cstheme="minorHAnsi"/>
          <w:vertAlign w:val="superscript"/>
        </w:rPr>
        <w:footnoteReference w:id="84"/>
      </w:r>
      <w:r w:rsidRPr="00580F77">
        <w:rPr>
          <w:rFonts w:cstheme="minorHAnsi"/>
        </w:rPr>
        <w:t xml:space="preserve"> </w:t>
      </w:r>
    </w:p>
    <w:p w14:paraId="3544ACB5" w14:textId="77777777" w:rsidR="00C1042E" w:rsidRPr="00580F77" w:rsidRDefault="00C1042E" w:rsidP="002D6F6A">
      <w:pPr>
        <w:contextualSpacing/>
        <w:jc w:val="both"/>
        <w:rPr>
          <w:rFonts w:cstheme="minorHAnsi"/>
        </w:rPr>
      </w:pPr>
    </w:p>
    <w:p w14:paraId="26A26E40" w14:textId="0910E3FD" w:rsidR="00C1042E" w:rsidRPr="00580F77" w:rsidRDefault="00C1042E" w:rsidP="002D6F6A">
      <w:pPr>
        <w:contextualSpacing/>
        <w:jc w:val="both"/>
        <w:rPr>
          <w:rFonts w:cstheme="minorHAnsi"/>
          <w:i/>
        </w:rPr>
      </w:pPr>
      <w:r w:rsidRPr="00580F77">
        <w:rPr>
          <w:rFonts w:cstheme="minorHAnsi"/>
        </w:rPr>
        <w:t xml:space="preserve">The term ‘sexual violence’ is used in these 1995 UNHCR Guidelines to cover all forms of sexual threat, assault, interference and exploitation, including 'statutory rape' and molestation without physical harm or penetration. Perpetrators of sexual violence are often motivated by a desire for power and domination. Given these motivating forces, rape is common in situations of armed conflict and internal strife. An act of forced sexual </w:t>
      </w:r>
      <w:proofErr w:type="spellStart"/>
      <w:r w:rsidRPr="00580F77">
        <w:rPr>
          <w:rFonts w:cstheme="minorHAnsi"/>
        </w:rPr>
        <w:t>behaviour</w:t>
      </w:r>
      <w:proofErr w:type="spellEnd"/>
      <w:r w:rsidRPr="00580F77">
        <w:rPr>
          <w:rFonts w:cstheme="minorHAnsi"/>
        </w:rPr>
        <w:t xml:space="preserve"> can be life-threatening. Like other forms of torture, it is often meant to hurt, control and humiliate, violating a person's innermost physical and mental integrity. Perpetrators of sexual violence can include family members, for example where a parent is sexually abusing a child. Domestic violence often escalates in refugee situations due to the enormous pressures of refugee life, for example, having to live in closed camps.</w:t>
      </w:r>
      <w:r w:rsidRPr="00580F77">
        <w:rPr>
          <w:rFonts w:cstheme="minorHAnsi"/>
          <w:vertAlign w:val="superscript"/>
        </w:rPr>
        <w:footnoteReference w:id="85"/>
      </w:r>
    </w:p>
    <w:p w14:paraId="406C6691" w14:textId="77777777" w:rsidR="00C1042E" w:rsidRPr="00580F77" w:rsidRDefault="00C1042E" w:rsidP="00C1042E">
      <w:pPr>
        <w:contextualSpacing/>
        <w:jc w:val="both"/>
        <w:rPr>
          <w:rFonts w:cstheme="minorHAnsi"/>
        </w:rPr>
      </w:pPr>
    </w:p>
    <w:p w14:paraId="19A78FEF" w14:textId="68071FB3" w:rsidR="00C1042E" w:rsidRPr="00580F77" w:rsidRDefault="00C1042E" w:rsidP="00C1042E">
      <w:pPr>
        <w:contextualSpacing/>
        <w:jc w:val="both"/>
        <w:rPr>
          <w:rFonts w:cstheme="minorHAnsi"/>
        </w:rPr>
      </w:pPr>
      <w:r w:rsidRPr="00580F77">
        <w:rPr>
          <w:rFonts w:cstheme="minorHAnsi"/>
        </w:rPr>
        <w:t>The</w:t>
      </w:r>
      <w:r w:rsidR="00157C68">
        <w:rPr>
          <w:rFonts w:cstheme="minorHAnsi"/>
        </w:rPr>
        <w:t>se</w:t>
      </w:r>
      <w:r w:rsidRPr="00580F77">
        <w:rPr>
          <w:rFonts w:cstheme="minorHAnsi"/>
        </w:rPr>
        <w:t xml:space="preserve"> 1995 Guidelines recommended preventive measures that both refugees and those responsible for their care should take to help prevent SGBV, as well as discuss</w:t>
      </w:r>
      <w:r w:rsidR="00157C68">
        <w:rPr>
          <w:rFonts w:cstheme="minorHAnsi"/>
        </w:rPr>
        <w:t>ed</w:t>
      </w:r>
      <w:r w:rsidRPr="00580F77">
        <w:rPr>
          <w:rFonts w:cstheme="minorHAnsi"/>
        </w:rPr>
        <w:t xml:space="preserve"> both practical and legal measures available when SGBV occurred.</w:t>
      </w:r>
      <w:r w:rsidRPr="00580F77">
        <w:rPr>
          <w:rFonts w:cstheme="minorHAnsi"/>
          <w:vertAlign w:val="superscript"/>
        </w:rPr>
        <w:footnoteReference w:id="86"/>
      </w:r>
    </w:p>
    <w:p w14:paraId="4C4993B3" w14:textId="77777777" w:rsidR="00C1042E" w:rsidRPr="00580F77" w:rsidRDefault="00C1042E" w:rsidP="00C1042E">
      <w:pPr>
        <w:contextualSpacing/>
        <w:jc w:val="both"/>
        <w:rPr>
          <w:rFonts w:cstheme="minorHAnsi"/>
        </w:rPr>
      </w:pPr>
    </w:p>
    <w:p w14:paraId="3DB405A1" w14:textId="51273926" w:rsidR="00C1042E" w:rsidRPr="00580F77" w:rsidRDefault="00C1042E" w:rsidP="00C1042E">
      <w:pPr>
        <w:contextualSpacing/>
        <w:jc w:val="both"/>
        <w:rPr>
          <w:rFonts w:cstheme="minorHAnsi"/>
        </w:rPr>
      </w:pPr>
      <w:r w:rsidRPr="00580F77">
        <w:rPr>
          <w:rFonts w:cstheme="minorHAnsi"/>
        </w:rPr>
        <w:t>The 1995 Guidelines were updated</w:t>
      </w:r>
      <w:r w:rsidR="00157C68">
        <w:rPr>
          <w:rFonts w:cstheme="minorHAnsi"/>
        </w:rPr>
        <w:t xml:space="preserve"> by the UNHCR</w:t>
      </w:r>
      <w:r w:rsidRPr="00580F77">
        <w:rPr>
          <w:rFonts w:cstheme="minorHAnsi"/>
        </w:rPr>
        <w:t xml:space="preserve"> in 2003. SGBV is defined in </w:t>
      </w:r>
      <w:hyperlink r:id="rId46" w:history="1">
        <w:r w:rsidRPr="00580F77">
          <w:rPr>
            <w:rStyle w:val="Hyperlink"/>
            <w:rFonts w:cstheme="minorHAnsi"/>
            <w:i/>
          </w:rPr>
          <w:t>Sexual and Gender-Based Violence Against Refugees, Returnees and Internally Displaced Persons: Guidelines for Prevention and Response</w:t>
        </w:r>
      </w:hyperlink>
      <w:r w:rsidRPr="00580F77">
        <w:rPr>
          <w:rFonts w:cstheme="minorHAnsi"/>
        </w:rPr>
        <w:t xml:space="preserve"> as "violence that is directed against a person on the basis of gender or sex. It includes acts that inflict physical, mental or sexual harm or suffering, threats of such acts, coercion and other deprivations of liberty."</w:t>
      </w:r>
      <w:r w:rsidRPr="00580F77">
        <w:rPr>
          <w:rFonts w:cstheme="minorHAnsi"/>
          <w:vertAlign w:val="superscript"/>
        </w:rPr>
        <w:footnoteReference w:id="87"/>
      </w:r>
      <w:r w:rsidRPr="00580F77">
        <w:rPr>
          <w:rFonts w:cstheme="minorHAnsi"/>
        </w:rPr>
        <w:t xml:space="preserve"> As the 2003 Guidelines note, this “expanded definition of sexual and gender-based violence used by UNHCR and implementing partners” is “based on Article 1 and 2 of the UN General Assembly </w:t>
      </w:r>
      <w:r w:rsidRPr="00580F77">
        <w:rPr>
          <w:rFonts w:cstheme="minorHAnsi"/>
          <w:i/>
        </w:rPr>
        <w:t>Declaration on the Elimination of Violence Against Women</w:t>
      </w:r>
      <w:r w:rsidRPr="00580F77">
        <w:rPr>
          <w:rFonts w:cstheme="minorHAnsi"/>
        </w:rPr>
        <w:t xml:space="preserve"> (1993) and Recommendation 19, paragraph 6 of the 11</w:t>
      </w:r>
      <w:r w:rsidRPr="00580F77">
        <w:rPr>
          <w:rFonts w:cstheme="minorHAnsi"/>
          <w:vertAlign w:val="superscript"/>
        </w:rPr>
        <w:t>th</w:t>
      </w:r>
      <w:r w:rsidRPr="00580F77">
        <w:rPr>
          <w:rFonts w:cstheme="minorHAnsi"/>
        </w:rPr>
        <w:t xml:space="preserve"> Session of the CEDAW Committee”.</w:t>
      </w:r>
      <w:r w:rsidRPr="00580F77">
        <w:rPr>
          <w:rFonts w:cstheme="minorHAnsi"/>
          <w:vertAlign w:val="superscript"/>
        </w:rPr>
        <w:footnoteReference w:id="88"/>
      </w:r>
    </w:p>
    <w:p w14:paraId="3E48D5E5" w14:textId="77777777" w:rsidR="00C1042E" w:rsidRPr="00580F77" w:rsidRDefault="00C1042E" w:rsidP="00C1042E">
      <w:pPr>
        <w:contextualSpacing/>
        <w:jc w:val="both"/>
        <w:rPr>
          <w:rFonts w:cstheme="minorHAnsi"/>
        </w:rPr>
      </w:pPr>
    </w:p>
    <w:p w14:paraId="0B4274F5" w14:textId="77777777" w:rsidR="00C1042E" w:rsidRPr="00580F77" w:rsidRDefault="00C1042E" w:rsidP="00C1042E">
      <w:pPr>
        <w:contextualSpacing/>
        <w:jc w:val="both"/>
        <w:rPr>
          <w:rFonts w:cstheme="minorHAnsi"/>
        </w:rPr>
      </w:pPr>
      <w:r w:rsidRPr="00580F77">
        <w:rPr>
          <w:rFonts w:cstheme="minorHAnsi"/>
        </w:rPr>
        <w:t xml:space="preserve">Gender-based violence as defined in these 2003 UNHCR Guidelines includes any harmful act that is perpetrated against a person’s will, and that is based on socially ascribed gender differences between males and females. Accordingly, the term SGBV includes but is not </w:t>
      </w:r>
      <w:r w:rsidRPr="00580F77">
        <w:rPr>
          <w:rFonts w:cstheme="minorHAnsi"/>
        </w:rPr>
        <w:lastRenderedPageBreak/>
        <w:t xml:space="preserve">limited to acts of sexual violence, including sexual exploitation and/or abuse; forced prostitution; domestic violence; trafficking; forced/early marriage; and harmful traditional practices such as female genital mutilation, </w:t>
      </w:r>
      <w:proofErr w:type="spellStart"/>
      <w:r w:rsidRPr="00580F77">
        <w:rPr>
          <w:rFonts w:cstheme="minorHAnsi"/>
        </w:rPr>
        <w:t>honour</w:t>
      </w:r>
      <w:proofErr w:type="spellEnd"/>
      <w:r w:rsidRPr="00580F77">
        <w:rPr>
          <w:rFonts w:cstheme="minorHAnsi"/>
        </w:rPr>
        <w:t xml:space="preserve"> killings and widow inheritance (a type of marriage in which a widow marries a relation of her late husband, often his brother). Further, these 2003 Guidelines define the health consequences of SGBV as all adverse physical and psychological outcomes related to this form of violence based on gender.</w:t>
      </w:r>
      <w:r w:rsidRPr="00580F77">
        <w:rPr>
          <w:rFonts w:cstheme="minorHAnsi"/>
          <w:vertAlign w:val="superscript"/>
        </w:rPr>
        <w:footnoteReference w:id="89"/>
      </w:r>
    </w:p>
    <w:p w14:paraId="0F8D886A" w14:textId="77777777" w:rsidR="00C1042E" w:rsidRPr="00580F77" w:rsidRDefault="00C1042E" w:rsidP="00C1042E">
      <w:pPr>
        <w:contextualSpacing/>
        <w:jc w:val="both"/>
        <w:rPr>
          <w:rFonts w:cstheme="minorHAnsi"/>
        </w:rPr>
      </w:pPr>
    </w:p>
    <w:p w14:paraId="43B700D5" w14:textId="77777777" w:rsidR="00C1042E" w:rsidRDefault="00C1042E" w:rsidP="00C1042E">
      <w:pPr>
        <w:contextualSpacing/>
        <w:jc w:val="both"/>
        <w:rPr>
          <w:rFonts w:cstheme="minorHAnsi"/>
        </w:rPr>
      </w:pPr>
      <w:r w:rsidRPr="00580F77">
        <w:rPr>
          <w:rFonts w:cstheme="minorHAnsi"/>
        </w:rPr>
        <w:t>The 2003 UNHCR Guidelines also note</w:t>
      </w:r>
      <w:r>
        <w:rPr>
          <w:rFonts w:cstheme="minorHAnsi"/>
        </w:rPr>
        <w:t xml:space="preserve"> the</w:t>
      </w:r>
      <w:r w:rsidRPr="00580F77">
        <w:rPr>
          <w:rFonts w:cstheme="minorHAnsi"/>
        </w:rPr>
        <w:t xml:space="preserve"> interchangeability and flexibility of terms related to SGBV:</w:t>
      </w:r>
    </w:p>
    <w:p w14:paraId="5EA7B94E" w14:textId="77777777" w:rsidR="00C1042E" w:rsidRPr="00580F77" w:rsidRDefault="00C1042E" w:rsidP="00C1042E">
      <w:pPr>
        <w:contextualSpacing/>
        <w:jc w:val="both"/>
        <w:rPr>
          <w:rFonts w:cstheme="minorHAnsi"/>
        </w:rPr>
      </w:pPr>
    </w:p>
    <w:p w14:paraId="637CBB94" w14:textId="77777777" w:rsidR="00C1042E" w:rsidRPr="00580F77" w:rsidRDefault="00C1042E" w:rsidP="00C1042E">
      <w:pPr>
        <w:ind w:left="720"/>
        <w:contextualSpacing/>
        <w:jc w:val="both"/>
        <w:rPr>
          <w:rFonts w:cstheme="minorHAnsi"/>
        </w:rPr>
      </w:pPr>
      <w:r w:rsidRPr="00580F77">
        <w:rPr>
          <w:rFonts w:cstheme="minorHAnsi"/>
        </w:rPr>
        <w:t>Sexual violence, gender-based violence and violence against women are terms that are commonly used interchangeably. All these terms refer to violations of fundamental human rights that perpetuate sex-stereotyped roles that deny human dignity and the self-determination of the individual and hamper human development. They refer to physical, sexual and psychological harm that reinforces female subordination and perpetuates male power and control.</w:t>
      </w:r>
      <w:r w:rsidRPr="00580F77">
        <w:rPr>
          <w:rFonts w:cstheme="minorHAnsi"/>
          <w:vertAlign w:val="superscript"/>
        </w:rPr>
        <w:t xml:space="preserve"> </w:t>
      </w:r>
      <w:r w:rsidRPr="00580F77">
        <w:rPr>
          <w:rFonts w:cstheme="minorHAnsi"/>
          <w:vertAlign w:val="superscript"/>
        </w:rPr>
        <w:footnoteReference w:id="90"/>
      </w:r>
    </w:p>
    <w:p w14:paraId="4334F93A" w14:textId="77777777" w:rsidR="00C1042E" w:rsidRPr="00580F77" w:rsidRDefault="00C1042E" w:rsidP="00C1042E">
      <w:pPr>
        <w:contextualSpacing/>
        <w:jc w:val="both"/>
        <w:rPr>
          <w:rFonts w:cstheme="minorHAnsi"/>
        </w:rPr>
      </w:pPr>
    </w:p>
    <w:p w14:paraId="624A0574" w14:textId="77777777" w:rsidR="00C1042E" w:rsidRPr="00290F8A" w:rsidRDefault="00C1042E" w:rsidP="00C1042E">
      <w:pPr>
        <w:contextualSpacing/>
        <w:jc w:val="both"/>
        <w:rPr>
          <w:rFonts w:cstheme="minorHAnsi"/>
        </w:rPr>
      </w:pPr>
      <w:r>
        <w:rPr>
          <w:rFonts w:cstheme="minorHAnsi"/>
        </w:rPr>
        <w:t>The UN Security Council</w:t>
      </w:r>
      <w:r w:rsidRPr="00580F77">
        <w:rPr>
          <w:rFonts w:cstheme="minorHAnsi"/>
        </w:rPr>
        <w:t xml:space="preserve"> also address</w:t>
      </w:r>
      <w:r>
        <w:rPr>
          <w:rFonts w:cstheme="minorHAnsi"/>
        </w:rPr>
        <w:t>ed</w:t>
      </w:r>
      <w:r w:rsidRPr="00580F77">
        <w:rPr>
          <w:rFonts w:cstheme="minorHAnsi"/>
        </w:rPr>
        <w:t xml:space="preserve"> issues of SGBV in its </w:t>
      </w:r>
      <w:hyperlink r:id="rId47" w:history="1">
        <w:r w:rsidRPr="00580F77">
          <w:rPr>
            <w:rStyle w:val="Hyperlink"/>
            <w:rFonts w:cstheme="minorHAnsi"/>
            <w:i/>
          </w:rPr>
          <w:t>Resolution 1325 on Women and Peace and Security</w:t>
        </w:r>
      </w:hyperlink>
      <w:r>
        <w:rPr>
          <w:rFonts w:cstheme="minorHAnsi"/>
        </w:rPr>
        <w:t xml:space="preserve"> </w:t>
      </w:r>
      <w:r w:rsidRPr="00580F77">
        <w:rPr>
          <w:rFonts w:cstheme="minorHAnsi"/>
        </w:rPr>
        <w:t>in 2000.</w:t>
      </w:r>
      <w:r w:rsidRPr="00580F77">
        <w:rPr>
          <w:rFonts w:cstheme="minorHAnsi"/>
          <w:vertAlign w:val="superscript"/>
        </w:rPr>
        <w:footnoteReference w:id="91"/>
      </w:r>
      <w:r w:rsidRPr="00580F77">
        <w:rPr>
          <w:rFonts w:cstheme="minorHAnsi"/>
        </w:rPr>
        <w:t xml:space="preserve"> This binding international law instrument expressed concern that civilians are increasingly "targeted by combatants” and urge participants in armed conflict "to take special measures to protect women and girls from gender-based violence, particularly rape and other forms of sexual abuse.”</w:t>
      </w:r>
      <w:r w:rsidRPr="00580F77">
        <w:rPr>
          <w:rFonts w:cstheme="minorHAnsi"/>
          <w:vertAlign w:val="superscript"/>
        </w:rPr>
        <w:footnoteReference w:id="92"/>
      </w:r>
    </w:p>
    <w:p w14:paraId="4CC015BF" w14:textId="77777777" w:rsidR="00C1042E" w:rsidRPr="00290F8A" w:rsidRDefault="00C1042E" w:rsidP="00C1042E">
      <w:pPr>
        <w:contextualSpacing/>
        <w:jc w:val="both"/>
        <w:rPr>
          <w:rFonts w:cstheme="minorHAnsi"/>
        </w:rPr>
      </w:pPr>
    </w:p>
    <w:p w14:paraId="000F1BBB" w14:textId="7457F81B" w:rsidR="00C1042E" w:rsidRPr="00290F8A" w:rsidRDefault="00C1042E" w:rsidP="00C1042E">
      <w:pPr>
        <w:contextualSpacing/>
        <w:jc w:val="both"/>
        <w:rPr>
          <w:rFonts w:cstheme="minorHAnsi"/>
        </w:rPr>
      </w:pPr>
      <w:r>
        <w:rPr>
          <w:rFonts w:cstheme="minorHAnsi"/>
        </w:rPr>
        <w:t xml:space="preserve">There are also specific guidelines relating to SGBV in humanitarian settings. </w:t>
      </w:r>
      <w:r w:rsidRPr="00290F8A">
        <w:rPr>
          <w:rFonts w:cstheme="minorHAnsi"/>
        </w:rPr>
        <w:t xml:space="preserve">Established in June 1992, the Inter-Agency Standing Committee (IASC) is a unique forum consisting of both UN and non-UN humanitarian agencies, representing a large proportion of humanitarian stakeholders operating internationally with a corresponding significant responsibility for populations in humanitarian crisis settings. Its first Guidelines on gender-based violence were released in 2005 with the title </w:t>
      </w:r>
      <w:hyperlink r:id="rId48" w:history="1">
        <w:r w:rsidRPr="00290F8A">
          <w:rPr>
            <w:rStyle w:val="Hyperlink"/>
            <w:rFonts w:cstheme="minorHAnsi"/>
            <w:i/>
          </w:rPr>
          <w:t>Guidelines for Gender-Based Violence Interventions in Humanitarian Settings: Focusing on Prevention of and Response to Sexual Violence in Emergencies</w:t>
        </w:r>
      </w:hyperlink>
      <w:r w:rsidRPr="00290F8A">
        <w:rPr>
          <w:rFonts w:cstheme="minorHAnsi"/>
        </w:rPr>
        <w:t>.</w:t>
      </w:r>
      <w:r w:rsidRPr="00290F8A">
        <w:rPr>
          <w:rFonts w:cstheme="minorHAnsi"/>
          <w:vertAlign w:val="superscript"/>
        </w:rPr>
        <w:footnoteReference w:id="93"/>
      </w:r>
      <w:r w:rsidRPr="00290F8A">
        <w:rPr>
          <w:rFonts w:cstheme="minorHAnsi"/>
        </w:rPr>
        <w:t xml:space="preserve"> In 2015, the IASC updated these Guidelines pertaining to SGBV with the release of its </w:t>
      </w:r>
      <w:hyperlink r:id="rId49" w:history="1">
        <w:r w:rsidRPr="00290F8A">
          <w:rPr>
            <w:rStyle w:val="Hyperlink"/>
            <w:rFonts w:cstheme="minorHAnsi"/>
            <w:i/>
          </w:rPr>
          <w:t>Guidelines for Integrating Gender-Based Violence Interventions in Humanitarian Action: Reducing Risk, Promoting Resilience and Aiding Recovery</w:t>
        </w:r>
      </w:hyperlink>
      <w:r w:rsidRPr="00290F8A">
        <w:rPr>
          <w:rFonts w:cstheme="minorHAnsi"/>
        </w:rPr>
        <w:t>.</w:t>
      </w:r>
    </w:p>
    <w:p w14:paraId="5EA77227" w14:textId="77777777" w:rsidR="00C1042E" w:rsidRPr="00290F8A" w:rsidRDefault="00C1042E" w:rsidP="00C1042E">
      <w:pPr>
        <w:contextualSpacing/>
        <w:jc w:val="both"/>
        <w:rPr>
          <w:rFonts w:cstheme="minorHAnsi"/>
          <w:b/>
        </w:rPr>
      </w:pPr>
    </w:p>
    <w:p w14:paraId="58D33C3A" w14:textId="77777777" w:rsidR="00C1042E" w:rsidRPr="00290F8A" w:rsidRDefault="00C1042E" w:rsidP="00C1042E">
      <w:pPr>
        <w:contextualSpacing/>
        <w:jc w:val="both"/>
        <w:rPr>
          <w:rFonts w:cstheme="minorHAnsi"/>
        </w:rPr>
      </w:pPr>
      <w:r w:rsidRPr="00290F8A">
        <w:rPr>
          <w:rFonts w:cstheme="minorHAnsi"/>
        </w:rPr>
        <w:t xml:space="preserve">These IASC Guidelines are intended to educate the humanitarian community on </w:t>
      </w:r>
      <w:bookmarkStart w:id="7" w:name="_Hlk525569866"/>
      <w:r w:rsidRPr="00290F8A">
        <w:rPr>
          <w:rFonts w:cstheme="minorHAnsi"/>
        </w:rPr>
        <w:t>the prevalence and nature of SGBV in conflict and emergency situations as a human rights issue requiring urgent attention</w:t>
      </w:r>
      <w:bookmarkEnd w:id="7"/>
      <w:r w:rsidRPr="00290F8A">
        <w:rPr>
          <w:rFonts w:cstheme="minorHAnsi"/>
        </w:rPr>
        <w:t xml:space="preserve">. They recommend specific actions to incorporate in preventing and responding to SGBV within emergency preparedness, response and post-emergency </w:t>
      </w:r>
      <w:r w:rsidRPr="00290F8A">
        <w:rPr>
          <w:rFonts w:cstheme="minorHAnsi"/>
        </w:rPr>
        <w:lastRenderedPageBreak/>
        <w:t>planning.</w:t>
      </w:r>
      <w:r w:rsidRPr="00290F8A">
        <w:rPr>
          <w:rFonts w:cstheme="minorHAnsi"/>
          <w:vertAlign w:val="superscript"/>
        </w:rPr>
        <w:footnoteReference w:id="94"/>
      </w:r>
      <w:r w:rsidRPr="00290F8A">
        <w:rPr>
          <w:rFonts w:cstheme="minorHAnsi"/>
        </w:rPr>
        <w:t xml:space="preserve"> As the 2005 IASC Guidelines explain, they are “designed for use by humanitarian </w:t>
      </w:r>
      <w:proofErr w:type="spellStart"/>
      <w:r w:rsidRPr="00290F8A">
        <w:rPr>
          <w:rFonts w:cstheme="minorHAnsi"/>
        </w:rPr>
        <w:t>organisations</w:t>
      </w:r>
      <w:proofErr w:type="spellEnd"/>
      <w:r w:rsidRPr="00290F8A">
        <w:rPr>
          <w:rFonts w:cstheme="minorHAnsi"/>
        </w:rPr>
        <w:t xml:space="preserve">, including UN agencies, non-governmental </w:t>
      </w:r>
      <w:proofErr w:type="spellStart"/>
      <w:r w:rsidRPr="00290F8A">
        <w:rPr>
          <w:rFonts w:cstheme="minorHAnsi"/>
        </w:rPr>
        <w:t>organisations</w:t>
      </w:r>
      <w:proofErr w:type="spellEnd"/>
      <w:r w:rsidRPr="00290F8A">
        <w:rPr>
          <w:rFonts w:cstheme="minorHAnsi"/>
        </w:rPr>
        <w:t xml:space="preserve"> (NGOs), community-based </w:t>
      </w:r>
      <w:proofErr w:type="spellStart"/>
      <w:r w:rsidRPr="00290F8A">
        <w:rPr>
          <w:rFonts w:cstheme="minorHAnsi"/>
        </w:rPr>
        <w:t>organisations</w:t>
      </w:r>
      <w:proofErr w:type="spellEnd"/>
      <w:r w:rsidRPr="00290F8A">
        <w:rPr>
          <w:rFonts w:cstheme="minorHAnsi"/>
        </w:rPr>
        <w:t xml:space="preserve"> (CBOs), and government authorities operating in emergency settings at international, national, and local levels”.</w:t>
      </w:r>
      <w:r w:rsidRPr="00290F8A">
        <w:rPr>
          <w:rFonts w:cstheme="minorHAnsi"/>
          <w:vertAlign w:val="superscript"/>
        </w:rPr>
        <w:footnoteReference w:id="95"/>
      </w:r>
      <w:r w:rsidRPr="00290F8A">
        <w:rPr>
          <w:rFonts w:cstheme="minorHAnsi"/>
        </w:rPr>
        <w:t xml:space="preserve"> The existence of a consistent pattern of sexual violence in humanitarian emergencies supports the position adopted within these IASC Guidelines that the humanitarian community must assume that sexual violence is present in all disaster settings.</w:t>
      </w:r>
      <w:r w:rsidRPr="00290F8A">
        <w:rPr>
          <w:rFonts w:cstheme="minorHAnsi"/>
          <w:vertAlign w:val="superscript"/>
        </w:rPr>
        <w:footnoteReference w:id="96"/>
      </w:r>
    </w:p>
    <w:p w14:paraId="3ABA606D" w14:textId="77777777" w:rsidR="00C1042E" w:rsidRPr="00290F8A" w:rsidRDefault="00C1042E" w:rsidP="00C1042E">
      <w:pPr>
        <w:contextualSpacing/>
        <w:jc w:val="both"/>
        <w:rPr>
          <w:rFonts w:cstheme="minorHAnsi"/>
        </w:rPr>
      </w:pPr>
    </w:p>
    <w:p w14:paraId="1B1209E5" w14:textId="7EB3F8FC" w:rsidR="00C1042E" w:rsidRPr="00290F8A" w:rsidRDefault="00C1042E" w:rsidP="00C1042E">
      <w:pPr>
        <w:contextualSpacing/>
        <w:jc w:val="both"/>
        <w:rPr>
          <w:rFonts w:cstheme="minorHAnsi"/>
        </w:rPr>
      </w:pPr>
      <w:r w:rsidRPr="00290F8A">
        <w:rPr>
          <w:rFonts w:cstheme="minorHAnsi"/>
        </w:rPr>
        <w:t xml:space="preserve">While the IASC Guidelines do no establish a binding set of SGBV service delivery standards, they seek to achieve general international consensus among SGBV service providers and advocates around core </w:t>
      </w:r>
      <w:proofErr w:type="spellStart"/>
      <w:r w:rsidRPr="00290F8A">
        <w:rPr>
          <w:rFonts w:cstheme="minorHAnsi"/>
        </w:rPr>
        <w:t>program</w:t>
      </w:r>
      <w:r w:rsidR="00F74D89">
        <w:rPr>
          <w:rFonts w:cstheme="minorHAnsi"/>
        </w:rPr>
        <w:t>me</w:t>
      </w:r>
      <w:proofErr w:type="spellEnd"/>
      <w:r w:rsidRPr="00290F8A">
        <w:rPr>
          <w:rFonts w:cstheme="minorHAnsi"/>
        </w:rPr>
        <w:t xml:space="preserve"> design and service delivery principles that should guide SGBV response and mitigation programming. These include creating safe spaces for women, engaging the community in </w:t>
      </w:r>
      <w:proofErr w:type="spellStart"/>
      <w:r w:rsidRPr="00290F8A">
        <w:rPr>
          <w:rFonts w:cstheme="minorHAnsi"/>
        </w:rPr>
        <w:t>program</w:t>
      </w:r>
      <w:r w:rsidR="00147C35">
        <w:rPr>
          <w:rFonts w:cstheme="minorHAnsi"/>
        </w:rPr>
        <w:t>me</w:t>
      </w:r>
      <w:proofErr w:type="spellEnd"/>
      <w:r w:rsidRPr="00290F8A">
        <w:rPr>
          <w:rFonts w:cstheme="minorHAnsi"/>
        </w:rPr>
        <w:t xml:space="preserve"> design and implementation, conducting safe referrals, </w:t>
      </w:r>
      <w:proofErr w:type="spellStart"/>
      <w:r w:rsidRPr="00290F8A">
        <w:rPr>
          <w:rFonts w:cstheme="minorHAnsi"/>
        </w:rPr>
        <w:t>utilising</w:t>
      </w:r>
      <w:proofErr w:type="spellEnd"/>
      <w:r w:rsidRPr="00290F8A">
        <w:rPr>
          <w:rFonts w:cstheme="minorHAnsi"/>
        </w:rPr>
        <w:t xml:space="preserve"> a survivor-</w:t>
      </w:r>
      <w:proofErr w:type="spellStart"/>
      <w:r w:rsidRPr="00290F8A">
        <w:rPr>
          <w:rFonts w:cstheme="minorHAnsi"/>
        </w:rPr>
        <w:t>centred</w:t>
      </w:r>
      <w:proofErr w:type="spellEnd"/>
      <w:r w:rsidRPr="00290F8A">
        <w:rPr>
          <w:rFonts w:cstheme="minorHAnsi"/>
        </w:rPr>
        <w:t xml:space="preserve"> approach, maint</w:t>
      </w:r>
      <w:r>
        <w:rPr>
          <w:rFonts w:cstheme="minorHAnsi"/>
        </w:rPr>
        <w:t>aining clients’ confidentiality</w:t>
      </w:r>
      <w:r w:rsidRPr="00290F8A">
        <w:rPr>
          <w:rFonts w:cstheme="minorHAnsi"/>
        </w:rPr>
        <w:t xml:space="preserve"> and ensuring accessibility of services.</w:t>
      </w:r>
      <w:r w:rsidRPr="00290F8A">
        <w:rPr>
          <w:rFonts w:cstheme="minorHAnsi"/>
          <w:vertAlign w:val="superscript"/>
        </w:rPr>
        <w:footnoteReference w:id="97"/>
      </w:r>
      <w:r w:rsidRPr="00290F8A">
        <w:rPr>
          <w:rFonts w:cstheme="minorHAnsi"/>
        </w:rPr>
        <w:t xml:space="preserve"> Furthermore, as both international and local </w:t>
      </w:r>
      <w:proofErr w:type="spellStart"/>
      <w:r w:rsidRPr="00290F8A">
        <w:rPr>
          <w:rFonts w:cstheme="minorHAnsi"/>
        </w:rPr>
        <w:t>organisations</w:t>
      </w:r>
      <w:proofErr w:type="spellEnd"/>
      <w:r w:rsidRPr="00290F8A">
        <w:rPr>
          <w:rFonts w:cstheme="minorHAnsi"/>
        </w:rPr>
        <w:t xml:space="preserve"> are implementing SGBV prevention and response </w:t>
      </w:r>
      <w:proofErr w:type="spellStart"/>
      <w:r w:rsidRPr="00290F8A">
        <w:rPr>
          <w:rFonts w:cstheme="minorHAnsi"/>
        </w:rPr>
        <w:t>program</w:t>
      </w:r>
      <w:r w:rsidR="00F74D89">
        <w:rPr>
          <w:rFonts w:cstheme="minorHAnsi"/>
        </w:rPr>
        <w:t>me</w:t>
      </w:r>
      <w:r w:rsidRPr="00290F8A">
        <w:rPr>
          <w:rFonts w:cstheme="minorHAnsi"/>
        </w:rPr>
        <w:t>s</w:t>
      </w:r>
      <w:proofErr w:type="spellEnd"/>
      <w:r w:rsidRPr="00290F8A">
        <w:rPr>
          <w:rFonts w:cstheme="minorHAnsi"/>
        </w:rPr>
        <w:t xml:space="preserve">, there is a critical need for guidance and recommendations on best practice to rigorously evaluate these </w:t>
      </w:r>
      <w:proofErr w:type="spellStart"/>
      <w:r w:rsidRPr="00290F8A">
        <w:rPr>
          <w:rFonts w:cstheme="minorHAnsi"/>
        </w:rPr>
        <w:t>program</w:t>
      </w:r>
      <w:r w:rsidR="00F74D89">
        <w:rPr>
          <w:rFonts w:cstheme="minorHAnsi"/>
        </w:rPr>
        <w:t>me</w:t>
      </w:r>
      <w:r w:rsidRPr="00290F8A">
        <w:rPr>
          <w:rFonts w:cstheme="minorHAnsi"/>
        </w:rPr>
        <w:t>s</w:t>
      </w:r>
      <w:proofErr w:type="spellEnd"/>
      <w:r w:rsidRPr="00290F8A">
        <w:rPr>
          <w:rFonts w:cstheme="minorHAnsi"/>
        </w:rPr>
        <w:t>.</w:t>
      </w:r>
      <w:r w:rsidRPr="00290F8A">
        <w:rPr>
          <w:rFonts w:cstheme="minorHAnsi"/>
          <w:vertAlign w:val="superscript"/>
        </w:rPr>
        <w:footnoteReference w:id="98"/>
      </w:r>
    </w:p>
    <w:p w14:paraId="1E1256EF" w14:textId="77777777" w:rsidR="00C1042E" w:rsidRPr="00290F8A" w:rsidRDefault="00C1042E" w:rsidP="00C1042E">
      <w:pPr>
        <w:contextualSpacing/>
        <w:jc w:val="both"/>
        <w:rPr>
          <w:rFonts w:cstheme="minorHAnsi"/>
          <w:b/>
        </w:rPr>
      </w:pPr>
    </w:p>
    <w:p w14:paraId="409DBFE7" w14:textId="77777777" w:rsidR="00C1042E" w:rsidRPr="00290F8A" w:rsidRDefault="00C1042E" w:rsidP="00C1042E">
      <w:pPr>
        <w:contextualSpacing/>
        <w:jc w:val="both"/>
        <w:rPr>
          <w:rFonts w:cstheme="minorHAnsi"/>
        </w:rPr>
      </w:pPr>
      <w:r w:rsidRPr="00290F8A">
        <w:rPr>
          <w:rFonts w:cstheme="minorHAnsi"/>
        </w:rPr>
        <w:t>The 2015 IASC Guidel</w:t>
      </w:r>
      <w:r>
        <w:rPr>
          <w:rFonts w:cstheme="minorHAnsi"/>
        </w:rPr>
        <w:t>ine</w:t>
      </w:r>
      <w:r w:rsidRPr="00290F8A">
        <w:rPr>
          <w:rFonts w:cstheme="minorHAnsi"/>
        </w:rPr>
        <w:t>s</w:t>
      </w:r>
      <w:r>
        <w:rPr>
          <w:rFonts w:cstheme="minorHAnsi"/>
        </w:rPr>
        <w:t xml:space="preserve"> state</w:t>
      </w:r>
      <w:r w:rsidRPr="00290F8A">
        <w:rPr>
          <w:rFonts w:cstheme="minorHAnsi"/>
        </w:rPr>
        <w:t>:</w:t>
      </w:r>
    </w:p>
    <w:p w14:paraId="7ED7D9C8" w14:textId="77777777" w:rsidR="00C1042E" w:rsidRPr="00290F8A" w:rsidRDefault="00C1042E" w:rsidP="00C1042E">
      <w:pPr>
        <w:contextualSpacing/>
        <w:jc w:val="both"/>
        <w:rPr>
          <w:rFonts w:cstheme="minorHAnsi"/>
          <w:b/>
        </w:rPr>
      </w:pPr>
    </w:p>
    <w:p w14:paraId="39CAB7D5" w14:textId="77777777" w:rsidR="00C1042E" w:rsidRPr="00290F8A" w:rsidRDefault="00C1042E" w:rsidP="00C1042E">
      <w:pPr>
        <w:ind w:left="720"/>
        <w:contextualSpacing/>
        <w:jc w:val="both"/>
        <w:rPr>
          <w:rFonts w:cstheme="minorHAnsi"/>
          <w:i/>
        </w:rPr>
      </w:pPr>
      <w:r w:rsidRPr="00290F8A">
        <w:rPr>
          <w:rFonts w:cstheme="minorHAnsi"/>
        </w:rPr>
        <w:t>Gender-based violence (GBV) is an umbrella term for any harmful act that is perpetrated against a person’s will and that is based on socially ascribed (i.e. gender) differences between males and females. It includes acts that inflict physical, sexual or mental harm or suffering, threats of such acts, coercion, and other deprivations of liberty. These acts can occur in public or in private. … The term ‘GBV’ is most commonly used to underscore how systemic inequality between males and females—which exists in every society in the world—acts as a unifying and foundational characteristic of most forms of violence perpetrated against women and girls. … Gender discrimination is not only a cause of many forms of violence against women and girls but also contributes to the widespread acceptance and invisibility of such violence—so that perpetrators are not held accountable and survivors are discouraged from speaking out and accessing support.</w:t>
      </w:r>
      <w:r w:rsidRPr="00290F8A">
        <w:rPr>
          <w:rFonts w:cstheme="minorHAnsi"/>
          <w:vertAlign w:val="superscript"/>
        </w:rPr>
        <w:footnoteReference w:id="99"/>
      </w:r>
      <w:r w:rsidRPr="00290F8A">
        <w:rPr>
          <w:rFonts w:cstheme="minorHAnsi"/>
          <w:i/>
        </w:rPr>
        <w:t xml:space="preserve"> </w:t>
      </w:r>
    </w:p>
    <w:p w14:paraId="30FB28B1" w14:textId="77777777" w:rsidR="00C1042E" w:rsidRPr="00290F8A" w:rsidRDefault="00C1042E" w:rsidP="00C1042E">
      <w:pPr>
        <w:contextualSpacing/>
        <w:jc w:val="both"/>
        <w:rPr>
          <w:rFonts w:cstheme="minorHAnsi"/>
          <w:i/>
        </w:rPr>
      </w:pPr>
    </w:p>
    <w:p w14:paraId="2E54DEA0" w14:textId="77777777" w:rsidR="00C1042E" w:rsidRDefault="00C1042E" w:rsidP="00C1042E">
      <w:pPr>
        <w:jc w:val="both"/>
        <w:rPr>
          <w:b/>
          <w:caps/>
          <w:u w:val="single"/>
        </w:rPr>
      </w:pPr>
    </w:p>
    <w:p w14:paraId="08ED6F2E" w14:textId="77777777" w:rsidR="00C1042E" w:rsidRPr="004676D3" w:rsidRDefault="00C1042E" w:rsidP="00C1042E">
      <w:pPr>
        <w:jc w:val="both"/>
        <w:rPr>
          <w:rFonts w:eastAsia="Times New Roman" w:cs="Times New Roman"/>
          <w:b/>
          <w:caps/>
          <w:u w:val="single"/>
        </w:rPr>
      </w:pPr>
      <w:r w:rsidRPr="004676D3">
        <w:rPr>
          <w:rFonts w:eastAsia="Times New Roman" w:cs="Times New Roman"/>
          <w:b/>
          <w:caps/>
          <w:u w:val="single"/>
        </w:rPr>
        <w:t xml:space="preserve">Perpetrators </w:t>
      </w:r>
      <w:r>
        <w:rPr>
          <w:rFonts w:eastAsia="Times New Roman" w:cs="Times New Roman"/>
          <w:b/>
          <w:caps/>
          <w:u w:val="single"/>
        </w:rPr>
        <w:t xml:space="preserve">AND VICTIMS </w:t>
      </w:r>
      <w:r w:rsidRPr="004676D3">
        <w:rPr>
          <w:rFonts w:eastAsia="Times New Roman" w:cs="Times New Roman"/>
          <w:b/>
          <w:caps/>
          <w:u w:val="single"/>
        </w:rPr>
        <w:t>of Sexual Violence in Refugee Settings</w:t>
      </w:r>
    </w:p>
    <w:p w14:paraId="17CEDD07" w14:textId="77777777" w:rsidR="00C1042E" w:rsidRDefault="00C1042E" w:rsidP="00C1042E">
      <w:pPr>
        <w:jc w:val="both"/>
        <w:rPr>
          <w:rFonts w:eastAsia="Times New Roman" w:cs="Times New Roman"/>
        </w:rPr>
      </w:pPr>
    </w:p>
    <w:p w14:paraId="76021A8D" w14:textId="77777777" w:rsidR="00C1042E" w:rsidRPr="0037111C" w:rsidRDefault="00C1042E" w:rsidP="00C1042E">
      <w:pPr>
        <w:jc w:val="both"/>
        <w:rPr>
          <w:rFonts w:eastAsia="Times New Roman" w:cs="Times New Roman"/>
        </w:rPr>
      </w:pPr>
      <w:r w:rsidRPr="003655E9">
        <w:rPr>
          <w:rFonts w:eastAsia="Times New Roman" w:cs="Times New Roman"/>
        </w:rPr>
        <w:t>The perpetrators of sexual violence may differ in refugee settings from those in non</w:t>
      </w:r>
      <w:r>
        <w:rPr>
          <w:rFonts w:eastAsia="Times New Roman" w:cs="Times New Roman"/>
        </w:rPr>
        <w:t xml:space="preserve">-refugee settings. </w:t>
      </w:r>
      <w:r w:rsidRPr="003655E9">
        <w:rPr>
          <w:rFonts w:eastAsia="Times New Roman" w:cs="Times New Roman"/>
        </w:rPr>
        <w:t>The National Violence against Women Survey, conducted in the United States by the Centers for Dise</w:t>
      </w:r>
      <w:r>
        <w:rPr>
          <w:rFonts w:eastAsia="Times New Roman" w:cs="Times New Roman"/>
        </w:rPr>
        <w:t>ase Control and Prevention</w:t>
      </w:r>
      <w:r w:rsidRPr="003655E9">
        <w:rPr>
          <w:rFonts w:eastAsia="Times New Roman" w:cs="Times New Roman"/>
        </w:rPr>
        <w:t xml:space="preserve"> and the National Institute of Justice, </w:t>
      </w:r>
      <w:r>
        <w:rPr>
          <w:rFonts w:eastAsia="Times New Roman" w:cs="Times New Roman"/>
        </w:rPr>
        <w:t>has found that approximately 90%</w:t>
      </w:r>
      <w:r w:rsidRPr="003655E9">
        <w:rPr>
          <w:rFonts w:eastAsia="Times New Roman" w:cs="Times New Roman"/>
        </w:rPr>
        <w:t xml:space="preserve"> of rapes </w:t>
      </w:r>
      <w:r>
        <w:rPr>
          <w:rFonts w:eastAsia="Times New Roman" w:cs="Times New Roman"/>
        </w:rPr>
        <w:t>in the United States are</w:t>
      </w:r>
      <w:r w:rsidRPr="003655E9">
        <w:rPr>
          <w:rFonts w:eastAsia="Times New Roman" w:cs="Times New Roman"/>
        </w:rPr>
        <w:t xml:space="preserve"> commi</w:t>
      </w:r>
      <w:r>
        <w:rPr>
          <w:rFonts w:eastAsia="Times New Roman" w:cs="Times New Roman"/>
        </w:rPr>
        <w:t>tted by men known to the women</w:t>
      </w:r>
      <w:r w:rsidRPr="003655E9">
        <w:rPr>
          <w:rFonts w:eastAsia="Times New Roman" w:cs="Times New Roman"/>
        </w:rPr>
        <w:t>.</w:t>
      </w:r>
      <w:r>
        <w:rPr>
          <w:rStyle w:val="FootnoteReference"/>
          <w:rFonts w:eastAsia="Times New Roman" w:cs="Times New Roman"/>
        </w:rPr>
        <w:footnoteReference w:id="100"/>
      </w:r>
      <w:r>
        <w:rPr>
          <w:rFonts w:eastAsia="Times New Roman" w:cs="Times New Roman"/>
        </w:rPr>
        <w:t xml:space="preserve"> However, in conflict situations </w:t>
      </w:r>
      <w:r w:rsidRPr="003655E9">
        <w:rPr>
          <w:rFonts w:eastAsia="Times New Roman" w:cs="Times New Roman"/>
        </w:rPr>
        <w:t xml:space="preserve">strangers are more likely to perpetrate </w:t>
      </w:r>
      <w:r>
        <w:rPr>
          <w:rFonts w:eastAsia="Times New Roman" w:cs="Times New Roman"/>
        </w:rPr>
        <w:t>SGBV</w:t>
      </w:r>
      <w:r>
        <w:rPr>
          <w:rFonts w:eastAsia="Times New Roman"/>
        </w:rPr>
        <w:t>. For d</w:t>
      </w:r>
      <w:r w:rsidRPr="003655E9">
        <w:rPr>
          <w:rFonts w:eastAsia="Times New Roman"/>
        </w:rPr>
        <w:t xml:space="preserve">uring both conflict and flight, </w:t>
      </w:r>
      <w:r>
        <w:rPr>
          <w:rFonts w:eastAsia="Times New Roman"/>
        </w:rPr>
        <w:t>refugees</w:t>
      </w:r>
      <w:r w:rsidRPr="003655E9">
        <w:rPr>
          <w:rFonts w:eastAsia="Times New Roman" w:cs="Times New Roman"/>
        </w:rPr>
        <w:t xml:space="preserve"> are at risk </w:t>
      </w:r>
      <w:r>
        <w:rPr>
          <w:rFonts w:eastAsia="Times New Roman" w:cs="Times New Roman"/>
        </w:rPr>
        <w:t>of</w:t>
      </w:r>
      <w:r w:rsidRPr="003655E9">
        <w:rPr>
          <w:rFonts w:eastAsia="Times New Roman" w:cs="Times New Roman"/>
        </w:rPr>
        <w:t xml:space="preserve"> rape</w:t>
      </w:r>
      <w:r>
        <w:rPr>
          <w:rFonts w:eastAsia="Times New Roman" w:cs="Times New Roman"/>
        </w:rPr>
        <w:t xml:space="preserve"> and other violence</w:t>
      </w:r>
      <w:r w:rsidRPr="003655E9">
        <w:rPr>
          <w:rFonts w:eastAsia="Times New Roman" w:cs="Times New Roman"/>
        </w:rPr>
        <w:t xml:space="preserve"> from soldiers, border guards, police, and others in authority. Once they arrive in a </w:t>
      </w:r>
      <w:r>
        <w:rPr>
          <w:rFonts w:eastAsia="Times New Roman" w:cs="Times New Roman"/>
        </w:rPr>
        <w:t xml:space="preserve">refugee </w:t>
      </w:r>
      <w:r w:rsidRPr="003655E9">
        <w:rPr>
          <w:rFonts w:eastAsia="Times New Roman" w:cs="Times New Roman"/>
        </w:rPr>
        <w:t xml:space="preserve">camp, </w:t>
      </w:r>
      <w:r>
        <w:rPr>
          <w:rFonts w:eastAsia="Times New Roman" w:cs="Times New Roman"/>
        </w:rPr>
        <w:t>they</w:t>
      </w:r>
      <w:r w:rsidRPr="003655E9">
        <w:rPr>
          <w:rFonts w:eastAsia="Times New Roman" w:cs="Times New Roman"/>
        </w:rPr>
        <w:t xml:space="preserve"> are </w:t>
      </w:r>
      <w:r>
        <w:rPr>
          <w:rFonts w:eastAsia="Times New Roman" w:cs="Times New Roman"/>
        </w:rPr>
        <w:t xml:space="preserve">furthermore </w:t>
      </w:r>
      <w:r w:rsidRPr="003655E9">
        <w:rPr>
          <w:rFonts w:eastAsia="Times New Roman" w:cs="Times New Roman"/>
        </w:rPr>
        <w:t xml:space="preserve">at risk from fellow refugees, local residents, and even aid workers. </w:t>
      </w:r>
      <w:r>
        <w:rPr>
          <w:rFonts w:eastAsia="Times New Roman" w:cs="Times New Roman"/>
        </w:rPr>
        <w:t>These</w:t>
      </w:r>
      <w:r w:rsidRPr="003655E9">
        <w:rPr>
          <w:rFonts w:eastAsia="Times New Roman" w:cs="Times New Roman"/>
        </w:rPr>
        <w:t xml:space="preserve"> camps usually lack secure shelter and protection</w:t>
      </w:r>
      <w:r>
        <w:rPr>
          <w:rFonts w:eastAsia="Times New Roman" w:cs="Times New Roman"/>
        </w:rPr>
        <w:t>, especially</w:t>
      </w:r>
      <w:r w:rsidRPr="003655E9">
        <w:rPr>
          <w:rFonts w:eastAsia="Times New Roman" w:cs="Times New Roman"/>
        </w:rPr>
        <w:t xml:space="preserve"> for women, making them even more vulnerable to </w:t>
      </w:r>
      <w:r>
        <w:rPr>
          <w:rFonts w:eastAsia="Times New Roman" w:cs="Times New Roman"/>
        </w:rPr>
        <w:t>SGBV</w:t>
      </w:r>
      <w:r w:rsidRPr="003655E9">
        <w:rPr>
          <w:rFonts w:eastAsia="Times New Roman" w:cs="Times New Roman"/>
        </w:rPr>
        <w:t>.</w:t>
      </w:r>
      <w:r w:rsidRPr="003655E9">
        <w:rPr>
          <w:rStyle w:val="FootnoteReference"/>
          <w:rFonts w:eastAsia="Times New Roman" w:cs="Times New Roman"/>
        </w:rPr>
        <w:footnoteReference w:id="101"/>
      </w:r>
      <w:r>
        <w:rPr>
          <w:rFonts w:eastAsia="Times New Roman" w:cs="Times New Roman"/>
        </w:rPr>
        <w:t xml:space="preserve"> </w:t>
      </w:r>
      <w:r w:rsidRPr="003655E9">
        <w:rPr>
          <w:rFonts w:eastAsia="Times New Roman"/>
        </w:rPr>
        <w:t xml:space="preserve">Many studies have focused on the issue of rape as a weapon of war, leading to assumptions that armed actors and military personnel are the main perpetrators of </w:t>
      </w:r>
      <w:r>
        <w:rPr>
          <w:rFonts w:eastAsia="Times New Roman"/>
        </w:rPr>
        <w:t xml:space="preserve">SGBV. Yet, </w:t>
      </w:r>
      <w:r w:rsidRPr="003655E9">
        <w:rPr>
          <w:rFonts w:eastAsia="Times New Roman"/>
        </w:rPr>
        <w:t>perpetrators</w:t>
      </w:r>
      <w:r>
        <w:rPr>
          <w:rFonts w:eastAsia="Times New Roman"/>
        </w:rPr>
        <w:t xml:space="preserve"> </w:t>
      </w:r>
      <w:r w:rsidRPr="003655E9">
        <w:rPr>
          <w:rFonts w:eastAsia="Times New Roman"/>
        </w:rPr>
        <w:t xml:space="preserve">may include family members, </w:t>
      </w:r>
      <w:r>
        <w:rPr>
          <w:rFonts w:eastAsia="Times New Roman"/>
        </w:rPr>
        <w:t>aid</w:t>
      </w:r>
      <w:r w:rsidRPr="003655E9">
        <w:rPr>
          <w:rFonts w:eastAsia="Times New Roman"/>
        </w:rPr>
        <w:t xml:space="preserve"> and humanitarian workers, trusted individuals, or strangers who take advant</w:t>
      </w:r>
      <w:r>
        <w:rPr>
          <w:rFonts w:eastAsia="Times New Roman"/>
        </w:rPr>
        <w:t>age of refugees’ heightened vulnerability, particularly within camp settings</w:t>
      </w:r>
      <w:r w:rsidRPr="003655E9">
        <w:rPr>
          <w:rFonts w:eastAsia="Times New Roman"/>
        </w:rPr>
        <w:t>.</w:t>
      </w:r>
      <w:r w:rsidRPr="003655E9">
        <w:rPr>
          <w:rStyle w:val="FootnoteReference"/>
          <w:rFonts w:eastAsia="Times New Roman"/>
        </w:rPr>
        <w:footnoteReference w:id="102"/>
      </w:r>
    </w:p>
    <w:p w14:paraId="49C1783A" w14:textId="77777777" w:rsidR="00C1042E" w:rsidRDefault="00C1042E" w:rsidP="00C1042E">
      <w:pPr>
        <w:jc w:val="both"/>
        <w:rPr>
          <w:rFonts w:eastAsia="Times New Roman" w:cs="Times New Roman"/>
          <w:b/>
        </w:rPr>
      </w:pPr>
    </w:p>
    <w:p w14:paraId="1E2E1D38" w14:textId="6DD61B18" w:rsidR="00C1042E" w:rsidRPr="00437C22" w:rsidRDefault="00C1042E" w:rsidP="00C1042E">
      <w:pPr>
        <w:contextualSpacing/>
        <w:jc w:val="both"/>
        <w:rPr>
          <w:rFonts w:cstheme="minorHAnsi"/>
        </w:rPr>
      </w:pPr>
      <w:r>
        <w:rPr>
          <w:rFonts w:cstheme="minorHAnsi"/>
        </w:rPr>
        <w:t xml:space="preserve">In relation to victims of SGBV, the </w:t>
      </w:r>
      <w:r w:rsidR="00933065">
        <w:rPr>
          <w:rFonts w:cstheme="minorHAnsi"/>
        </w:rPr>
        <w:t xml:space="preserve">2018 </w:t>
      </w:r>
      <w:hyperlink r:id="rId50" w:history="1">
        <w:r w:rsidRPr="004875AC">
          <w:rPr>
            <w:rStyle w:val="Hyperlink"/>
            <w:rFonts w:cstheme="minorHAnsi"/>
            <w:i/>
          </w:rPr>
          <w:t>Sexual Exploitation and Abuse in</w:t>
        </w:r>
        <w:r>
          <w:rPr>
            <w:rStyle w:val="Hyperlink"/>
            <w:rFonts w:cstheme="minorHAnsi"/>
            <w:i/>
          </w:rPr>
          <w:t xml:space="preserve"> the</w:t>
        </w:r>
        <w:r w:rsidRPr="004875AC">
          <w:rPr>
            <w:rStyle w:val="Hyperlink"/>
            <w:rFonts w:cstheme="minorHAnsi"/>
            <w:i/>
          </w:rPr>
          <w:t xml:space="preserve"> Aid Sector</w:t>
        </w:r>
      </w:hyperlink>
      <w:r>
        <w:rPr>
          <w:rFonts w:cstheme="minorHAnsi"/>
          <w:i/>
        </w:rPr>
        <w:t xml:space="preserve"> </w:t>
      </w:r>
      <w:r>
        <w:rPr>
          <w:rFonts w:cstheme="minorHAnsi"/>
        </w:rPr>
        <w:t>report of the International Development Committee of the UK House of Commons points out that “</w:t>
      </w:r>
      <w:r w:rsidRPr="00F34A6B">
        <w:rPr>
          <w:rFonts w:cstheme="minorHAnsi"/>
        </w:rPr>
        <w:t xml:space="preserve">globally, it is pretty clear that girls and young women are most frequently the victims </w:t>
      </w:r>
      <w:r>
        <w:rPr>
          <w:rFonts w:cstheme="minorHAnsi"/>
        </w:rPr>
        <w:t>of sexual violence</w:t>
      </w:r>
      <w:r w:rsidRPr="00F34A6B">
        <w:rPr>
          <w:rFonts w:cstheme="minorHAnsi"/>
        </w:rPr>
        <w:t>.</w:t>
      </w:r>
      <w:r w:rsidRPr="00F34A6B">
        <w:rPr>
          <w:rStyle w:val="FootnoteReference"/>
          <w:rFonts w:cstheme="minorHAnsi"/>
        </w:rPr>
        <w:footnoteReference w:id="103"/>
      </w:r>
      <w:r>
        <w:rPr>
          <w:rFonts w:cstheme="minorHAnsi"/>
        </w:rPr>
        <w:t xml:space="preserve"> Indeed, t</w:t>
      </w:r>
      <w:r w:rsidRPr="00427B71">
        <w:rPr>
          <w:rFonts w:eastAsia="Times New Roman" w:cstheme="minorHAnsi"/>
        </w:rPr>
        <w:t xml:space="preserve">he risk of experiencing </w:t>
      </w:r>
      <w:r>
        <w:rPr>
          <w:rFonts w:eastAsia="Times New Roman" w:cstheme="minorHAnsi"/>
        </w:rPr>
        <w:t>S</w:t>
      </w:r>
      <w:r w:rsidRPr="00427B71">
        <w:rPr>
          <w:rFonts w:eastAsia="Times New Roman" w:cstheme="minorHAnsi"/>
        </w:rPr>
        <w:t xml:space="preserve">GBV is exceptionally high among refugee women and girls. </w:t>
      </w:r>
      <w:r>
        <w:rPr>
          <w:rFonts w:eastAsia="Times New Roman" w:cstheme="minorHAnsi"/>
        </w:rPr>
        <w:t xml:space="preserve">For example, among </w:t>
      </w:r>
      <w:r w:rsidRPr="00427B71">
        <w:rPr>
          <w:rFonts w:eastAsia="Times New Roman" w:cstheme="minorHAnsi"/>
        </w:rPr>
        <w:t xml:space="preserve">displaced Syrian women in Lebanon </w:t>
      </w:r>
      <w:r>
        <w:rPr>
          <w:rFonts w:eastAsia="Times New Roman" w:cstheme="minorHAnsi"/>
        </w:rPr>
        <w:t xml:space="preserve">31% </w:t>
      </w:r>
      <w:r w:rsidRPr="00427B71">
        <w:rPr>
          <w:rFonts w:eastAsia="Times New Roman" w:cstheme="minorHAnsi"/>
        </w:rPr>
        <w:t>report experiencing physical, sexual, and/or psychological violence. Through the displacement process</w:t>
      </w:r>
      <w:r>
        <w:rPr>
          <w:rFonts w:eastAsia="Times New Roman" w:cstheme="minorHAnsi"/>
        </w:rPr>
        <w:t xml:space="preserve"> the refugee experience entails</w:t>
      </w:r>
      <w:r w:rsidRPr="00427B71">
        <w:rPr>
          <w:rFonts w:eastAsia="Times New Roman" w:cstheme="minorHAnsi"/>
        </w:rPr>
        <w:t>, r</w:t>
      </w:r>
      <w:r>
        <w:rPr>
          <w:rFonts w:eastAsia="Times New Roman" w:cstheme="minorHAnsi"/>
        </w:rPr>
        <w:t>efugee women</w:t>
      </w:r>
      <w:r w:rsidRPr="00427B71">
        <w:rPr>
          <w:rFonts w:eastAsia="Times New Roman" w:cstheme="minorHAnsi"/>
        </w:rPr>
        <w:t xml:space="preserve"> often lose traditional safety nets provided by f</w:t>
      </w:r>
      <w:r>
        <w:rPr>
          <w:rFonts w:eastAsia="Times New Roman" w:cstheme="minorHAnsi"/>
        </w:rPr>
        <w:t xml:space="preserve">riends, family and </w:t>
      </w:r>
      <w:proofErr w:type="spellStart"/>
      <w:r>
        <w:rPr>
          <w:rFonts w:eastAsia="Times New Roman" w:cstheme="minorHAnsi"/>
        </w:rPr>
        <w:t>neighbours</w:t>
      </w:r>
      <w:proofErr w:type="spellEnd"/>
      <w:r>
        <w:rPr>
          <w:rFonts w:eastAsia="Times New Roman" w:cstheme="minorHAnsi"/>
        </w:rPr>
        <w:t>. This</w:t>
      </w:r>
      <w:r w:rsidRPr="00427B71">
        <w:rPr>
          <w:rFonts w:eastAsia="Times New Roman" w:cstheme="minorHAnsi"/>
        </w:rPr>
        <w:t xml:space="preserve"> </w:t>
      </w:r>
      <w:r>
        <w:rPr>
          <w:rFonts w:eastAsia="Times New Roman" w:cstheme="minorHAnsi"/>
        </w:rPr>
        <w:t xml:space="preserve">isolation </w:t>
      </w:r>
      <w:r w:rsidRPr="00427B71">
        <w:rPr>
          <w:rFonts w:eastAsia="Times New Roman" w:cstheme="minorHAnsi"/>
        </w:rPr>
        <w:t>create</w:t>
      </w:r>
      <w:r>
        <w:rPr>
          <w:rFonts w:eastAsia="Times New Roman" w:cstheme="minorHAnsi"/>
        </w:rPr>
        <w:t>s conditions</w:t>
      </w:r>
      <w:r w:rsidRPr="00427B71">
        <w:rPr>
          <w:rFonts w:eastAsia="Times New Roman" w:cstheme="minorHAnsi"/>
        </w:rPr>
        <w:t xml:space="preserve"> that can lead to </w:t>
      </w:r>
      <w:r>
        <w:rPr>
          <w:rFonts w:eastAsia="Times New Roman" w:cstheme="minorHAnsi"/>
        </w:rPr>
        <w:t>SGBV,</w:t>
      </w:r>
      <w:r w:rsidRPr="00427B71">
        <w:rPr>
          <w:rFonts w:eastAsia="Times New Roman" w:cstheme="minorHAnsi"/>
        </w:rPr>
        <w:t xml:space="preserve"> including verbal threats and intimidation, physical and sexual assault, and early and forced marriage.</w:t>
      </w:r>
      <w:r w:rsidRPr="00427B71">
        <w:rPr>
          <w:rStyle w:val="FootnoteReference"/>
          <w:rFonts w:eastAsia="Times New Roman" w:cstheme="minorHAnsi"/>
        </w:rPr>
        <w:footnoteReference w:id="104"/>
      </w:r>
    </w:p>
    <w:p w14:paraId="6A23A025" w14:textId="77777777" w:rsidR="00C1042E" w:rsidRDefault="00C1042E" w:rsidP="00C1042E">
      <w:pPr>
        <w:jc w:val="both"/>
        <w:rPr>
          <w:rFonts w:eastAsia="Times New Roman" w:cstheme="minorHAnsi"/>
        </w:rPr>
      </w:pPr>
    </w:p>
    <w:p w14:paraId="73C38B1F" w14:textId="77777777" w:rsidR="00C1042E" w:rsidRDefault="00C1042E" w:rsidP="00C1042E">
      <w:pPr>
        <w:jc w:val="both"/>
        <w:rPr>
          <w:rFonts w:eastAsia="Times New Roman" w:cstheme="minorHAnsi"/>
        </w:rPr>
      </w:pPr>
      <w:r>
        <w:rPr>
          <w:rFonts w:eastAsia="Times New Roman" w:cstheme="minorHAnsi"/>
        </w:rPr>
        <w:t>As the 2015 IASC Guidelines explain:</w:t>
      </w:r>
    </w:p>
    <w:p w14:paraId="2FBD22BE" w14:textId="77777777" w:rsidR="00C1042E" w:rsidRDefault="00C1042E" w:rsidP="00C1042E">
      <w:pPr>
        <w:jc w:val="both"/>
        <w:rPr>
          <w:rFonts w:eastAsia="Times New Roman" w:cstheme="minorHAnsi"/>
        </w:rPr>
      </w:pPr>
    </w:p>
    <w:p w14:paraId="05EA9DE1" w14:textId="77777777" w:rsidR="00C1042E" w:rsidRPr="00AC325C" w:rsidRDefault="00C1042E" w:rsidP="00C1042E">
      <w:pPr>
        <w:ind w:left="720"/>
        <w:contextualSpacing/>
        <w:jc w:val="both"/>
        <w:rPr>
          <w:rFonts w:eastAsia="Times New Roman" w:cstheme="minorHAnsi"/>
        </w:rPr>
      </w:pPr>
      <w:r w:rsidRPr="004A2E39">
        <w:rPr>
          <w:rFonts w:eastAsia="Times New Roman" w:cstheme="minorHAnsi"/>
        </w:rPr>
        <w:t xml:space="preserve">Women and girls everywhere are disadvantaged in terms of social power and influence, control of resources, control of their bodies and participation in public life—all as a result of socially determined gender roles and relations. Gender-based violence against women and girls occurs in the context of this imbalance. While humanitarian actors must </w:t>
      </w:r>
      <w:proofErr w:type="spellStart"/>
      <w:r w:rsidRPr="004A2E39">
        <w:rPr>
          <w:rFonts w:eastAsia="Times New Roman" w:cstheme="minorHAnsi"/>
        </w:rPr>
        <w:t>analyse</w:t>
      </w:r>
      <w:proofErr w:type="spellEnd"/>
      <w:r w:rsidRPr="004A2E39">
        <w:rPr>
          <w:rFonts w:eastAsia="Times New Roman" w:cstheme="minorHAnsi"/>
        </w:rPr>
        <w:t xml:space="preserve"> different gendered vulnerabilities that may put men, women, boys and girls at heightened risk of violence and ensure care and support for all survivors, special attention should be given to females due to their documented greater vulnerabilities to GBV, the overarching discrimination they experience, and their lack of safe and equitable access to humanitarian assistance</w:t>
      </w:r>
      <w:r>
        <w:rPr>
          <w:rFonts w:eastAsia="Times New Roman" w:cstheme="minorHAnsi"/>
        </w:rPr>
        <w:t xml:space="preserve"> … </w:t>
      </w:r>
      <w:r w:rsidRPr="004A2E39">
        <w:rPr>
          <w:rStyle w:val="FootnoteReference"/>
          <w:rFonts w:eastAsia="Times New Roman" w:cstheme="minorHAnsi"/>
        </w:rPr>
        <w:footnoteReference w:id="105"/>
      </w:r>
    </w:p>
    <w:p w14:paraId="14B785D3" w14:textId="77777777" w:rsidR="00C1042E" w:rsidRPr="004A2E39" w:rsidRDefault="00C1042E" w:rsidP="00C1042E">
      <w:pPr>
        <w:ind w:left="720"/>
        <w:contextualSpacing/>
        <w:jc w:val="both"/>
        <w:rPr>
          <w:rFonts w:eastAsia="Times New Roman" w:cstheme="minorHAnsi"/>
        </w:rPr>
      </w:pPr>
    </w:p>
    <w:p w14:paraId="5F95B542" w14:textId="77777777" w:rsidR="00C1042E" w:rsidRPr="00BB47B2" w:rsidRDefault="00C1042E" w:rsidP="00C1042E">
      <w:pPr>
        <w:ind w:left="720"/>
        <w:contextualSpacing/>
        <w:jc w:val="both"/>
        <w:rPr>
          <w:rFonts w:eastAsia="Times New Roman" w:cstheme="minorHAnsi"/>
          <w:i/>
        </w:rPr>
      </w:pPr>
      <w:r w:rsidRPr="004A2E39">
        <w:rPr>
          <w:rFonts w:eastAsia="Times New Roman" w:cstheme="minorHAnsi"/>
        </w:rPr>
        <w:t xml:space="preserve">In all types of GBV, violence is used primarily by males against females to subordinate, disempower, punish or control. The gender of the perpetrator and the victim are central not only to the motivation for the violence, but also to the ways in which society condones or responds to the violence … widespread gender discrimination and gender inequality often result in women and girls being exposed to multiple forms of GBV throughout their lives, including ‘secondary’ GBV as a result of a primary incident (e.g. abuse by those they report to, honor killings following sexual assault, forced marriage to a perpetrator, </w:t>
      </w:r>
      <w:proofErr w:type="spellStart"/>
      <w:r w:rsidRPr="004A2E39">
        <w:rPr>
          <w:rFonts w:eastAsia="Times New Roman" w:cstheme="minorHAnsi"/>
        </w:rPr>
        <w:t>etc</w:t>
      </w:r>
      <w:proofErr w:type="spellEnd"/>
      <w:r w:rsidRPr="004A2E39">
        <w:rPr>
          <w:rFonts w:eastAsia="Times New Roman" w:cstheme="minorHAnsi"/>
        </w:rPr>
        <w:t>)</w:t>
      </w:r>
      <w:r w:rsidRPr="00F34A6B">
        <w:rPr>
          <w:rFonts w:eastAsia="Times New Roman" w:cstheme="minorHAnsi"/>
          <w:i/>
        </w:rPr>
        <w:t>.</w:t>
      </w:r>
      <w:r w:rsidRPr="00F34A6B">
        <w:rPr>
          <w:rStyle w:val="FootnoteReference"/>
          <w:rFonts w:eastAsia="Times New Roman" w:cstheme="minorHAnsi"/>
        </w:rPr>
        <w:footnoteReference w:id="106"/>
      </w:r>
      <w:r w:rsidRPr="00F34A6B">
        <w:rPr>
          <w:rFonts w:eastAsia="Times New Roman" w:cstheme="minorHAnsi"/>
          <w:i/>
        </w:rPr>
        <w:t xml:space="preserve"> </w:t>
      </w:r>
    </w:p>
    <w:p w14:paraId="0D579B5E" w14:textId="77777777" w:rsidR="00C1042E" w:rsidRDefault="00C1042E" w:rsidP="00C1042E">
      <w:pPr>
        <w:jc w:val="both"/>
      </w:pPr>
    </w:p>
    <w:p w14:paraId="74F01852" w14:textId="5BB034AC" w:rsidR="00C1042E" w:rsidRDefault="00C1042E" w:rsidP="00C1042E">
      <w:pPr>
        <w:jc w:val="both"/>
      </w:pPr>
      <w:r>
        <w:t xml:space="preserve">This focus on SGBV perpetrated against women and girls is mirrored in the earlier UNHCR’s </w:t>
      </w:r>
      <w:hyperlink r:id="rId51" w:history="1">
        <w:r w:rsidRPr="00BB47B2">
          <w:rPr>
            <w:rStyle w:val="Hyperlink"/>
            <w:i/>
          </w:rPr>
          <w:t>Sexual Violence Against Refugees: Guidelines on Prevention and Response</w:t>
        </w:r>
      </w:hyperlink>
      <w:r>
        <w:t xml:space="preserve"> released in 1995. Although moving to a more gender-neutral title after the UNHCR’s earlier 1991 </w:t>
      </w:r>
      <w:hyperlink r:id="rId52" w:history="1">
        <w:r w:rsidRPr="00BB47B2">
          <w:rPr>
            <w:rStyle w:val="Hyperlink"/>
            <w:i/>
          </w:rPr>
          <w:t>Guidelines for the Protection of Refugee Women</w:t>
        </w:r>
      </w:hyperlink>
      <w:r>
        <w:t>, t</w:t>
      </w:r>
      <w:r w:rsidRPr="00237FF3">
        <w:t>hese</w:t>
      </w:r>
      <w:r>
        <w:t xml:space="preserve"> 1995 Guidelines still explicitly make clear its focus remains on women:</w:t>
      </w:r>
    </w:p>
    <w:p w14:paraId="39E20451" w14:textId="77777777" w:rsidR="00C1042E" w:rsidRPr="00BB47B2" w:rsidRDefault="00C1042E" w:rsidP="00C1042E">
      <w:pPr>
        <w:jc w:val="both"/>
      </w:pPr>
    </w:p>
    <w:p w14:paraId="2ECC5B16" w14:textId="77777777" w:rsidR="00C1042E" w:rsidRPr="003655E9" w:rsidRDefault="00C1042E" w:rsidP="00C1042E">
      <w:pPr>
        <w:ind w:left="720"/>
        <w:jc w:val="both"/>
        <w:rPr>
          <w:rFonts w:eastAsia="Times New Roman"/>
        </w:rPr>
      </w:pPr>
      <w:r w:rsidRPr="00BB47B2">
        <w:rPr>
          <w:rFonts w:eastAsia="Times New Roman"/>
        </w:rPr>
        <w:t>The pronouns in these [1995 UNHCR] Guidelines in relation to victims of sexual violence are phrased in the feminine voice and the pronouns in relation to perpetrators of sexual violence are phrased in the masculine voice. This is in recognition of the fact that the majority of reported cases of sexual violence among refugees involve female victims and male perpetrators. Since women and girls appear to be the ones most often subjected to sexual violence, these Guidelines focus on sexual violence against female refugees. Very little is known about the true incidence of sexual violence against male refugees other than in the context of detention and torture.</w:t>
      </w:r>
      <w:r w:rsidRPr="001B13A6">
        <w:rPr>
          <w:rStyle w:val="FootnoteReference"/>
          <w:rFonts w:eastAsia="Times New Roman"/>
        </w:rPr>
        <w:footnoteReference w:id="107"/>
      </w:r>
    </w:p>
    <w:p w14:paraId="70CF35A7" w14:textId="77777777" w:rsidR="00C1042E" w:rsidRDefault="00C1042E" w:rsidP="00C1042E">
      <w:pPr>
        <w:jc w:val="both"/>
        <w:rPr>
          <w:b/>
        </w:rPr>
      </w:pPr>
    </w:p>
    <w:p w14:paraId="584A3FA1" w14:textId="77777777" w:rsidR="00C1042E" w:rsidRDefault="00C1042E" w:rsidP="00C1042E">
      <w:pPr>
        <w:jc w:val="both"/>
        <w:rPr>
          <w:b/>
        </w:rPr>
      </w:pPr>
    </w:p>
    <w:p w14:paraId="3377D5FC" w14:textId="77777777" w:rsidR="00C1042E" w:rsidRPr="00C00941" w:rsidRDefault="00C1042E" w:rsidP="00C1042E">
      <w:pPr>
        <w:contextualSpacing/>
        <w:jc w:val="both"/>
        <w:rPr>
          <w:rFonts w:eastAsia="Times New Roman" w:cstheme="minorHAnsi"/>
          <w:b/>
          <w:i/>
        </w:rPr>
      </w:pPr>
      <w:r>
        <w:rPr>
          <w:rFonts w:eastAsia="Times New Roman" w:cstheme="minorHAnsi"/>
          <w:b/>
          <w:i/>
        </w:rPr>
        <w:t>SGBV and Male Victims</w:t>
      </w:r>
    </w:p>
    <w:p w14:paraId="1758FDDD" w14:textId="77777777" w:rsidR="00C1042E" w:rsidRDefault="00C1042E" w:rsidP="00C1042E">
      <w:pPr>
        <w:contextualSpacing/>
        <w:jc w:val="both"/>
        <w:rPr>
          <w:rFonts w:eastAsia="Times New Roman" w:cstheme="minorHAnsi"/>
        </w:rPr>
      </w:pPr>
    </w:p>
    <w:p w14:paraId="4C0FCE8B" w14:textId="4F4CDB11" w:rsidR="00C1042E" w:rsidRDefault="00C1042E" w:rsidP="00C1042E">
      <w:pPr>
        <w:contextualSpacing/>
        <w:jc w:val="both"/>
        <w:rPr>
          <w:rFonts w:eastAsia="Times New Roman" w:cstheme="minorHAnsi"/>
        </w:rPr>
      </w:pPr>
      <w:r>
        <w:rPr>
          <w:rFonts w:eastAsia="Times New Roman" w:cstheme="minorHAnsi"/>
        </w:rPr>
        <w:t xml:space="preserve">This emphasis on women and girls’ experience of SGBV in refugee and other humanitarian settings, as exemplified by both the IASC and UNHCR Guidelines, has however been the subject of some criticism. </w:t>
      </w:r>
      <w:r>
        <w:t xml:space="preserve">It has been argued that by </w:t>
      </w:r>
      <w:proofErr w:type="spellStart"/>
      <w:r>
        <w:t>prioritis</w:t>
      </w:r>
      <w:r w:rsidRPr="003655E9">
        <w:t>ing</w:t>
      </w:r>
      <w:proofErr w:type="spellEnd"/>
      <w:r w:rsidRPr="003655E9">
        <w:t xml:space="preserve"> </w:t>
      </w:r>
      <w:r>
        <w:t>SGBV</w:t>
      </w:r>
      <w:r w:rsidRPr="003655E9">
        <w:t xml:space="preserve"> against women and girls</w:t>
      </w:r>
      <w:r>
        <w:t xml:space="preserve"> this</w:t>
      </w:r>
      <w:r w:rsidRPr="003655E9">
        <w:t xml:space="preserve"> obscure</w:t>
      </w:r>
      <w:r>
        <w:t>s</w:t>
      </w:r>
      <w:r w:rsidRPr="003655E9">
        <w:t xml:space="preserve"> a range of </w:t>
      </w:r>
      <w:r>
        <w:t xml:space="preserve">other </w:t>
      </w:r>
      <w:r w:rsidRPr="003655E9">
        <w:t xml:space="preserve">victims </w:t>
      </w:r>
      <w:r>
        <w:t>and downplays</w:t>
      </w:r>
      <w:r w:rsidRPr="003655E9">
        <w:t xml:space="preserve"> forms of violence that fall outside </w:t>
      </w:r>
      <w:r>
        <w:t xml:space="preserve">a claimed </w:t>
      </w:r>
      <w:proofErr w:type="spellStart"/>
      <w:r>
        <w:t>reductivist</w:t>
      </w:r>
      <w:proofErr w:type="spellEnd"/>
      <w:r>
        <w:t xml:space="preserve"> focus on</w:t>
      </w:r>
      <w:r w:rsidRPr="003655E9">
        <w:t xml:space="preserve"> supposedly asexu</w:t>
      </w:r>
      <w:r>
        <w:t>al ‘sexual’ violence, violence</w:t>
      </w:r>
      <w:r w:rsidRPr="003655E9">
        <w:t xml:space="preserve"> </w:t>
      </w:r>
      <w:r>
        <w:t>which</w:t>
      </w:r>
      <w:r w:rsidRPr="003655E9">
        <w:t xml:space="preserve"> nonetheless </w:t>
      </w:r>
      <w:r>
        <w:t xml:space="preserve">should </w:t>
      </w:r>
      <w:r w:rsidRPr="003655E9">
        <w:t xml:space="preserve">be regarded as </w:t>
      </w:r>
      <w:r>
        <w:t>SGBV</w:t>
      </w:r>
      <w:r w:rsidRPr="003655E9">
        <w:t xml:space="preserve"> and </w:t>
      </w:r>
      <w:r>
        <w:t xml:space="preserve">is </w:t>
      </w:r>
      <w:r w:rsidRPr="003655E9">
        <w:t>worthy of humanitarian attention.</w:t>
      </w:r>
      <w:r>
        <w:rPr>
          <w:rStyle w:val="FootnoteReference"/>
        </w:rPr>
        <w:footnoteReference w:id="108"/>
      </w:r>
      <w:r>
        <w:rPr>
          <w:rFonts w:eastAsia="Times New Roman" w:cstheme="minorHAnsi"/>
        </w:rPr>
        <w:t xml:space="preserve"> Among the most vocal</w:t>
      </w:r>
      <w:r w:rsidR="00B203ED">
        <w:rPr>
          <w:rFonts w:eastAsia="Times New Roman" w:cstheme="minorHAnsi"/>
        </w:rPr>
        <w:t xml:space="preserve"> critic</w:t>
      </w:r>
      <w:r>
        <w:rPr>
          <w:rFonts w:eastAsia="Times New Roman" w:cstheme="minorHAnsi"/>
        </w:rPr>
        <w:t xml:space="preserve"> of this primary SGBV focus on women and girls has been academic </w:t>
      </w:r>
      <w:proofErr w:type="spellStart"/>
      <w:r>
        <w:rPr>
          <w:rFonts w:eastAsia="Times New Roman" w:cstheme="minorHAnsi"/>
        </w:rPr>
        <w:t>Dr</w:t>
      </w:r>
      <w:proofErr w:type="spellEnd"/>
      <w:r>
        <w:rPr>
          <w:rFonts w:eastAsia="Times New Roman" w:cstheme="minorHAnsi"/>
        </w:rPr>
        <w:t xml:space="preserve"> Chris Dolan, Director of the Refugee Law Project at Makerere University in Uganda:</w:t>
      </w:r>
    </w:p>
    <w:p w14:paraId="15737A5F" w14:textId="77777777" w:rsidR="00C1042E" w:rsidRDefault="00C1042E" w:rsidP="00C1042E">
      <w:pPr>
        <w:contextualSpacing/>
        <w:jc w:val="both"/>
        <w:rPr>
          <w:rFonts w:eastAsia="Times New Roman" w:cstheme="minorHAnsi"/>
        </w:rPr>
      </w:pPr>
    </w:p>
    <w:p w14:paraId="0A2A5A1E" w14:textId="77777777" w:rsidR="00C1042E" w:rsidRPr="003655E9" w:rsidRDefault="00C1042E" w:rsidP="00C1042E">
      <w:pPr>
        <w:ind w:left="720"/>
        <w:jc w:val="both"/>
      </w:pPr>
      <w:r w:rsidRPr="003655E9">
        <w:t>There are good grounds for challenging the statement that sexual violence affects women and children primarily; firstly … humanitarian response should not be res</w:t>
      </w:r>
      <w:r>
        <w:t>tricted to what is seen as the majority</w:t>
      </w:r>
      <w:r w:rsidRPr="003655E9">
        <w:t xml:space="preserve"> of those suffering from a given form of violence. Secondly, evidence is slowly but surely emerging that men are victims of sexual violence in a range of conflict settings. In those places where gender-inclusive </w:t>
      </w:r>
      <w:r w:rsidRPr="003655E9">
        <w:lastRenderedPageBreak/>
        <w:t>statistics on sexual violence are available, they tend to confirm that overall more women than men are affected, but they certainly do not show that male victims are so few as to require no attention – instead, they suggest that the numbers of male victims whose needs are currently entirely unaddressed should be a matter of concern and concerted action</w:t>
      </w:r>
      <w:r>
        <w:t xml:space="preserve"> …</w:t>
      </w:r>
      <w:r w:rsidRPr="003655E9">
        <w:t xml:space="preserve"> When it comes to abuses of LGBTI persons, the impacts of homophobia and transphobia on LGBTI persons are also increasingly being documented, as is the fact that such violence frequently prompts affected persons to seek prot</w:t>
      </w:r>
      <w:r>
        <w:t>ection in humanitarian settings</w:t>
      </w:r>
      <w:r w:rsidRPr="003655E9">
        <w:t>.</w:t>
      </w:r>
      <w:r w:rsidRPr="003655E9">
        <w:rPr>
          <w:rStyle w:val="FootnoteReference"/>
        </w:rPr>
        <w:footnoteReference w:id="109"/>
      </w:r>
    </w:p>
    <w:p w14:paraId="15CFEEF1" w14:textId="77777777" w:rsidR="00C1042E" w:rsidRDefault="00C1042E" w:rsidP="00C1042E">
      <w:pPr>
        <w:contextualSpacing/>
        <w:jc w:val="both"/>
        <w:rPr>
          <w:rFonts w:eastAsia="Times New Roman" w:cstheme="minorHAnsi"/>
        </w:rPr>
      </w:pPr>
    </w:p>
    <w:p w14:paraId="650E564F" w14:textId="77777777" w:rsidR="00C1042E" w:rsidRPr="003655E9" w:rsidRDefault="00C1042E" w:rsidP="00C1042E">
      <w:pPr>
        <w:jc w:val="both"/>
      </w:pPr>
      <w:r>
        <w:t>Dolan argues that a</w:t>
      </w:r>
      <w:r w:rsidRPr="003655E9">
        <w:t xml:space="preserve"> gender binary </w:t>
      </w:r>
      <w:r>
        <w:t>approach to SGBV should be replaced by</w:t>
      </w:r>
      <w:r w:rsidRPr="003655E9">
        <w:t xml:space="preserve"> a broader perspective on what non-sexual form</w:t>
      </w:r>
      <w:r>
        <w:t xml:space="preserve">s of violence should be </w:t>
      </w:r>
      <w:proofErr w:type="spellStart"/>
      <w:r>
        <w:t>recognis</w:t>
      </w:r>
      <w:r w:rsidRPr="003655E9">
        <w:t>ed</w:t>
      </w:r>
      <w:proofErr w:type="spellEnd"/>
      <w:r w:rsidRPr="003655E9">
        <w:t xml:space="preserve"> as </w:t>
      </w:r>
      <w:r>
        <w:t>S</w:t>
      </w:r>
      <w:r w:rsidRPr="003655E9">
        <w:t xml:space="preserve">GBV. </w:t>
      </w:r>
      <w:r>
        <w:t>For example, he points to the possibility of moving beyond</w:t>
      </w:r>
      <w:r w:rsidRPr="003655E9">
        <w:t xml:space="preserve"> </w:t>
      </w:r>
      <w:proofErr w:type="spellStart"/>
      <w:r>
        <w:t>recognising</w:t>
      </w:r>
      <w:proofErr w:type="spellEnd"/>
      <w:r>
        <w:t xml:space="preserve"> solely</w:t>
      </w:r>
      <w:r w:rsidRPr="003655E9">
        <w:t xml:space="preserve"> sexual violence against men as a form of </w:t>
      </w:r>
      <w:r>
        <w:t>S</w:t>
      </w:r>
      <w:r w:rsidRPr="003655E9">
        <w:t xml:space="preserve">GBV, but </w:t>
      </w:r>
      <w:r>
        <w:t xml:space="preserve">to also include </w:t>
      </w:r>
      <w:proofErr w:type="spellStart"/>
      <w:r>
        <w:t>militaris</w:t>
      </w:r>
      <w:r w:rsidRPr="003655E9">
        <w:t>ation</w:t>
      </w:r>
      <w:proofErr w:type="spellEnd"/>
      <w:r w:rsidRPr="003655E9">
        <w:t xml:space="preserve"> and a whole range of related forms of violence (abduction, forcible recruitment, gender-specific massacr</w:t>
      </w:r>
      <w:r>
        <w:t xml:space="preserve">es, landmines, </w:t>
      </w:r>
      <w:proofErr w:type="spellStart"/>
      <w:r>
        <w:t>etc</w:t>
      </w:r>
      <w:proofErr w:type="spellEnd"/>
      <w:r w:rsidRPr="003655E9">
        <w:t xml:space="preserve">) as egregious </w:t>
      </w:r>
      <w:r>
        <w:t>and complex cases of SGBV</w:t>
      </w:r>
      <w:r w:rsidRPr="003655E9">
        <w:t>, the primary targets of which are male</w:t>
      </w:r>
      <w:r>
        <w:t>. Such a</w:t>
      </w:r>
      <w:r w:rsidRPr="003655E9">
        <w:t xml:space="preserve"> broadening of </w:t>
      </w:r>
      <w:r>
        <w:t xml:space="preserve">SGBV to also include, </w:t>
      </w:r>
      <w:r w:rsidRPr="003655E9">
        <w:t xml:space="preserve">among </w:t>
      </w:r>
      <w:r>
        <w:t xml:space="preserve">other things, </w:t>
      </w:r>
      <w:r w:rsidRPr="003655E9">
        <w:t>homop</w:t>
      </w:r>
      <w:r>
        <w:t xml:space="preserve">hobia, transphobia and </w:t>
      </w:r>
      <w:proofErr w:type="spellStart"/>
      <w:r>
        <w:t>militaris</w:t>
      </w:r>
      <w:r w:rsidRPr="003655E9">
        <w:t>ation</w:t>
      </w:r>
      <w:proofErr w:type="spellEnd"/>
      <w:r w:rsidRPr="003655E9">
        <w:t xml:space="preserve"> creates a </w:t>
      </w:r>
      <w:r>
        <w:t>range</w:t>
      </w:r>
      <w:r w:rsidRPr="003655E9">
        <w:t xml:space="preserve"> of </w:t>
      </w:r>
      <w:r>
        <w:t>issues</w:t>
      </w:r>
      <w:r w:rsidRPr="003655E9">
        <w:t xml:space="preserve"> </w:t>
      </w:r>
      <w:r>
        <w:t xml:space="preserve">within the refugee context </w:t>
      </w:r>
      <w:r w:rsidRPr="003655E9">
        <w:t xml:space="preserve">which </w:t>
      </w:r>
      <w:r>
        <w:t xml:space="preserve">the </w:t>
      </w:r>
      <w:r w:rsidRPr="003655E9">
        <w:t xml:space="preserve">humanitarian </w:t>
      </w:r>
      <w:r>
        <w:t xml:space="preserve">community has to date not </w:t>
      </w:r>
      <w:proofErr w:type="spellStart"/>
      <w:r>
        <w:t>emphasised</w:t>
      </w:r>
      <w:proofErr w:type="spellEnd"/>
      <w:r>
        <w:t xml:space="preserve"> within the SGBV discourse.</w:t>
      </w:r>
      <w:r w:rsidRPr="00BC1924">
        <w:rPr>
          <w:rStyle w:val="FootnoteReference"/>
        </w:rPr>
        <w:t xml:space="preserve"> </w:t>
      </w:r>
      <w:r>
        <w:rPr>
          <w:rStyle w:val="FootnoteReference"/>
        </w:rPr>
        <w:footnoteReference w:id="110"/>
      </w:r>
    </w:p>
    <w:p w14:paraId="72120ED4" w14:textId="77777777" w:rsidR="00C1042E" w:rsidRDefault="00C1042E" w:rsidP="00C1042E">
      <w:pPr>
        <w:contextualSpacing/>
        <w:jc w:val="both"/>
        <w:rPr>
          <w:rFonts w:eastAsia="Times New Roman" w:cstheme="minorHAnsi"/>
        </w:rPr>
      </w:pPr>
    </w:p>
    <w:p w14:paraId="39CFDE11" w14:textId="77777777" w:rsidR="00C1042E" w:rsidRDefault="00C1042E" w:rsidP="00C1042E">
      <w:pPr>
        <w:contextualSpacing/>
        <w:jc w:val="both"/>
        <w:rPr>
          <w:rFonts w:cstheme="minorHAnsi"/>
        </w:rPr>
      </w:pPr>
      <w:bookmarkStart w:id="9" w:name="_Hlk525554483"/>
      <w:r w:rsidRPr="00F34A6B">
        <w:rPr>
          <w:rFonts w:cstheme="minorHAnsi"/>
        </w:rPr>
        <w:t xml:space="preserve">The concept of gender </w:t>
      </w:r>
      <w:r>
        <w:rPr>
          <w:rFonts w:cstheme="minorHAnsi"/>
        </w:rPr>
        <w:t>in the context of SGBV is however moving</w:t>
      </w:r>
      <w:r w:rsidRPr="00F34A6B">
        <w:rPr>
          <w:rFonts w:cstheme="minorHAnsi"/>
        </w:rPr>
        <w:t xml:space="preserve"> away from viewing men and women as binary and sepa</w:t>
      </w:r>
      <w:r>
        <w:rPr>
          <w:rFonts w:cstheme="minorHAnsi"/>
        </w:rPr>
        <w:t xml:space="preserve">rate categories, and instead the concept is becoming increasingly </w:t>
      </w:r>
      <w:r w:rsidRPr="00F34A6B">
        <w:rPr>
          <w:rFonts w:cstheme="minorHAnsi"/>
        </w:rPr>
        <w:t>relational</w:t>
      </w:r>
      <w:bookmarkEnd w:id="9"/>
      <w:r w:rsidRPr="00F34A6B">
        <w:rPr>
          <w:rFonts w:cstheme="minorHAnsi"/>
        </w:rPr>
        <w:t xml:space="preserve">. </w:t>
      </w:r>
      <w:r>
        <w:rPr>
          <w:rFonts w:cstheme="minorHAnsi"/>
        </w:rPr>
        <w:t>The reference to g</w:t>
      </w:r>
      <w:r w:rsidRPr="00F34A6B">
        <w:rPr>
          <w:rFonts w:cstheme="minorHAnsi"/>
        </w:rPr>
        <w:t>ender</w:t>
      </w:r>
      <w:r>
        <w:rPr>
          <w:rFonts w:cstheme="minorHAnsi"/>
        </w:rPr>
        <w:t xml:space="preserve"> in the term SGBV</w:t>
      </w:r>
      <w:r w:rsidRPr="00F34A6B">
        <w:rPr>
          <w:rFonts w:cstheme="minorHAnsi"/>
        </w:rPr>
        <w:t xml:space="preserve"> is </w:t>
      </w:r>
      <w:r>
        <w:rPr>
          <w:rFonts w:cstheme="minorHAnsi"/>
        </w:rPr>
        <w:t xml:space="preserve">increasingly </w:t>
      </w:r>
      <w:r w:rsidRPr="00F34A6B">
        <w:rPr>
          <w:rFonts w:cstheme="minorHAnsi"/>
        </w:rPr>
        <w:t xml:space="preserve">not a synonym for women, nor is it simply </w:t>
      </w:r>
      <w:r>
        <w:rPr>
          <w:rFonts w:cstheme="minorHAnsi"/>
        </w:rPr>
        <w:t xml:space="preserve">about </w:t>
      </w:r>
      <w:r w:rsidRPr="00F34A6B">
        <w:rPr>
          <w:rFonts w:cstheme="minorHAnsi"/>
        </w:rPr>
        <w:t>adding men, but considers both women and men and their interdependent relationships.</w:t>
      </w:r>
      <w:r w:rsidRPr="00F34A6B">
        <w:rPr>
          <w:rStyle w:val="FootnoteReference"/>
          <w:rFonts w:cstheme="minorHAnsi"/>
        </w:rPr>
        <w:footnoteReference w:id="111"/>
      </w:r>
      <w:r w:rsidRPr="00F34A6B">
        <w:rPr>
          <w:rFonts w:cstheme="minorHAnsi"/>
        </w:rPr>
        <w:t xml:space="preserve"> </w:t>
      </w:r>
    </w:p>
    <w:p w14:paraId="7687002C" w14:textId="77777777" w:rsidR="00C1042E" w:rsidRDefault="00C1042E" w:rsidP="00C1042E">
      <w:pPr>
        <w:contextualSpacing/>
        <w:jc w:val="both"/>
        <w:rPr>
          <w:rFonts w:cstheme="minorHAnsi"/>
        </w:rPr>
      </w:pPr>
    </w:p>
    <w:p w14:paraId="341E9B8F" w14:textId="200E1E0A" w:rsidR="00C1042E" w:rsidRPr="00E01F6E" w:rsidRDefault="00C1042E" w:rsidP="00C1042E">
      <w:pPr>
        <w:contextualSpacing/>
        <w:jc w:val="both"/>
        <w:rPr>
          <w:rFonts w:cstheme="minorHAnsi"/>
        </w:rPr>
      </w:pPr>
      <w:r>
        <w:rPr>
          <w:rFonts w:cstheme="minorHAnsi"/>
        </w:rPr>
        <w:t xml:space="preserve">However, the archetype of the ‘typical’ victim of SGBV </w:t>
      </w:r>
      <w:r w:rsidRPr="00F34A6B">
        <w:rPr>
          <w:rFonts w:cstheme="minorHAnsi"/>
        </w:rPr>
        <w:t>and preferred aid recipients</w:t>
      </w:r>
      <w:r>
        <w:rPr>
          <w:rFonts w:cstheme="minorHAnsi"/>
        </w:rPr>
        <w:t xml:space="preserve"> as female continues and</w:t>
      </w:r>
      <w:r w:rsidRPr="00F34A6B">
        <w:rPr>
          <w:rFonts w:cstheme="minorHAnsi"/>
        </w:rPr>
        <w:t xml:space="preserve"> is rarely </w:t>
      </w:r>
      <w:r>
        <w:rPr>
          <w:rFonts w:cstheme="minorHAnsi"/>
        </w:rPr>
        <w:t xml:space="preserve">openly contested </w:t>
      </w:r>
      <w:r w:rsidRPr="00F34A6B">
        <w:rPr>
          <w:rFonts w:cstheme="minorHAnsi"/>
        </w:rPr>
        <w:t xml:space="preserve">in </w:t>
      </w:r>
      <w:r>
        <w:rPr>
          <w:rFonts w:cstheme="minorHAnsi"/>
        </w:rPr>
        <w:t xml:space="preserve">international refugee and </w:t>
      </w:r>
      <w:r w:rsidRPr="00F34A6B">
        <w:rPr>
          <w:rFonts w:cstheme="minorHAnsi"/>
        </w:rPr>
        <w:t>humanitarian policy.</w:t>
      </w:r>
      <w:r w:rsidRPr="00F34A6B">
        <w:rPr>
          <w:rStyle w:val="FootnoteReference"/>
          <w:rFonts w:cstheme="minorHAnsi"/>
        </w:rPr>
        <w:footnoteReference w:id="112"/>
      </w:r>
      <w:r>
        <w:rPr>
          <w:rFonts w:cstheme="minorHAnsi"/>
        </w:rPr>
        <w:t xml:space="preserve"> </w:t>
      </w:r>
      <w:r>
        <w:rPr>
          <w:rFonts w:eastAsia="Times New Roman" w:cstheme="minorHAnsi"/>
        </w:rPr>
        <w:t>As Dolan contends, the continued focus of SGBV primarily on women, as exemplified by the</w:t>
      </w:r>
      <w:r w:rsidRPr="00F34A6B">
        <w:rPr>
          <w:rFonts w:eastAsia="Times New Roman" w:cstheme="minorHAnsi"/>
        </w:rPr>
        <w:t xml:space="preserve"> 2015 </w:t>
      </w:r>
      <w:r>
        <w:rPr>
          <w:rFonts w:eastAsia="Times New Roman" w:cstheme="minorHAnsi"/>
        </w:rPr>
        <w:t>IASC</w:t>
      </w:r>
      <w:r w:rsidRPr="00F34A6B">
        <w:rPr>
          <w:rFonts w:eastAsia="Times New Roman" w:cstheme="minorHAnsi"/>
        </w:rPr>
        <w:t xml:space="preserve"> Guidelines</w:t>
      </w:r>
      <w:r>
        <w:rPr>
          <w:rFonts w:eastAsia="Times New Roman" w:cstheme="minorHAnsi"/>
        </w:rPr>
        <w:t>,</w:t>
      </w:r>
      <w:r w:rsidRPr="00F34A6B">
        <w:rPr>
          <w:rFonts w:eastAsia="Times New Roman" w:cstheme="minorHAnsi"/>
        </w:rPr>
        <w:t xml:space="preserve"> enable</w:t>
      </w:r>
      <w:r>
        <w:rPr>
          <w:rFonts w:eastAsia="Times New Roman" w:cstheme="minorHAnsi"/>
        </w:rPr>
        <w:t>s</w:t>
      </w:r>
      <w:r w:rsidRPr="00F34A6B">
        <w:rPr>
          <w:rFonts w:eastAsia="Times New Roman" w:cstheme="minorHAnsi"/>
        </w:rPr>
        <w:t xml:space="preserve"> the continued denial of resources and access to services for </w:t>
      </w:r>
      <w:r>
        <w:rPr>
          <w:rFonts w:eastAsia="Times New Roman" w:cstheme="minorHAnsi"/>
        </w:rPr>
        <w:t xml:space="preserve">both </w:t>
      </w:r>
      <w:r w:rsidRPr="00F34A6B">
        <w:rPr>
          <w:rFonts w:eastAsia="Times New Roman" w:cstheme="minorHAnsi"/>
        </w:rPr>
        <w:t>male and LGBT</w:t>
      </w:r>
      <w:r>
        <w:rPr>
          <w:rFonts w:eastAsia="Times New Roman" w:cstheme="minorHAnsi"/>
        </w:rPr>
        <w:t>Q</w:t>
      </w:r>
      <w:r w:rsidRPr="00F34A6B">
        <w:rPr>
          <w:rFonts w:eastAsia="Times New Roman" w:cstheme="minorHAnsi"/>
        </w:rPr>
        <w:t xml:space="preserve">I survivors of </w:t>
      </w:r>
      <w:r>
        <w:rPr>
          <w:rFonts w:eastAsia="Times New Roman" w:cstheme="minorHAnsi"/>
        </w:rPr>
        <w:t>SGBV</w:t>
      </w:r>
      <w:r w:rsidRPr="00F34A6B">
        <w:rPr>
          <w:rFonts w:eastAsia="Times New Roman" w:cstheme="minorHAnsi"/>
        </w:rPr>
        <w:t xml:space="preserve"> – a denial which </w:t>
      </w:r>
      <w:r>
        <w:rPr>
          <w:rFonts w:eastAsia="Times New Roman" w:cstheme="minorHAnsi"/>
        </w:rPr>
        <w:t>he asse</w:t>
      </w:r>
      <w:r w:rsidR="002F781C">
        <w:rPr>
          <w:rFonts w:eastAsia="Times New Roman" w:cstheme="minorHAnsi"/>
        </w:rPr>
        <w:t>r</w:t>
      </w:r>
      <w:r>
        <w:rPr>
          <w:rFonts w:eastAsia="Times New Roman" w:cstheme="minorHAnsi"/>
        </w:rPr>
        <w:t xml:space="preserve">ts </w:t>
      </w:r>
      <w:r w:rsidRPr="00F34A6B">
        <w:rPr>
          <w:rFonts w:eastAsia="Times New Roman" w:cstheme="minorHAnsi"/>
        </w:rPr>
        <w:t xml:space="preserve">is itself a form of </w:t>
      </w:r>
      <w:r>
        <w:rPr>
          <w:rFonts w:eastAsia="Times New Roman" w:cstheme="minorHAnsi"/>
        </w:rPr>
        <w:t>SGBV and an additional harm</w:t>
      </w:r>
      <w:r w:rsidRPr="00F34A6B">
        <w:rPr>
          <w:rFonts w:eastAsia="Times New Roman" w:cstheme="minorHAnsi"/>
        </w:rPr>
        <w:t>.</w:t>
      </w:r>
      <w:r w:rsidRPr="00F34A6B">
        <w:rPr>
          <w:rStyle w:val="FootnoteReference"/>
          <w:rFonts w:eastAsia="Times New Roman" w:cstheme="minorHAnsi"/>
        </w:rPr>
        <w:footnoteReference w:id="113"/>
      </w:r>
      <w:r w:rsidRPr="00F34A6B">
        <w:rPr>
          <w:rFonts w:eastAsia="Times New Roman" w:cstheme="minorHAnsi"/>
        </w:rPr>
        <w:t xml:space="preserve"> </w:t>
      </w:r>
    </w:p>
    <w:p w14:paraId="1542954B" w14:textId="77777777" w:rsidR="00C1042E" w:rsidRDefault="00C1042E" w:rsidP="00C1042E">
      <w:pPr>
        <w:contextualSpacing/>
        <w:jc w:val="both"/>
        <w:rPr>
          <w:rFonts w:eastAsia="Times New Roman" w:cstheme="minorHAnsi"/>
        </w:rPr>
      </w:pPr>
    </w:p>
    <w:p w14:paraId="366617A4" w14:textId="507B8816" w:rsidR="00C1042E" w:rsidRDefault="00C1042E" w:rsidP="00C1042E">
      <w:pPr>
        <w:contextualSpacing/>
        <w:jc w:val="both"/>
        <w:rPr>
          <w:rFonts w:eastAsia="Times New Roman" w:cstheme="minorHAnsi"/>
        </w:rPr>
      </w:pPr>
      <w:r>
        <w:rPr>
          <w:rFonts w:eastAsia="Times New Roman" w:cstheme="minorHAnsi"/>
        </w:rPr>
        <w:t xml:space="preserve">Yet Jeanne Ward, a lead author of the 2015 IASC Guidelines, </w:t>
      </w:r>
      <w:r w:rsidR="00BD6573">
        <w:rPr>
          <w:rFonts w:eastAsia="Times New Roman" w:cstheme="minorHAnsi"/>
        </w:rPr>
        <w:t xml:space="preserve">maintains </w:t>
      </w:r>
      <w:r>
        <w:rPr>
          <w:rFonts w:eastAsia="Times New Roman" w:cstheme="minorHAnsi"/>
        </w:rPr>
        <w:t xml:space="preserve">that this specific attention given to women and girls in relation to SGBV should remain paramount. </w:t>
      </w:r>
      <w:r>
        <w:rPr>
          <w:rFonts w:cstheme="minorHAnsi"/>
        </w:rPr>
        <w:t>She notes that the</w:t>
      </w:r>
      <w:r w:rsidRPr="00F34A6B">
        <w:rPr>
          <w:rFonts w:cstheme="minorHAnsi"/>
        </w:rPr>
        <w:t xml:space="preserve"> language of gender has been central to women’s rights activism and to </w:t>
      </w:r>
      <w:r>
        <w:rPr>
          <w:rFonts w:cstheme="minorHAnsi"/>
        </w:rPr>
        <w:t>combatting</w:t>
      </w:r>
      <w:r w:rsidRPr="00F34A6B">
        <w:rPr>
          <w:rFonts w:cstheme="minorHAnsi"/>
        </w:rPr>
        <w:t xml:space="preserve"> violence against women as an articulation of the reality of women’s subordination within the prevailing gender order. </w:t>
      </w:r>
      <w:r>
        <w:rPr>
          <w:rFonts w:cstheme="minorHAnsi"/>
        </w:rPr>
        <w:t>H</w:t>
      </w:r>
      <w:r w:rsidRPr="00F34A6B">
        <w:rPr>
          <w:rFonts w:cstheme="minorHAnsi"/>
        </w:rPr>
        <w:t xml:space="preserve">owever, </w:t>
      </w:r>
      <w:r>
        <w:rPr>
          <w:rFonts w:cstheme="minorHAnsi"/>
        </w:rPr>
        <w:t xml:space="preserve">Ward laments that </w:t>
      </w:r>
      <w:r w:rsidRPr="00F34A6B">
        <w:rPr>
          <w:rFonts w:cstheme="minorHAnsi"/>
        </w:rPr>
        <w:t xml:space="preserve">gender is increasingly being used to talk </w:t>
      </w:r>
      <w:r w:rsidRPr="00F34A6B">
        <w:rPr>
          <w:rFonts w:cstheme="minorHAnsi"/>
        </w:rPr>
        <w:lastRenderedPageBreak/>
        <w:t>of women’s and men’s roles, a shift that effectively masks the problems of male privilege and women’s oppression.</w:t>
      </w:r>
      <w:r w:rsidRPr="00F34A6B">
        <w:rPr>
          <w:rStyle w:val="FootnoteReference"/>
          <w:rFonts w:cstheme="minorHAnsi"/>
        </w:rPr>
        <w:footnoteReference w:id="114"/>
      </w:r>
    </w:p>
    <w:p w14:paraId="05A5CDAA" w14:textId="77777777" w:rsidR="00C1042E" w:rsidRDefault="00C1042E" w:rsidP="00C1042E">
      <w:pPr>
        <w:contextualSpacing/>
        <w:jc w:val="both"/>
        <w:rPr>
          <w:rFonts w:eastAsia="Times New Roman" w:cstheme="minorHAnsi"/>
        </w:rPr>
      </w:pPr>
    </w:p>
    <w:p w14:paraId="44CFB97D" w14:textId="35090F65" w:rsidR="00C1042E" w:rsidRDefault="00C1042E" w:rsidP="00C1042E">
      <w:pPr>
        <w:contextualSpacing/>
        <w:jc w:val="both"/>
        <w:rPr>
          <w:rFonts w:cstheme="minorHAnsi"/>
        </w:rPr>
      </w:pPr>
      <w:r>
        <w:rPr>
          <w:rFonts w:eastAsia="Times New Roman" w:cstheme="minorHAnsi"/>
        </w:rPr>
        <w:t xml:space="preserve">Ward </w:t>
      </w:r>
      <w:r>
        <w:rPr>
          <w:rFonts w:cstheme="minorHAnsi"/>
        </w:rPr>
        <w:t>notes that the IASC’s 2015 Guidelines include data of</w:t>
      </w:r>
      <w:r w:rsidRPr="00F34A6B">
        <w:rPr>
          <w:rFonts w:cstheme="minorHAnsi"/>
        </w:rPr>
        <w:t xml:space="preserve"> </w:t>
      </w:r>
      <w:r>
        <w:rPr>
          <w:rFonts w:cstheme="minorHAnsi"/>
        </w:rPr>
        <w:t xml:space="preserve">SGBV </w:t>
      </w:r>
      <w:r w:rsidRPr="00F34A6B">
        <w:rPr>
          <w:rFonts w:cstheme="minorHAnsi"/>
        </w:rPr>
        <w:t xml:space="preserve">prevalence studies where male/female comparisons can be drawn, </w:t>
      </w:r>
      <w:r>
        <w:rPr>
          <w:rFonts w:cstheme="minorHAnsi"/>
        </w:rPr>
        <w:t>confirming</w:t>
      </w:r>
      <w:r w:rsidRPr="00F34A6B">
        <w:rPr>
          <w:rFonts w:cstheme="minorHAnsi"/>
        </w:rPr>
        <w:t xml:space="preserve"> that women are at significantly higher risk </w:t>
      </w:r>
      <w:r>
        <w:rPr>
          <w:rFonts w:cstheme="minorHAnsi"/>
        </w:rPr>
        <w:t>of</w:t>
      </w:r>
      <w:r w:rsidRPr="00F34A6B">
        <w:rPr>
          <w:rFonts w:cstheme="minorHAnsi"/>
        </w:rPr>
        <w:t xml:space="preserve"> sexual violence </w:t>
      </w:r>
      <w:r>
        <w:rPr>
          <w:rFonts w:cstheme="minorHAnsi"/>
        </w:rPr>
        <w:t xml:space="preserve">perpetrated </w:t>
      </w:r>
      <w:r w:rsidRPr="00F34A6B">
        <w:rPr>
          <w:rFonts w:cstheme="minorHAnsi"/>
        </w:rPr>
        <w:t xml:space="preserve">by a non-partner, and that they </w:t>
      </w:r>
      <w:r>
        <w:rPr>
          <w:rFonts w:cstheme="minorHAnsi"/>
        </w:rPr>
        <w:t>are</w:t>
      </w:r>
      <w:r w:rsidRPr="00F34A6B">
        <w:rPr>
          <w:rFonts w:cstheme="minorHAnsi"/>
        </w:rPr>
        <w:t xml:space="preserve"> </w:t>
      </w:r>
      <w:r>
        <w:rPr>
          <w:rFonts w:cstheme="minorHAnsi"/>
        </w:rPr>
        <w:t>also</w:t>
      </w:r>
      <w:r w:rsidRPr="00F34A6B">
        <w:rPr>
          <w:rFonts w:cstheme="minorHAnsi"/>
        </w:rPr>
        <w:t xml:space="preserve"> exposed to high levels of intimate partner sexual violence.</w:t>
      </w:r>
      <w:r>
        <w:rPr>
          <w:rFonts w:cstheme="minorHAnsi"/>
        </w:rPr>
        <w:t xml:space="preserve"> Given that even critics such as Dolan concede</w:t>
      </w:r>
      <w:r w:rsidRPr="00F34A6B">
        <w:rPr>
          <w:rFonts w:cstheme="minorHAnsi"/>
        </w:rPr>
        <w:t xml:space="preserve"> that </w:t>
      </w:r>
      <w:bookmarkStart w:id="10" w:name="_Hlk525569464"/>
      <w:r w:rsidRPr="00F34A6B">
        <w:rPr>
          <w:rFonts w:cstheme="minorHAnsi"/>
        </w:rPr>
        <w:t>the data “tend</w:t>
      </w:r>
      <w:r w:rsidR="00BD6573">
        <w:rPr>
          <w:rFonts w:cstheme="minorHAnsi"/>
        </w:rPr>
        <w:t>[s]</w:t>
      </w:r>
      <w:r w:rsidRPr="00F34A6B">
        <w:rPr>
          <w:rFonts w:cstheme="minorHAnsi"/>
        </w:rPr>
        <w:t xml:space="preserve"> to confirm that overall more women than men are affected”</w:t>
      </w:r>
      <w:r>
        <w:rPr>
          <w:rStyle w:val="FootnoteReference"/>
          <w:rFonts w:cstheme="minorHAnsi"/>
        </w:rPr>
        <w:footnoteReference w:id="115"/>
      </w:r>
      <w:r>
        <w:rPr>
          <w:rFonts w:cstheme="minorHAnsi"/>
        </w:rPr>
        <w:t xml:space="preserve"> by sexual violence</w:t>
      </w:r>
      <w:bookmarkEnd w:id="10"/>
      <w:r>
        <w:rPr>
          <w:rFonts w:cstheme="minorHAnsi"/>
        </w:rPr>
        <w:t>, c</w:t>
      </w:r>
      <w:r w:rsidRPr="00F34A6B">
        <w:rPr>
          <w:rFonts w:cstheme="minorHAnsi"/>
        </w:rPr>
        <w:t>ompound</w:t>
      </w:r>
      <w:r>
        <w:rPr>
          <w:rFonts w:cstheme="minorHAnsi"/>
        </w:rPr>
        <w:t>ed</w:t>
      </w:r>
      <w:r w:rsidRPr="00F34A6B">
        <w:rPr>
          <w:rFonts w:cstheme="minorHAnsi"/>
        </w:rPr>
        <w:t xml:space="preserve"> with the multiple other forms of </w:t>
      </w:r>
      <w:r>
        <w:rPr>
          <w:rFonts w:cstheme="minorHAnsi"/>
        </w:rPr>
        <w:t>SGBV</w:t>
      </w:r>
      <w:r w:rsidRPr="00F34A6B">
        <w:rPr>
          <w:rFonts w:cstheme="minorHAnsi"/>
        </w:rPr>
        <w:t xml:space="preserve"> which women and girls </w:t>
      </w:r>
      <w:r>
        <w:rPr>
          <w:rFonts w:cstheme="minorHAnsi"/>
        </w:rPr>
        <w:t xml:space="preserve">uniquely </w:t>
      </w:r>
      <w:r w:rsidRPr="00F34A6B">
        <w:rPr>
          <w:rFonts w:cstheme="minorHAnsi"/>
        </w:rPr>
        <w:t xml:space="preserve">experience not only in the context of humanitarian emergencies but throughout their lives, </w:t>
      </w:r>
      <w:r>
        <w:rPr>
          <w:rFonts w:cstheme="minorHAnsi"/>
        </w:rPr>
        <w:t xml:space="preserve">Ward argues that the </w:t>
      </w:r>
      <w:bookmarkStart w:id="11" w:name="_Hlk525570097"/>
      <w:r>
        <w:rPr>
          <w:rFonts w:cstheme="minorHAnsi"/>
        </w:rPr>
        <w:t xml:space="preserve">continued primary focus on women and girls in the international SGBV discourse </w:t>
      </w:r>
      <w:bookmarkEnd w:id="11"/>
      <w:r>
        <w:rPr>
          <w:rFonts w:cstheme="minorHAnsi"/>
        </w:rPr>
        <w:t>is not unwarranted</w:t>
      </w:r>
      <w:r w:rsidRPr="00F34A6B">
        <w:rPr>
          <w:rFonts w:cstheme="minorHAnsi"/>
        </w:rPr>
        <w:t>.</w:t>
      </w:r>
      <w:r w:rsidRPr="00F34A6B">
        <w:rPr>
          <w:rStyle w:val="FootnoteReference"/>
          <w:rFonts w:cstheme="minorHAnsi"/>
        </w:rPr>
        <w:footnoteReference w:id="116"/>
      </w:r>
    </w:p>
    <w:p w14:paraId="700BDC3B" w14:textId="77777777" w:rsidR="00C1042E" w:rsidRDefault="00C1042E" w:rsidP="00C1042E">
      <w:pPr>
        <w:contextualSpacing/>
        <w:jc w:val="both"/>
        <w:rPr>
          <w:rFonts w:cstheme="minorHAnsi"/>
        </w:rPr>
      </w:pPr>
    </w:p>
    <w:p w14:paraId="120CABE3" w14:textId="77777777" w:rsidR="00C1042E" w:rsidRDefault="00C1042E" w:rsidP="00C1042E">
      <w:pPr>
        <w:contextualSpacing/>
        <w:jc w:val="both"/>
        <w:rPr>
          <w:rFonts w:cstheme="minorHAnsi"/>
        </w:rPr>
      </w:pPr>
      <w:r>
        <w:rPr>
          <w:rFonts w:cstheme="minorHAnsi"/>
        </w:rPr>
        <w:t>Indeed,</w:t>
      </w:r>
      <w:r w:rsidRPr="00F34A6B">
        <w:rPr>
          <w:rFonts w:cstheme="minorHAnsi"/>
        </w:rPr>
        <w:t xml:space="preserve"> the definition</w:t>
      </w:r>
      <w:r>
        <w:rPr>
          <w:rFonts w:cstheme="minorHAnsi"/>
        </w:rPr>
        <w:t>s</w:t>
      </w:r>
      <w:r w:rsidRPr="00F34A6B">
        <w:rPr>
          <w:rFonts w:cstheme="minorHAnsi"/>
        </w:rPr>
        <w:t xml:space="preserve"> of </w:t>
      </w:r>
      <w:r>
        <w:rPr>
          <w:rFonts w:cstheme="minorHAnsi"/>
        </w:rPr>
        <w:t>S</w:t>
      </w:r>
      <w:r w:rsidRPr="00F34A6B">
        <w:rPr>
          <w:rFonts w:cstheme="minorHAnsi"/>
        </w:rPr>
        <w:t xml:space="preserve">GBV </w:t>
      </w:r>
      <w:r>
        <w:rPr>
          <w:rFonts w:cstheme="minorHAnsi"/>
        </w:rPr>
        <w:t xml:space="preserve">that bodies such as IASC and the UNHCR adopt </w:t>
      </w:r>
      <w:r w:rsidRPr="00F34A6B">
        <w:rPr>
          <w:rFonts w:cstheme="minorHAnsi"/>
        </w:rPr>
        <w:t xml:space="preserve">arose within the women’s rights movement and </w:t>
      </w:r>
      <w:r>
        <w:rPr>
          <w:rFonts w:cstheme="minorHAnsi"/>
        </w:rPr>
        <w:t>these definitions are</w:t>
      </w:r>
      <w:r w:rsidRPr="00F34A6B">
        <w:rPr>
          <w:rFonts w:cstheme="minorHAnsi"/>
        </w:rPr>
        <w:t xml:space="preserve"> </w:t>
      </w:r>
      <w:r>
        <w:rPr>
          <w:rFonts w:cstheme="minorHAnsi"/>
        </w:rPr>
        <w:t xml:space="preserve">deliberately intended </w:t>
      </w:r>
      <w:r w:rsidRPr="00F34A6B">
        <w:rPr>
          <w:rFonts w:cstheme="minorHAnsi"/>
        </w:rPr>
        <w:t>to articulate women’s exposure to violence</w:t>
      </w:r>
      <w:r>
        <w:rPr>
          <w:rFonts w:cstheme="minorHAnsi"/>
        </w:rPr>
        <w:t xml:space="preserve"> in the context of patriarchy. As Ward notes, </w:t>
      </w:r>
      <w:r w:rsidRPr="00F34A6B">
        <w:rPr>
          <w:rFonts w:cstheme="minorHAnsi"/>
        </w:rPr>
        <w:t xml:space="preserve">without </w:t>
      </w:r>
      <w:r>
        <w:rPr>
          <w:rFonts w:cstheme="minorHAnsi"/>
        </w:rPr>
        <w:t>this provenance within the</w:t>
      </w:r>
      <w:r w:rsidRPr="00F34A6B">
        <w:rPr>
          <w:rFonts w:cstheme="minorHAnsi"/>
        </w:rPr>
        <w:t xml:space="preserve"> </w:t>
      </w:r>
      <w:r>
        <w:rPr>
          <w:rFonts w:cstheme="minorHAnsi"/>
        </w:rPr>
        <w:t xml:space="preserve">women’s rights </w:t>
      </w:r>
      <w:r w:rsidRPr="00F34A6B">
        <w:rPr>
          <w:rFonts w:cstheme="minorHAnsi"/>
        </w:rPr>
        <w:t xml:space="preserve">movement </w:t>
      </w:r>
      <w:r>
        <w:rPr>
          <w:rFonts w:cstheme="minorHAnsi"/>
        </w:rPr>
        <w:t>both the concept and language of ‘SGBV’ would not exist.</w:t>
      </w:r>
      <w:r w:rsidRPr="00F34A6B">
        <w:rPr>
          <w:rStyle w:val="FootnoteReference"/>
          <w:rFonts w:cstheme="minorHAnsi"/>
        </w:rPr>
        <w:footnoteReference w:id="117"/>
      </w:r>
    </w:p>
    <w:p w14:paraId="0B2ADF09" w14:textId="77777777" w:rsidR="00C1042E" w:rsidRDefault="00C1042E" w:rsidP="00C1042E">
      <w:pPr>
        <w:contextualSpacing/>
        <w:jc w:val="both"/>
        <w:rPr>
          <w:rFonts w:cstheme="minorHAnsi"/>
        </w:rPr>
      </w:pPr>
    </w:p>
    <w:p w14:paraId="06BB1F42" w14:textId="77777777" w:rsidR="00C1042E" w:rsidRPr="00F34A6B" w:rsidRDefault="00C1042E" w:rsidP="00C1042E">
      <w:pPr>
        <w:contextualSpacing/>
        <w:jc w:val="both"/>
        <w:rPr>
          <w:rFonts w:cstheme="minorHAnsi"/>
        </w:rPr>
      </w:pPr>
      <w:r>
        <w:rPr>
          <w:rFonts w:cstheme="minorHAnsi"/>
        </w:rPr>
        <w:t xml:space="preserve">While this debate over the </w:t>
      </w:r>
      <w:proofErr w:type="spellStart"/>
      <w:r>
        <w:rPr>
          <w:rFonts w:cstheme="minorHAnsi"/>
        </w:rPr>
        <w:t>prioritisation</w:t>
      </w:r>
      <w:proofErr w:type="spellEnd"/>
      <w:r>
        <w:rPr>
          <w:rFonts w:cstheme="minorHAnsi"/>
        </w:rPr>
        <w:t xml:space="preserve"> of women and girls when it comes to SGBV within the refugee context</w:t>
      </w:r>
      <w:r w:rsidRPr="00F34A6B">
        <w:rPr>
          <w:rFonts w:cstheme="minorHAnsi"/>
        </w:rPr>
        <w:t xml:space="preserve"> yields interesting perspectives, it does not disrupt markedly the discourse whereby women and men are boxed into separate a</w:t>
      </w:r>
      <w:r>
        <w:rPr>
          <w:rFonts w:cstheme="minorHAnsi"/>
        </w:rPr>
        <w:t>nd rather stagnant categories</w:t>
      </w:r>
      <w:r w:rsidRPr="00F34A6B">
        <w:rPr>
          <w:rFonts w:cstheme="minorHAnsi"/>
        </w:rPr>
        <w:t xml:space="preserve">. By </w:t>
      </w:r>
      <w:r>
        <w:rPr>
          <w:rFonts w:cstheme="minorHAnsi"/>
        </w:rPr>
        <w:t>focusing upon</w:t>
      </w:r>
      <w:r w:rsidRPr="00F34A6B">
        <w:rPr>
          <w:rFonts w:cstheme="minorHAnsi"/>
        </w:rPr>
        <w:t xml:space="preserve"> these </w:t>
      </w:r>
      <w:r>
        <w:rPr>
          <w:rFonts w:cstheme="minorHAnsi"/>
        </w:rPr>
        <w:t>gender binary</w:t>
      </w:r>
      <w:r w:rsidRPr="00F34A6B">
        <w:rPr>
          <w:rFonts w:cstheme="minorHAnsi"/>
        </w:rPr>
        <w:t xml:space="preserve"> issues, the debate may </w:t>
      </w:r>
      <w:r>
        <w:rPr>
          <w:rFonts w:cstheme="minorHAnsi"/>
        </w:rPr>
        <w:t xml:space="preserve">however be </w:t>
      </w:r>
      <w:r w:rsidRPr="00F34A6B">
        <w:rPr>
          <w:rFonts w:cstheme="minorHAnsi"/>
        </w:rPr>
        <w:t>miss</w:t>
      </w:r>
      <w:r>
        <w:rPr>
          <w:rFonts w:cstheme="minorHAnsi"/>
        </w:rPr>
        <w:t>ing</w:t>
      </w:r>
      <w:r w:rsidRPr="00F34A6B">
        <w:rPr>
          <w:rFonts w:cstheme="minorHAnsi"/>
        </w:rPr>
        <w:t xml:space="preserve"> the mark regarding gender as relations of power that, like everything else, are cast into disarray during humanitarian crises. </w:t>
      </w:r>
      <w:r>
        <w:rPr>
          <w:rFonts w:cstheme="minorHAnsi"/>
        </w:rPr>
        <w:t>Further</w:t>
      </w:r>
      <w:r w:rsidRPr="00F34A6B">
        <w:rPr>
          <w:rFonts w:cstheme="minorHAnsi"/>
        </w:rPr>
        <w:t>, the large body of literature o</w:t>
      </w:r>
      <w:r>
        <w:rPr>
          <w:rFonts w:cstheme="minorHAnsi"/>
        </w:rPr>
        <w:t>n intersectionality indicates that gender intersect</w:t>
      </w:r>
      <w:r w:rsidRPr="00F34A6B">
        <w:rPr>
          <w:rFonts w:cstheme="minorHAnsi"/>
        </w:rPr>
        <w:t xml:space="preserve">s with class, ethnicity, and other social </w:t>
      </w:r>
      <w:r>
        <w:rPr>
          <w:rFonts w:cstheme="minorHAnsi"/>
        </w:rPr>
        <w:t>characteristics, all of which are also of great relevance to SGBV in the refugee context</w:t>
      </w:r>
      <w:r w:rsidRPr="00F34A6B">
        <w:rPr>
          <w:rFonts w:cstheme="minorHAnsi"/>
        </w:rPr>
        <w:t>.</w:t>
      </w:r>
      <w:r w:rsidRPr="00F34A6B">
        <w:rPr>
          <w:rStyle w:val="FootnoteReference"/>
          <w:rFonts w:cstheme="minorHAnsi"/>
        </w:rPr>
        <w:footnoteReference w:id="118"/>
      </w:r>
    </w:p>
    <w:p w14:paraId="53AAE94A" w14:textId="77777777" w:rsidR="00C1042E" w:rsidRPr="00A337E9" w:rsidRDefault="00C1042E" w:rsidP="00C1042E">
      <w:pPr>
        <w:contextualSpacing/>
        <w:jc w:val="both"/>
        <w:rPr>
          <w:rFonts w:cstheme="minorHAnsi"/>
        </w:rPr>
      </w:pPr>
    </w:p>
    <w:p w14:paraId="5EC48C34" w14:textId="77777777" w:rsidR="00C1042E" w:rsidRDefault="00C1042E" w:rsidP="00C1042E">
      <w:pPr>
        <w:contextualSpacing/>
        <w:jc w:val="both"/>
        <w:rPr>
          <w:rFonts w:cstheme="minorHAnsi"/>
        </w:rPr>
      </w:pPr>
    </w:p>
    <w:p w14:paraId="35439C4E" w14:textId="77777777" w:rsidR="00C1042E" w:rsidRPr="00503771" w:rsidRDefault="00C1042E" w:rsidP="00C1042E">
      <w:pPr>
        <w:jc w:val="both"/>
        <w:rPr>
          <w:b/>
          <w:i/>
        </w:rPr>
      </w:pPr>
      <w:r w:rsidRPr="00503771">
        <w:rPr>
          <w:b/>
          <w:i/>
        </w:rPr>
        <w:t>LGBT</w:t>
      </w:r>
      <w:r>
        <w:rPr>
          <w:b/>
          <w:i/>
        </w:rPr>
        <w:t>Q</w:t>
      </w:r>
      <w:r w:rsidRPr="00503771">
        <w:rPr>
          <w:b/>
          <w:i/>
        </w:rPr>
        <w:t>I Persons and SGBV</w:t>
      </w:r>
    </w:p>
    <w:p w14:paraId="7DD02803" w14:textId="77777777" w:rsidR="00C1042E" w:rsidRPr="003655E9" w:rsidRDefault="00C1042E" w:rsidP="00C1042E">
      <w:pPr>
        <w:jc w:val="both"/>
      </w:pPr>
    </w:p>
    <w:p w14:paraId="359BE677" w14:textId="77777777" w:rsidR="00C1042E" w:rsidRPr="003655E9" w:rsidRDefault="00C1042E" w:rsidP="00C1042E">
      <w:pPr>
        <w:jc w:val="both"/>
      </w:pPr>
      <w:r w:rsidRPr="003655E9">
        <w:t>The Office of the United Nations High Commissi</w:t>
      </w:r>
      <w:r>
        <w:t xml:space="preserve">oner for Human Rights’ (OHCHR) </w:t>
      </w:r>
      <w:r w:rsidRPr="003655E9">
        <w:t>describes violence against LGBT</w:t>
      </w:r>
      <w:r>
        <w:t>Q</w:t>
      </w:r>
      <w:r w:rsidRPr="003655E9">
        <w:t>I</w:t>
      </w:r>
      <w:r>
        <w:t xml:space="preserve"> (lesbian, gay, bisexual, transgender, queer or questioning and intersex)</w:t>
      </w:r>
      <w:r w:rsidRPr="003655E9">
        <w:t xml:space="preserve"> persons as “a form of gender-based violence, driven by a desire to punish those seen as defying gender norms”</w:t>
      </w:r>
      <w:r>
        <w:t>,</w:t>
      </w:r>
      <w:r>
        <w:rPr>
          <w:rStyle w:val="FootnoteReference"/>
        </w:rPr>
        <w:footnoteReference w:id="119"/>
      </w:r>
      <w:r w:rsidRPr="003655E9">
        <w:t xml:space="preserve"> </w:t>
      </w:r>
      <w:r>
        <w:t>identifying</w:t>
      </w:r>
      <w:r w:rsidRPr="003655E9">
        <w:t xml:space="preserve"> the nexus of gender, sexuality and </w:t>
      </w:r>
      <w:r>
        <w:t>S</w:t>
      </w:r>
      <w:r w:rsidRPr="003655E9">
        <w:t xml:space="preserve">GBV in a manner that has been lacking in much of the </w:t>
      </w:r>
      <w:r>
        <w:t>current S</w:t>
      </w:r>
      <w:r w:rsidRPr="003655E9">
        <w:t>GBV</w:t>
      </w:r>
      <w:r>
        <w:t xml:space="preserve"> discourse</w:t>
      </w:r>
      <w:r w:rsidRPr="003655E9">
        <w:t xml:space="preserve">. </w:t>
      </w:r>
      <w:r>
        <w:t>This g</w:t>
      </w:r>
      <w:r w:rsidRPr="003655E9">
        <w:t>rowing recognition of</w:t>
      </w:r>
      <w:r>
        <w:t xml:space="preserve"> the rights of LGBTQI persons </w:t>
      </w:r>
      <w:r w:rsidRPr="003655E9">
        <w:t xml:space="preserve">is reflected in increasing efforts by the UNHCR to understand and in </w:t>
      </w:r>
      <w:r w:rsidRPr="003655E9">
        <w:lastRenderedPageBreak/>
        <w:t>some situations respond to the specific needs of LGBT</w:t>
      </w:r>
      <w:r>
        <w:t>Q</w:t>
      </w:r>
      <w:r w:rsidRPr="003655E9">
        <w:t>I asylum seekers and refugees.</w:t>
      </w:r>
      <w:r w:rsidRPr="003655E9">
        <w:rPr>
          <w:rStyle w:val="FootnoteReference"/>
        </w:rPr>
        <w:footnoteReference w:id="120"/>
      </w:r>
      <w:r>
        <w:t xml:space="preserve"> Another step is to </w:t>
      </w:r>
      <w:proofErr w:type="spellStart"/>
      <w:r>
        <w:t>recognis</w:t>
      </w:r>
      <w:r w:rsidRPr="003655E9">
        <w:t>e</w:t>
      </w:r>
      <w:proofErr w:type="spellEnd"/>
      <w:r w:rsidRPr="003655E9">
        <w:t xml:space="preserve"> homophobia and transphobia as forms of </w:t>
      </w:r>
      <w:r>
        <w:t>S</w:t>
      </w:r>
      <w:r w:rsidRPr="003655E9">
        <w:t>GBV that cannot be adequately addressed through an exclusive focus on sexual violence, and that</w:t>
      </w:r>
      <w:r>
        <w:t xml:space="preserve"> this</w:t>
      </w:r>
      <w:r w:rsidRPr="003655E9">
        <w:t xml:space="preserve"> </w:t>
      </w:r>
      <w:r>
        <w:t xml:space="preserve">requires discarding </w:t>
      </w:r>
      <w:r w:rsidRPr="003655E9">
        <w:t>an oversimplified gender binary.</w:t>
      </w:r>
      <w:r w:rsidRPr="00AE1E44">
        <w:rPr>
          <w:rStyle w:val="FootnoteReference"/>
        </w:rPr>
        <w:t xml:space="preserve"> </w:t>
      </w:r>
      <w:r w:rsidRPr="003655E9">
        <w:rPr>
          <w:rStyle w:val="FootnoteReference"/>
        </w:rPr>
        <w:footnoteReference w:id="121"/>
      </w:r>
      <w:r>
        <w:t xml:space="preserve"> </w:t>
      </w:r>
      <w:r>
        <w:rPr>
          <w:rFonts w:cstheme="minorHAnsi"/>
        </w:rPr>
        <w:t>Indeed more</w:t>
      </w:r>
      <w:r w:rsidRPr="00673B61">
        <w:rPr>
          <w:rFonts w:cstheme="minorHAnsi"/>
        </w:rPr>
        <w:t xml:space="preserve"> recent </w:t>
      </w:r>
      <w:r>
        <w:rPr>
          <w:rFonts w:cstheme="minorHAnsi"/>
        </w:rPr>
        <w:t>SGBV literature</w:t>
      </w:r>
      <w:r w:rsidRPr="00673B61">
        <w:rPr>
          <w:rFonts w:cstheme="minorHAnsi"/>
        </w:rPr>
        <w:t xml:space="preserve"> </w:t>
      </w:r>
      <w:r>
        <w:rPr>
          <w:rFonts w:cstheme="minorHAnsi"/>
        </w:rPr>
        <w:t>increasingly takes</w:t>
      </w:r>
      <w:r w:rsidRPr="00673B61">
        <w:rPr>
          <w:rFonts w:cstheme="minorHAnsi"/>
        </w:rPr>
        <w:t xml:space="preserve"> into account LGBTQI</w:t>
      </w:r>
      <w:r>
        <w:rPr>
          <w:rFonts w:cstheme="minorHAnsi"/>
        </w:rPr>
        <w:t xml:space="preserve"> communities, seeking</w:t>
      </w:r>
      <w:r w:rsidRPr="00673B61">
        <w:rPr>
          <w:rFonts w:cstheme="minorHAnsi"/>
        </w:rPr>
        <w:t xml:space="preserve"> to understand gender beyond the binary categories of men and women</w:t>
      </w:r>
      <w:r>
        <w:rPr>
          <w:rFonts w:cstheme="minorHAnsi"/>
        </w:rPr>
        <w:t xml:space="preserve">, exploring the </w:t>
      </w:r>
      <w:r w:rsidRPr="00673B61">
        <w:rPr>
          <w:rFonts w:cstheme="minorHAnsi"/>
        </w:rPr>
        <w:t>distinctions between different categorie</w:t>
      </w:r>
      <w:r>
        <w:rPr>
          <w:rFonts w:cstheme="minorHAnsi"/>
        </w:rPr>
        <w:t xml:space="preserve">s of people and how </w:t>
      </w:r>
      <w:r w:rsidRPr="00673B61">
        <w:rPr>
          <w:rFonts w:cstheme="minorHAnsi"/>
        </w:rPr>
        <w:t xml:space="preserve">gender labels </w:t>
      </w:r>
      <w:r>
        <w:rPr>
          <w:rFonts w:cstheme="minorHAnsi"/>
        </w:rPr>
        <w:t xml:space="preserve">not only demarcate, but </w:t>
      </w:r>
      <w:proofErr w:type="spellStart"/>
      <w:r>
        <w:rPr>
          <w:rFonts w:cstheme="minorHAnsi"/>
        </w:rPr>
        <w:t>prioritise</w:t>
      </w:r>
      <w:proofErr w:type="spellEnd"/>
      <w:r>
        <w:rPr>
          <w:rFonts w:cstheme="minorHAnsi"/>
        </w:rPr>
        <w:t xml:space="preserve"> some over others</w:t>
      </w:r>
      <w:r w:rsidRPr="00673B61">
        <w:rPr>
          <w:rFonts w:cstheme="minorHAnsi"/>
        </w:rPr>
        <w:t xml:space="preserve"> </w:t>
      </w:r>
      <w:r>
        <w:rPr>
          <w:rFonts w:cstheme="minorHAnsi"/>
        </w:rPr>
        <w:t xml:space="preserve">through </w:t>
      </w:r>
      <w:r w:rsidRPr="00673B61">
        <w:rPr>
          <w:rFonts w:cstheme="minorHAnsi"/>
        </w:rPr>
        <w:t>access to resources, rights, responsibilities, au</w:t>
      </w:r>
      <w:r>
        <w:rPr>
          <w:rFonts w:cstheme="minorHAnsi"/>
        </w:rPr>
        <w:t>thorities and life options</w:t>
      </w:r>
      <w:r w:rsidRPr="00673B61">
        <w:rPr>
          <w:rFonts w:cstheme="minorHAnsi"/>
        </w:rPr>
        <w:t>.</w:t>
      </w:r>
      <w:r>
        <w:rPr>
          <w:rStyle w:val="FootnoteReference"/>
          <w:rFonts w:cstheme="minorHAnsi"/>
        </w:rPr>
        <w:footnoteReference w:id="122"/>
      </w:r>
    </w:p>
    <w:p w14:paraId="38E521F2" w14:textId="77777777" w:rsidR="00C1042E" w:rsidRDefault="00C1042E" w:rsidP="00C1042E">
      <w:pPr>
        <w:contextualSpacing/>
        <w:jc w:val="both"/>
        <w:rPr>
          <w:rFonts w:eastAsia="Times New Roman" w:cstheme="minorHAnsi"/>
        </w:rPr>
      </w:pPr>
    </w:p>
    <w:p w14:paraId="49541C07" w14:textId="77777777" w:rsidR="00C1042E" w:rsidRDefault="00C1042E" w:rsidP="00C1042E">
      <w:pPr>
        <w:contextualSpacing/>
        <w:jc w:val="both"/>
        <w:rPr>
          <w:rFonts w:cstheme="minorHAnsi"/>
        </w:rPr>
      </w:pPr>
      <w:r>
        <w:rPr>
          <w:rFonts w:eastAsia="Times New Roman" w:cstheme="minorHAnsi"/>
        </w:rPr>
        <w:t>T</w:t>
      </w:r>
      <w:r w:rsidRPr="00F34A6B">
        <w:rPr>
          <w:rFonts w:cstheme="minorHAnsi"/>
        </w:rPr>
        <w:t xml:space="preserve">he 2015 </w:t>
      </w:r>
      <w:r>
        <w:rPr>
          <w:rFonts w:cstheme="minorHAnsi"/>
        </w:rPr>
        <w:t xml:space="preserve">IASC </w:t>
      </w:r>
      <w:r w:rsidRPr="00F34A6B">
        <w:rPr>
          <w:rFonts w:cstheme="minorHAnsi"/>
        </w:rPr>
        <w:t>Guidelines highlight LGBT</w:t>
      </w:r>
      <w:r>
        <w:rPr>
          <w:rFonts w:cstheme="minorHAnsi"/>
        </w:rPr>
        <w:t>Q</w:t>
      </w:r>
      <w:r w:rsidRPr="00F34A6B">
        <w:rPr>
          <w:rFonts w:cstheme="minorHAnsi"/>
        </w:rPr>
        <w:t>I issues of c</w:t>
      </w:r>
      <w:r>
        <w:rPr>
          <w:rFonts w:cstheme="minorHAnsi"/>
        </w:rPr>
        <w:t>oncern throughout. In fact, these updated G</w:t>
      </w:r>
      <w:r w:rsidRPr="00F34A6B">
        <w:rPr>
          <w:rFonts w:cstheme="minorHAnsi"/>
        </w:rPr>
        <w:t xml:space="preserve">uidelines acknowledge the protection rights and needs of many groups, </w:t>
      </w:r>
      <w:r>
        <w:rPr>
          <w:rFonts w:cstheme="minorHAnsi"/>
        </w:rPr>
        <w:t>with some arguing</w:t>
      </w:r>
      <w:r w:rsidRPr="00F34A6B">
        <w:rPr>
          <w:rFonts w:cstheme="minorHAnsi"/>
        </w:rPr>
        <w:t xml:space="preserve"> these are among the most inclusive Guidelines in the history of humanitarian action.</w:t>
      </w:r>
      <w:r w:rsidRPr="00F34A6B">
        <w:rPr>
          <w:rStyle w:val="FootnoteReference"/>
          <w:rFonts w:cstheme="minorHAnsi"/>
        </w:rPr>
        <w:footnoteReference w:id="123"/>
      </w:r>
      <w:r w:rsidRPr="00F34A6B">
        <w:rPr>
          <w:rFonts w:cstheme="minorHAnsi"/>
        </w:rPr>
        <w:t xml:space="preserve"> </w:t>
      </w:r>
      <w:r>
        <w:rPr>
          <w:rFonts w:cstheme="minorHAnsi"/>
        </w:rPr>
        <w:t xml:space="preserve">Ward, however, contends that </w:t>
      </w:r>
      <w:r w:rsidRPr="00F34A6B">
        <w:rPr>
          <w:rFonts w:cstheme="minorHAnsi"/>
        </w:rPr>
        <w:t xml:space="preserve">it is a misrepresentation of </w:t>
      </w:r>
      <w:r>
        <w:rPr>
          <w:rFonts w:cstheme="minorHAnsi"/>
        </w:rPr>
        <w:t>S</w:t>
      </w:r>
      <w:r w:rsidRPr="00F34A6B">
        <w:rPr>
          <w:rFonts w:cstheme="minorHAnsi"/>
        </w:rPr>
        <w:t>GBV theory and practice to claim that LGBT</w:t>
      </w:r>
      <w:r>
        <w:rPr>
          <w:rFonts w:cstheme="minorHAnsi"/>
        </w:rPr>
        <w:t>Q</w:t>
      </w:r>
      <w:r w:rsidRPr="00F34A6B">
        <w:rPr>
          <w:rFonts w:cstheme="minorHAnsi"/>
        </w:rPr>
        <w:t xml:space="preserve">I groups should attract </w:t>
      </w:r>
      <w:r>
        <w:rPr>
          <w:rFonts w:cstheme="minorHAnsi"/>
        </w:rPr>
        <w:t xml:space="preserve">an </w:t>
      </w:r>
      <w:r w:rsidRPr="00F34A6B">
        <w:rPr>
          <w:rFonts w:cstheme="minorHAnsi"/>
        </w:rPr>
        <w:t xml:space="preserve">equal focus in </w:t>
      </w:r>
      <w:r>
        <w:rPr>
          <w:rFonts w:cstheme="minorHAnsi"/>
        </w:rPr>
        <w:t xml:space="preserve">humanitarian </w:t>
      </w:r>
      <w:r w:rsidRPr="00F34A6B">
        <w:rPr>
          <w:rFonts w:cstheme="minorHAnsi"/>
        </w:rPr>
        <w:t>programming</w:t>
      </w:r>
      <w:r>
        <w:rPr>
          <w:rFonts w:cstheme="minorHAnsi"/>
        </w:rPr>
        <w:t xml:space="preserve"> combatting SGBV</w:t>
      </w:r>
      <w:r w:rsidRPr="00F34A6B">
        <w:rPr>
          <w:rFonts w:cstheme="minorHAnsi"/>
        </w:rPr>
        <w:t xml:space="preserve">. </w:t>
      </w:r>
      <w:r>
        <w:rPr>
          <w:rFonts w:cstheme="minorHAnsi"/>
        </w:rPr>
        <w:t>She argues that v</w:t>
      </w:r>
      <w:r w:rsidRPr="00F34A6B">
        <w:rPr>
          <w:rFonts w:cstheme="minorHAnsi"/>
        </w:rPr>
        <w:t xml:space="preserve">itiating </w:t>
      </w:r>
      <w:r>
        <w:rPr>
          <w:rFonts w:cstheme="minorHAnsi"/>
        </w:rPr>
        <w:t>the traditional SGBV language of gender</w:t>
      </w:r>
      <w:r w:rsidRPr="00F34A6B">
        <w:rPr>
          <w:rFonts w:cstheme="minorHAnsi"/>
        </w:rPr>
        <w:t xml:space="preserve"> in order to refocus the field </w:t>
      </w:r>
      <w:r>
        <w:rPr>
          <w:rFonts w:cstheme="minorHAnsi"/>
        </w:rPr>
        <w:t xml:space="preserve">away from women </w:t>
      </w:r>
      <w:r w:rsidRPr="00F34A6B">
        <w:rPr>
          <w:rFonts w:cstheme="minorHAnsi"/>
        </w:rPr>
        <w:t xml:space="preserve">towards the needs </w:t>
      </w:r>
      <w:r>
        <w:rPr>
          <w:rFonts w:cstheme="minorHAnsi"/>
        </w:rPr>
        <w:t xml:space="preserve">of </w:t>
      </w:r>
      <w:r w:rsidRPr="00F34A6B">
        <w:rPr>
          <w:rFonts w:cstheme="minorHAnsi"/>
        </w:rPr>
        <w:t>LGBT</w:t>
      </w:r>
      <w:r>
        <w:rPr>
          <w:rFonts w:cstheme="minorHAnsi"/>
        </w:rPr>
        <w:t>Q</w:t>
      </w:r>
      <w:r w:rsidRPr="00F34A6B">
        <w:rPr>
          <w:rFonts w:cstheme="minorHAnsi"/>
        </w:rPr>
        <w:t>I populations</w:t>
      </w:r>
      <w:r>
        <w:rPr>
          <w:rFonts w:cstheme="minorHAnsi"/>
        </w:rPr>
        <w:t>, and other affected groups such as males,</w:t>
      </w:r>
      <w:r w:rsidRPr="00F34A6B">
        <w:rPr>
          <w:rFonts w:cstheme="minorHAnsi"/>
        </w:rPr>
        <w:t xml:space="preserve"> is not likely to </w:t>
      </w:r>
      <w:r>
        <w:rPr>
          <w:rFonts w:cstheme="minorHAnsi"/>
        </w:rPr>
        <w:t xml:space="preserve">effectively </w:t>
      </w:r>
      <w:r w:rsidRPr="00F34A6B">
        <w:rPr>
          <w:rFonts w:cstheme="minorHAnsi"/>
        </w:rPr>
        <w:t xml:space="preserve">serve </w:t>
      </w:r>
      <w:r>
        <w:rPr>
          <w:rFonts w:cstheme="minorHAnsi"/>
        </w:rPr>
        <w:t>the humanitarian cause against SGBV</w:t>
      </w:r>
      <w:r w:rsidRPr="00F34A6B">
        <w:rPr>
          <w:rFonts w:cstheme="minorHAnsi"/>
        </w:rPr>
        <w:t>.</w:t>
      </w:r>
      <w:r>
        <w:rPr>
          <w:rFonts w:cstheme="minorHAnsi"/>
        </w:rPr>
        <w:t xml:space="preserve"> </w:t>
      </w:r>
      <w:r w:rsidRPr="00F34A6B">
        <w:rPr>
          <w:rFonts w:cstheme="minorHAnsi"/>
        </w:rPr>
        <w:t>Instead, what is required is partnership</w:t>
      </w:r>
      <w:r>
        <w:rPr>
          <w:rFonts w:cstheme="minorHAnsi"/>
        </w:rPr>
        <w:t>s</w:t>
      </w:r>
      <w:r w:rsidRPr="00F34A6B">
        <w:rPr>
          <w:rFonts w:cstheme="minorHAnsi"/>
        </w:rPr>
        <w:t xml:space="preserve"> by those whose focus is on the needs of LGBT</w:t>
      </w:r>
      <w:r>
        <w:rPr>
          <w:rFonts w:cstheme="minorHAnsi"/>
        </w:rPr>
        <w:t>Q</w:t>
      </w:r>
      <w:r w:rsidRPr="00F34A6B">
        <w:rPr>
          <w:rFonts w:cstheme="minorHAnsi"/>
        </w:rPr>
        <w:t>I populations generally with those working on violence against women and girls.</w:t>
      </w:r>
      <w:r w:rsidRPr="00F34A6B">
        <w:rPr>
          <w:rStyle w:val="FootnoteReference"/>
          <w:rFonts w:cstheme="minorHAnsi"/>
        </w:rPr>
        <w:footnoteReference w:id="124"/>
      </w:r>
    </w:p>
    <w:p w14:paraId="3AC40D96" w14:textId="77777777" w:rsidR="00C1042E" w:rsidRDefault="00C1042E" w:rsidP="00C1042E">
      <w:pPr>
        <w:contextualSpacing/>
        <w:jc w:val="both"/>
        <w:rPr>
          <w:rFonts w:cstheme="minorHAnsi"/>
          <w:b/>
          <w:u w:val="single"/>
        </w:rPr>
      </w:pPr>
    </w:p>
    <w:p w14:paraId="16101A8A" w14:textId="77777777" w:rsidR="00C1042E" w:rsidRDefault="00C1042E" w:rsidP="00C1042E">
      <w:pPr>
        <w:jc w:val="both"/>
        <w:rPr>
          <w:b/>
          <w:caps/>
          <w:u w:val="single"/>
        </w:rPr>
      </w:pPr>
    </w:p>
    <w:p w14:paraId="02D6E718" w14:textId="77777777" w:rsidR="00C1042E" w:rsidRPr="004676D3" w:rsidRDefault="00C1042E" w:rsidP="00C1042E">
      <w:pPr>
        <w:jc w:val="both"/>
        <w:rPr>
          <w:b/>
          <w:caps/>
          <w:u w:val="single"/>
        </w:rPr>
      </w:pPr>
      <w:r w:rsidRPr="004676D3">
        <w:rPr>
          <w:b/>
          <w:caps/>
          <w:u w:val="single"/>
        </w:rPr>
        <w:t>SGBV in the Current Syrian Conflict</w:t>
      </w:r>
    </w:p>
    <w:p w14:paraId="096C37B9" w14:textId="77777777" w:rsidR="00C1042E" w:rsidRPr="003655E9" w:rsidRDefault="00C1042E" w:rsidP="00C1042E">
      <w:pPr>
        <w:jc w:val="both"/>
        <w:rPr>
          <w:b/>
        </w:rPr>
      </w:pPr>
    </w:p>
    <w:p w14:paraId="17A269F0" w14:textId="77777777" w:rsidR="00C1042E" w:rsidRPr="00D238C0" w:rsidRDefault="00C1042E" w:rsidP="00C1042E">
      <w:pPr>
        <w:contextualSpacing/>
        <w:jc w:val="both"/>
        <w:rPr>
          <w:rFonts w:eastAsia="Times New Roman" w:cstheme="minorHAnsi"/>
        </w:rPr>
      </w:pPr>
      <w:r>
        <w:rPr>
          <w:rFonts w:eastAsia="Times New Roman" w:cstheme="minorHAnsi"/>
        </w:rPr>
        <w:t>Globally the</w:t>
      </w:r>
      <w:r w:rsidRPr="00F34A6B">
        <w:rPr>
          <w:rFonts w:eastAsia="Times New Roman" w:cstheme="minorHAnsi"/>
        </w:rPr>
        <w:t xml:space="preserve"> numbers of refugees, internally displaced peo</w:t>
      </w:r>
      <w:r>
        <w:rPr>
          <w:rFonts w:eastAsia="Times New Roman" w:cstheme="minorHAnsi"/>
        </w:rPr>
        <w:t>ple and asylum seekers are at a historic</w:t>
      </w:r>
      <w:r w:rsidRPr="00F34A6B">
        <w:rPr>
          <w:rFonts w:eastAsia="Times New Roman" w:cstheme="minorHAnsi"/>
        </w:rPr>
        <w:t xml:space="preserve"> all-time high. Driven largely </w:t>
      </w:r>
      <w:r>
        <w:rPr>
          <w:rFonts w:eastAsia="Times New Roman" w:cstheme="minorHAnsi"/>
        </w:rPr>
        <w:t>by the war in Syria, as of 2016 some 65.6 million people</w:t>
      </w:r>
      <w:r w:rsidRPr="00F34A6B">
        <w:rPr>
          <w:rFonts w:eastAsia="Times New Roman" w:cstheme="minorHAnsi"/>
        </w:rPr>
        <w:t xml:space="preserve"> </w:t>
      </w:r>
      <w:r>
        <w:rPr>
          <w:rFonts w:eastAsia="Times New Roman" w:cstheme="minorHAnsi"/>
        </w:rPr>
        <w:t>(over half of whom were female)</w:t>
      </w:r>
      <w:r w:rsidRPr="00F34A6B">
        <w:rPr>
          <w:rFonts w:eastAsia="Times New Roman" w:cstheme="minorHAnsi"/>
        </w:rPr>
        <w:t xml:space="preserve"> had been forcibly displaced by viole</w:t>
      </w:r>
      <w:r>
        <w:rPr>
          <w:rFonts w:eastAsia="Times New Roman" w:cstheme="minorHAnsi"/>
        </w:rPr>
        <w:t>nce, much of which involved SGBV, and other human rights violations</w:t>
      </w:r>
      <w:r w:rsidRPr="00F34A6B">
        <w:rPr>
          <w:rFonts w:eastAsia="Times New Roman" w:cstheme="minorHAnsi"/>
        </w:rPr>
        <w:t>.</w:t>
      </w:r>
      <w:r w:rsidRPr="00F34A6B">
        <w:rPr>
          <w:rStyle w:val="FootnoteReference"/>
          <w:rFonts w:eastAsia="Times New Roman" w:cstheme="minorHAnsi"/>
        </w:rPr>
        <w:footnoteReference w:id="125"/>
      </w:r>
      <w:r>
        <w:rPr>
          <w:rFonts w:eastAsia="Times New Roman" w:cstheme="minorHAnsi"/>
        </w:rPr>
        <w:t xml:space="preserve"> </w:t>
      </w:r>
      <w:r>
        <w:t>The ongoing Syrian conflict</w:t>
      </w:r>
      <w:r w:rsidRPr="003655E9">
        <w:t xml:space="preserve"> has been increasingly marked by tortu</w:t>
      </w:r>
      <w:r>
        <w:t>re and sexual violence being used as</w:t>
      </w:r>
      <w:r w:rsidRPr="003655E9">
        <w:t xml:space="preserve"> weapon</w:t>
      </w:r>
      <w:r>
        <w:t>s</w:t>
      </w:r>
      <w:r w:rsidRPr="003655E9">
        <w:t xml:space="preserve"> of war</w:t>
      </w:r>
      <w:r>
        <w:t>,</w:t>
      </w:r>
      <w:r w:rsidRPr="003655E9">
        <w:t xml:space="preserve"> destroying identity, dignity and the social fabrics of families and communities.</w:t>
      </w:r>
      <w:r w:rsidRPr="003655E9">
        <w:rPr>
          <w:rStyle w:val="FootnoteReference"/>
        </w:rPr>
        <w:footnoteReference w:id="126"/>
      </w:r>
      <w:r>
        <w:t xml:space="preserve"> </w:t>
      </w:r>
      <w:r w:rsidRPr="003655E9">
        <w:t xml:space="preserve">As </w:t>
      </w:r>
      <w:r>
        <w:t>SGBV</w:t>
      </w:r>
      <w:r w:rsidRPr="003655E9">
        <w:t xml:space="preserve"> in Syria </w:t>
      </w:r>
      <w:r>
        <w:t>has escalated</w:t>
      </w:r>
      <w:r w:rsidRPr="003655E9">
        <w:t xml:space="preserve">, the accruing accounts of sexual violence </w:t>
      </w:r>
      <w:r>
        <w:t>atrocities has</w:t>
      </w:r>
      <w:r w:rsidRPr="003655E9">
        <w:t xml:space="preserve"> not gone unnoticed</w:t>
      </w:r>
      <w:r>
        <w:t xml:space="preserve"> by the international community</w:t>
      </w:r>
      <w:r w:rsidRPr="003655E9">
        <w:t xml:space="preserve">. </w:t>
      </w:r>
      <w:r>
        <w:t>I</w:t>
      </w:r>
      <w:r w:rsidRPr="003655E9">
        <w:rPr>
          <w:rFonts w:eastAsia="Times New Roman" w:cs="Times New Roman"/>
        </w:rPr>
        <w:t xml:space="preserve">mpact </w:t>
      </w:r>
      <w:bookmarkStart w:id="12" w:name="_Hlk525569548"/>
      <w:r w:rsidRPr="003655E9">
        <w:rPr>
          <w:rFonts w:eastAsia="Times New Roman" w:cs="Times New Roman"/>
        </w:rPr>
        <w:t xml:space="preserve">assessments </w:t>
      </w:r>
      <w:r>
        <w:rPr>
          <w:rFonts w:eastAsia="Times New Roman" w:cs="Times New Roman"/>
        </w:rPr>
        <w:t xml:space="preserve">on </w:t>
      </w:r>
      <w:r w:rsidRPr="003655E9">
        <w:rPr>
          <w:rFonts w:eastAsia="Times New Roman" w:cs="Times New Roman"/>
        </w:rPr>
        <w:t xml:space="preserve">refugees who have fled the Syrian conflict have </w:t>
      </w:r>
      <w:r>
        <w:rPr>
          <w:rFonts w:eastAsia="Times New Roman" w:cs="Times New Roman"/>
        </w:rPr>
        <w:t>found</w:t>
      </w:r>
      <w:r w:rsidRPr="003655E9">
        <w:rPr>
          <w:rFonts w:eastAsia="Times New Roman" w:cs="Times New Roman"/>
        </w:rPr>
        <w:t xml:space="preserve"> high levels of </w:t>
      </w:r>
      <w:r>
        <w:rPr>
          <w:rFonts w:eastAsia="Times New Roman" w:cs="Times New Roman"/>
        </w:rPr>
        <w:t>SGBV occurring</w:t>
      </w:r>
      <w:r w:rsidRPr="003655E9">
        <w:rPr>
          <w:rFonts w:eastAsia="Times New Roman" w:cs="Times New Roman"/>
        </w:rPr>
        <w:t xml:space="preserve">, specifically rape, assault, </w:t>
      </w:r>
      <w:r>
        <w:rPr>
          <w:rFonts w:eastAsia="Times New Roman" w:cs="Times New Roman"/>
        </w:rPr>
        <w:t>intimate partner violence</w:t>
      </w:r>
      <w:r w:rsidRPr="003655E9">
        <w:rPr>
          <w:rFonts w:eastAsia="Times New Roman" w:cs="Times New Roman"/>
        </w:rPr>
        <w:t>, e</w:t>
      </w:r>
      <w:r>
        <w:rPr>
          <w:rFonts w:eastAsia="Times New Roman" w:cs="Times New Roman"/>
        </w:rPr>
        <w:t>arly marriage and survival sex</w:t>
      </w:r>
      <w:r w:rsidRPr="003655E9">
        <w:rPr>
          <w:rFonts w:eastAsia="Times New Roman" w:cs="Times New Roman"/>
        </w:rPr>
        <w:t>.</w:t>
      </w:r>
      <w:r w:rsidRPr="003655E9">
        <w:rPr>
          <w:rStyle w:val="FootnoteReference"/>
          <w:rFonts w:eastAsia="Times New Roman" w:cs="Times New Roman"/>
        </w:rPr>
        <w:footnoteReference w:id="127"/>
      </w:r>
      <w:r>
        <w:rPr>
          <w:rFonts w:eastAsia="Times New Roman" w:cs="Times New Roman"/>
        </w:rPr>
        <w:t xml:space="preserve"> </w:t>
      </w:r>
      <w:bookmarkEnd w:id="12"/>
      <w:r w:rsidRPr="003655E9">
        <w:t xml:space="preserve">The response to this and other </w:t>
      </w:r>
      <w:r>
        <w:t xml:space="preserve">recent </w:t>
      </w:r>
      <w:r w:rsidRPr="003655E9">
        <w:t xml:space="preserve">conflict-related gender atrocities has been a growing, yet rhetorical, global commitment to </w:t>
      </w:r>
      <w:r>
        <w:t>reducing</w:t>
      </w:r>
      <w:r w:rsidRPr="003655E9">
        <w:t xml:space="preserve"> </w:t>
      </w:r>
      <w:r>
        <w:t>SGBV</w:t>
      </w:r>
      <w:r w:rsidRPr="003655E9">
        <w:t xml:space="preserve"> in </w:t>
      </w:r>
      <w:r>
        <w:t>both the conflict and refugee context</w:t>
      </w:r>
      <w:r w:rsidRPr="003655E9">
        <w:t>.</w:t>
      </w:r>
      <w:r w:rsidRPr="003655E9">
        <w:rPr>
          <w:rStyle w:val="FootnoteReference"/>
        </w:rPr>
        <w:footnoteReference w:id="128"/>
      </w:r>
    </w:p>
    <w:p w14:paraId="4CC6C95C" w14:textId="77777777" w:rsidR="00C1042E" w:rsidRDefault="00C1042E" w:rsidP="00C1042E">
      <w:pPr>
        <w:jc w:val="both"/>
      </w:pPr>
    </w:p>
    <w:p w14:paraId="0127AD53" w14:textId="77777777" w:rsidR="00C1042E" w:rsidRPr="003655E9" w:rsidRDefault="00C1042E" w:rsidP="00C1042E">
      <w:pPr>
        <w:jc w:val="both"/>
        <w:rPr>
          <w:rFonts w:eastAsia="Times New Roman" w:cs="Times New Roman"/>
        </w:rPr>
      </w:pPr>
      <w:r w:rsidRPr="003655E9">
        <w:rPr>
          <w:rFonts w:eastAsia="Times New Roman" w:cs="Times New Roman"/>
        </w:rPr>
        <w:lastRenderedPageBreak/>
        <w:t>The interconnections between migration,</w:t>
      </w:r>
      <w:r>
        <w:rPr>
          <w:rFonts w:eastAsia="Times New Roman" w:cs="Times New Roman"/>
        </w:rPr>
        <w:t xml:space="preserve"> gender, insecurity and</w:t>
      </w:r>
      <w:r w:rsidRPr="003655E9">
        <w:rPr>
          <w:rFonts w:eastAsia="Times New Roman" w:cs="Times New Roman"/>
        </w:rPr>
        <w:t xml:space="preserve"> violence </w:t>
      </w:r>
      <w:r>
        <w:rPr>
          <w:rFonts w:eastAsia="Times New Roman" w:cs="Times New Roman"/>
        </w:rPr>
        <w:t>which exist in all conflict regions, apply also to the Syrian conflict</w:t>
      </w:r>
      <w:r w:rsidRPr="003655E9">
        <w:rPr>
          <w:rFonts w:eastAsia="Times New Roman" w:cs="Times New Roman"/>
        </w:rPr>
        <w:t xml:space="preserve">. Different push and pull factors, migration control regimes, as well as social and economic conditions in countries of origin, transit and destination create varying types of insecurity and </w:t>
      </w:r>
      <w:r>
        <w:rPr>
          <w:rFonts w:eastAsia="Times New Roman" w:cs="Times New Roman"/>
        </w:rPr>
        <w:t>SGBV</w:t>
      </w:r>
      <w:r w:rsidRPr="003655E9">
        <w:rPr>
          <w:rFonts w:eastAsia="Times New Roman" w:cs="Times New Roman"/>
        </w:rPr>
        <w:t xml:space="preserve"> for </w:t>
      </w:r>
      <w:r>
        <w:rPr>
          <w:rFonts w:eastAsia="Times New Roman" w:cs="Times New Roman"/>
        </w:rPr>
        <w:t>both women and men</w:t>
      </w:r>
      <w:r w:rsidRPr="003655E9">
        <w:rPr>
          <w:rFonts w:eastAsia="Times New Roman" w:cs="Times New Roman"/>
        </w:rPr>
        <w:t xml:space="preserve">, depending on their social and economic positions and the </w:t>
      </w:r>
      <w:r>
        <w:rPr>
          <w:rFonts w:eastAsia="Times New Roman" w:cs="Times New Roman"/>
        </w:rPr>
        <w:t xml:space="preserve">power </w:t>
      </w:r>
      <w:r w:rsidRPr="003655E9">
        <w:rPr>
          <w:rFonts w:eastAsia="Times New Roman" w:cs="Times New Roman"/>
        </w:rPr>
        <w:t>relations between them.</w:t>
      </w:r>
      <w:r w:rsidRPr="003655E9">
        <w:rPr>
          <w:rStyle w:val="FootnoteReference"/>
          <w:rFonts w:eastAsia="Times New Roman" w:cs="Times New Roman"/>
        </w:rPr>
        <w:footnoteReference w:id="129"/>
      </w:r>
      <w:r>
        <w:rPr>
          <w:rFonts w:eastAsia="Times New Roman" w:cs="Times New Roman"/>
        </w:rPr>
        <w:t xml:space="preserve"> This m</w:t>
      </w:r>
      <w:r w:rsidRPr="003655E9">
        <w:rPr>
          <w:rFonts w:eastAsia="Times New Roman" w:cs="Times New Roman"/>
        </w:rPr>
        <w:t xml:space="preserve">igration–violence </w:t>
      </w:r>
      <w:r>
        <w:rPr>
          <w:rFonts w:eastAsia="Times New Roman" w:cs="Times New Roman"/>
        </w:rPr>
        <w:t xml:space="preserve">nexus is gendered with </w:t>
      </w:r>
      <w:r w:rsidRPr="003655E9">
        <w:rPr>
          <w:rFonts w:eastAsia="Times New Roman" w:cs="Times New Roman"/>
        </w:rPr>
        <w:t>women</w:t>
      </w:r>
      <w:r>
        <w:rPr>
          <w:rFonts w:eastAsia="Times New Roman" w:cs="Times New Roman"/>
        </w:rPr>
        <w:t xml:space="preserve"> and men</w:t>
      </w:r>
      <w:r w:rsidRPr="003655E9">
        <w:rPr>
          <w:rFonts w:eastAsia="Times New Roman" w:cs="Times New Roman"/>
        </w:rPr>
        <w:t xml:space="preserve"> affected in different ways and the violence they </w:t>
      </w:r>
      <w:r>
        <w:rPr>
          <w:rFonts w:eastAsia="Times New Roman" w:cs="Times New Roman"/>
        </w:rPr>
        <w:t xml:space="preserve">experience </w:t>
      </w:r>
      <w:r w:rsidRPr="003655E9">
        <w:rPr>
          <w:rFonts w:eastAsia="Times New Roman" w:cs="Times New Roman"/>
        </w:rPr>
        <w:t xml:space="preserve">related to their </w:t>
      </w:r>
      <w:r>
        <w:rPr>
          <w:rFonts w:eastAsia="Times New Roman" w:cs="Times New Roman"/>
        </w:rPr>
        <w:t xml:space="preserve">gendered </w:t>
      </w:r>
      <w:r w:rsidRPr="003655E9">
        <w:rPr>
          <w:rFonts w:eastAsia="Times New Roman" w:cs="Times New Roman"/>
        </w:rPr>
        <w:t>position.</w:t>
      </w:r>
      <w:r w:rsidRPr="003655E9">
        <w:rPr>
          <w:rStyle w:val="FootnoteReference"/>
          <w:rFonts w:eastAsia="Times New Roman" w:cs="Times New Roman"/>
        </w:rPr>
        <w:footnoteReference w:id="130"/>
      </w:r>
      <w:r>
        <w:rPr>
          <w:rFonts w:eastAsia="Times New Roman" w:cs="Times New Roman"/>
        </w:rPr>
        <w:t xml:space="preserve"> A further widespread consequence of the Syrian Refugee Crisis is that forced m</w:t>
      </w:r>
      <w:r w:rsidRPr="003655E9">
        <w:rPr>
          <w:rFonts w:eastAsia="Times New Roman" w:cs="Times New Roman"/>
        </w:rPr>
        <w:t xml:space="preserve">igration can also lead to changes in relations of power and gender within families, and in </w:t>
      </w:r>
      <w:r>
        <w:rPr>
          <w:rFonts w:eastAsia="Times New Roman" w:cs="Times New Roman"/>
        </w:rPr>
        <w:t>many</w:t>
      </w:r>
      <w:r w:rsidRPr="003655E9">
        <w:rPr>
          <w:rFonts w:eastAsia="Times New Roman" w:cs="Times New Roman"/>
        </w:rPr>
        <w:t xml:space="preserve"> cases to increasing incidences of domestic violence or to an exacerbation of existing domestic and intra-familial violence.</w:t>
      </w:r>
      <w:r w:rsidRPr="003655E9">
        <w:rPr>
          <w:rStyle w:val="FootnoteReference"/>
          <w:rFonts w:eastAsia="Times New Roman" w:cs="Times New Roman"/>
        </w:rPr>
        <w:footnoteReference w:id="131"/>
      </w:r>
    </w:p>
    <w:p w14:paraId="6A30EB51" w14:textId="77777777" w:rsidR="00C1042E" w:rsidRDefault="00C1042E" w:rsidP="00C1042E">
      <w:pPr>
        <w:jc w:val="both"/>
        <w:rPr>
          <w:b/>
        </w:rPr>
      </w:pPr>
    </w:p>
    <w:p w14:paraId="71C07C08" w14:textId="77777777" w:rsidR="00C1042E" w:rsidRDefault="00C1042E" w:rsidP="00C1042E">
      <w:pPr>
        <w:jc w:val="both"/>
        <w:rPr>
          <w:b/>
        </w:rPr>
      </w:pPr>
    </w:p>
    <w:p w14:paraId="00634302" w14:textId="77777777" w:rsidR="00C1042E" w:rsidRPr="00CD3BF6" w:rsidRDefault="00C1042E" w:rsidP="00C1042E">
      <w:pPr>
        <w:jc w:val="both"/>
        <w:rPr>
          <w:rFonts w:eastAsia="Times New Roman" w:cs="Times New Roman"/>
          <w:b/>
          <w:i/>
        </w:rPr>
      </w:pPr>
      <w:r w:rsidRPr="00CD3BF6">
        <w:rPr>
          <w:rFonts w:eastAsia="Times New Roman" w:cs="Times New Roman"/>
          <w:b/>
          <w:i/>
        </w:rPr>
        <w:t>Intimate Partner Violence</w:t>
      </w:r>
    </w:p>
    <w:p w14:paraId="7B0E6031" w14:textId="77777777" w:rsidR="00C1042E" w:rsidRDefault="00C1042E" w:rsidP="00C1042E">
      <w:pPr>
        <w:jc w:val="both"/>
        <w:rPr>
          <w:rFonts w:eastAsia="Times New Roman" w:cs="Times New Roman"/>
        </w:rPr>
      </w:pPr>
    </w:p>
    <w:p w14:paraId="718D280B" w14:textId="77777777" w:rsidR="00C1042E" w:rsidRDefault="00C1042E" w:rsidP="00C1042E">
      <w:pPr>
        <w:jc w:val="both"/>
        <w:rPr>
          <w:rFonts w:eastAsia="Times New Roman" w:cs="Times New Roman"/>
        </w:rPr>
      </w:pPr>
      <w:r w:rsidRPr="003655E9">
        <w:rPr>
          <w:rFonts w:eastAsia="Times New Roman" w:cs="Times New Roman"/>
        </w:rPr>
        <w:t>I</w:t>
      </w:r>
      <w:r>
        <w:rPr>
          <w:rFonts w:eastAsia="Times New Roman" w:cs="Times New Roman"/>
        </w:rPr>
        <w:t xml:space="preserve">ntimate </w:t>
      </w:r>
      <w:r w:rsidRPr="003655E9">
        <w:rPr>
          <w:rFonts w:eastAsia="Times New Roman" w:cs="Times New Roman"/>
        </w:rPr>
        <w:t>P</w:t>
      </w:r>
      <w:r>
        <w:rPr>
          <w:rFonts w:eastAsia="Times New Roman" w:cs="Times New Roman"/>
        </w:rPr>
        <w:t xml:space="preserve">artner </w:t>
      </w:r>
      <w:r w:rsidRPr="003655E9">
        <w:rPr>
          <w:rFonts w:eastAsia="Times New Roman" w:cs="Times New Roman"/>
        </w:rPr>
        <w:t>V</w:t>
      </w:r>
      <w:r>
        <w:rPr>
          <w:rFonts w:eastAsia="Times New Roman" w:cs="Times New Roman"/>
        </w:rPr>
        <w:t>iolence</w:t>
      </w:r>
      <w:r w:rsidRPr="003655E9">
        <w:rPr>
          <w:rFonts w:eastAsia="Times New Roman" w:cs="Times New Roman"/>
        </w:rPr>
        <w:t xml:space="preserve"> is a form of social control </w:t>
      </w:r>
      <w:r>
        <w:rPr>
          <w:rFonts w:eastAsia="Times New Roman" w:cs="Times New Roman"/>
        </w:rPr>
        <w:t>arising from</w:t>
      </w:r>
      <w:r w:rsidRPr="003655E9">
        <w:rPr>
          <w:rFonts w:eastAsia="Times New Roman" w:cs="Times New Roman"/>
        </w:rPr>
        <w:t xml:space="preserve"> hierarchical systems of power and oppression </w:t>
      </w:r>
      <w:r>
        <w:rPr>
          <w:rFonts w:eastAsia="Times New Roman" w:cs="Times New Roman"/>
        </w:rPr>
        <w:t>premised upon</w:t>
      </w:r>
      <w:r w:rsidRPr="003655E9">
        <w:rPr>
          <w:rFonts w:eastAsia="Times New Roman" w:cs="Times New Roman"/>
        </w:rPr>
        <w:t xml:space="preserve"> </w:t>
      </w:r>
      <w:r>
        <w:rPr>
          <w:rFonts w:eastAsia="Times New Roman" w:cs="Times New Roman"/>
        </w:rPr>
        <w:t>gender, race and</w:t>
      </w:r>
      <w:r w:rsidRPr="003655E9">
        <w:rPr>
          <w:rFonts w:eastAsia="Times New Roman" w:cs="Times New Roman"/>
        </w:rPr>
        <w:t xml:space="preserve"> sexual orientation. Within refugee communities </w:t>
      </w:r>
      <w:r>
        <w:rPr>
          <w:rFonts w:eastAsia="Times New Roman" w:cs="Times New Roman"/>
        </w:rPr>
        <w:t>intimate partner violence</w:t>
      </w:r>
      <w:r w:rsidRPr="003655E9">
        <w:rPr>
          <w:rFonts w:eastAsia="Times New Roman" w:cs="Times New Roman"/>
        </w:rPr>
        <w:t xml:space="preserve"> often increases significantly and brings extra complexities and difficulties</w:t>
      </w:r>
      <w:r>
        <w:rPr>
          <w:rFonts w:eastAsia="Times New Roman" w:cs="Times New Roman"/>
        </w:rPr>
        <w:t xml:space="preserve"> to the refugee experience</w:t>
      </w:r>
      <w:r w:rsidRPr="003655E9">
        <w:rPr>
          <w:rFonts w:eastAsia="Times New Roman" w:cs="Times New Roman"/>
        </w:rPr>
        <w:t>.</w:t>
      </w:r>
      <w:r w:rsidRPr="003655E9">
        <w:rPr>
          <w:rStyle w:val="FootnoteReference"/>
          <w:rFonts w:eastAsia="Times New Roman" w:cs="Times New Roman"/>
        </w:rPr>
        <w:footnoteReference w:id="132"/>
      </w:r>
      <w:r w:rsidRPr="003655E9">
        <w:rPr>
          <w:rFonts w:eastAsia="Times New Roman" w:cs="Times New Roman"/>
        </w:rPr>
        <w:t xml:space="preserve"> </w:t>
      </w:r>
    </w:p>
    <w:p w14:paraId="4F4619F8" w14:textId="77777777" w:rsidR="00C1042E" w:rsidRDefault="00C1042E" w:rsidP="00C1042E">
      <w:pPr>
        <w:jc w:val="both"/>
        <w:rPr>
          <w:rFonts w:eastAsia="Times New Roman" w:cs="Times New Roman"/>
        </w:rPr>
      </w:pPr>
    </w:p>
    <w:p w14:paraId="4F5F0F31" w14:textId="719B02BB" w:rsidR="00C1042E" w:rsidRDefault="00C1042E" w:rsidP="00C1042E">
      <w:pPr>
        <w:jc w:val="both"/>
        <w:rPr>
          <w:rFonts w:eastAsia="Times New Roman" w:cs="Times New Roman"/>
        </w:rPr>
      </w:pPr>
      <w:r w:rsidRPr="003655E9">
        <w:rPr>
          <w:rFonts w:eastAsia="Times New Roman" w:cs="Times New Roman"/>
        </w:rPr>
        <w:t xml:space="preserve">For </w:t>
      </w:r>
      <w:r>
        <w:rPr>
          <w:rFonts w:eastAsia="Times New Roman" w:cs="Times New Roman"/>
        </w:rPr>
        <w:t>refugees from Syria</w:t>
      </w:r>
      <w:r w:rsidRPr="003655E9">
        <w:rPr>
          <w:rFonts w:eastAsia="Times New Roman" w:cs="Times New Roman"/>
        </w:rPr>
        <w:t xml:space="preserve"> the changes in lifestyle and mobility </w:t>
      </w:r>
      <w:r>
        <w:rPr>
          <w:rFonts w:eastAsia="Times New Roman" w:cs="Times New Roman"/>
        </w:rPr>
        <w:t xml:space="preserve">caused by the conflict </w:t>
      </w:r>
      <w:r w:rsidRPr="003655E9">
        <w:rPr>
          <w:rFonts w:eastAsia="Times New Roman" w:cs="Times New Roman"/>
        </w:rPr>
        <w:t xml:space="preserve">have forced a repositioning of identity, and consequently a redistribution of power and </w:t>
      </w:r>
      <w:proofErr w:type="spellStart"/>
      <w:r w:rsidRPr="003655E9">
        <w:rPr>
          <w:rFonts w:eastAsia="Times New Roman" w:cs="Times New Roman"/>
        </w:rPr>
        <w:t>behaviour</w:t>
      </w:r>
      <w:proofErr w:type="spellEnd"/>
      <w:r w:rsidRPr="003655E9">
        <w:rPr>
          <w:rFonts w:eastAsia="Times New Roman" w:cs="Times New Roman"/>
        </w:rPr>
        <w:t xml:space="preserve">. </w:t>
      </w:r>
      <w:r>
        <w:rPr>
          <w:rFonts w:eastAsia="Times New Roman" w:cs="Times New Roman"/>
        </w:rPr>
        <w:t xml:space="preserve">This situation </w:t>
      </w:r>
      <w:r w:rsidRPr="003655E9">
        <w:rPr>
          <w:rFonts w:eastAsia="Times New Roman" w:cs="Times New Roman"/>
        </w:rPr>
        <w:t xml:space="preserve">has created </w:t>
      </w:r>
      <w:r>
        <w:rPr>
          <w:rFonts w:eastAsia="Times New Roman" w:cs="Times New Roman"/>
        </w:rPr>
        <w:t xml:space="preserve">not only </w:t>
      </w:r>
      <w:r w:rsidRPr="003655E9">
        <w:rPr>
          <w:rFonts w:eastAsia="Times New Roman" w:cs="Times New Roman"/>
        </w:rPr>
        <w:t xml:space="preserve">trauma for individuals </w:t>
      </w:r>
      <w:r>
        <w:rPr>
          <w:rFonts w:eastAsia="Times New Roman" w:cs="Times New Roman"/>
        </w:rPr>
        <w:t>but</w:t>
      </w:r>
      <w:r w:rsidRPr="003655E9">
        <w:rPr>
          <w:rFonts w:eastAsia="Times New Roman" w:cs="Times New Roman"/>
        </w:rPr>
        <w:t xml:space="preserve"> challenged </w:t>
      </w:r>
      <w:r>
        <w:rPr>
          <w:rFonts w:eastAsia="Times New Roman" w:cs="Times New Roman"/>
        </w:rPr>
        <w:t xml:space="preserve">their </w:t>
      </w:r>
      <w:r w:rsidRPr="003655E9">
        <w:rPr>
          <w:rFonts w:eastAsia="Times New Roman" w:cs="Times New Roman"/>
        </w:rPr>
        <w:t xml:space="preserve">traditional gendered </w:t>
      </w:r>
      <w:r>
        <w:rPr>
          <w:rFonts w:eastAsia="Times New Roman" w:cs="Times New Roman"/>
        </w:rPr>
        <w:t xml:space="preserve">family </w:t>
      </w:r>
      <w:r w:rsidRPr="003655E9">
        <w:rPr>
          <w:rFonts w:eastAsia="Times New Roman" w:cs="Times New Roman"/>
        </w:rPr>
        <w:t xml:space="preserve">life. </w:t>
      </w:r>
      <w:r>
        <w:rPr>
          <w:rFonts w:eastAsia="Times New Roman" w:cs="Times New Roman"/>
        </w:rPr>
        <w:t>Syrian society prior to the crisis was</w:t>
      </w:r>
      <w:r w:rsidRPr="003655E9">
        <w:rPr>
          <w:rFonts w:eastAsia="Times New Roman" w:cs="Times New Roman"/>
        </w:rPr>
        <w:t xml:space="preserve"> </w:t>
      </w:r>
      <w:r>
        <w:rPr>
          <w:rFonts w:eastAsia="Times New Roman" w:cs="Times New Roman"/>
        </w:rPr>
        <w:t xml:space="preserve">firmly </w:t>
      </w:r>
      <w:r w:rsidRPr="003655E9">
        <w:rPr>
          <w:rFonts w:eastAsia="Times New Roman" w:cs="Times New Roman"/>
        </w:rPr>
        <w:t>patriarchal</w:t>
      </w:r>
      <w:r>
        <w:rPr>
          <w:rFonts w:eastAsia="Times New Roman" w:cs="Times New Roman"/>
        </w:rPr>
        <w:t>, d</w:t>
      </w:r>
      <w:r w:rsidRPr="003655E9">
        <w:rPr>
          <w:rFonts w:eastAsia="Times New Roman" w:cs="Times New Roman"/>
        </w:rPr>
        <w:t xml:space="preserve">espite </w:t>
      </w:r>
      <w:r>
        <w:rPr>
          <w:rFonts w:eastAsia="Times New Roman" w:cs="Times New Roman"/>
        </w:rPr>
        <w:t xml:space="preserve">some </w:t>
      </w:r>
      <w:r w:rsidRPr="003655E9">
        <w:rPr>
          <w:rFonts w:eastAsia="Times New Roman" w:cs="Times New Roman"/>
        </w:rPr>
        <w:t xml:space="preserve">gains made by women in the </w:t>
      </w:r>
      <w:r>
        <w:rPr>
          <w:rFonts w:eastAsia="Times New Roman" w:cs="Times New Roman"/>
        </w:rPr>
        <w:t xml:space="preserve">previous </w:t>
      </w:r>
      <w:r w:rsidRPr="003655E9">
        <w:rPr>
          <w:rFonts w:eastAsia="Times New Roman" w:cs="Times New Roman"/>
        </w:rPr>
        <w:t>twenty years.</w:t>
      </w:r>
      <w:r>
        <w:rPr>
          <w:rFonts w:eastAsia="Times New Roman" w:cs="Times New Roman"/>
        </w:rPr>
        <w:t xml:space="preserve"> </w:t>
      </w:r>
      <w:r w:rsidRPr="003655E9">
        <w:rPr>
          <w:rFonts w:eastAsia="Times New Roman" w:cs="Times New Roman"/>
        </w:rPr>
        <w:t xml:space="preserve">There has </w:t>
      </w:r>
      <w:r>
        <w:rPr>
          <w:rFonts w:eastAsia="Times New Roman" w:cs="Times New Roman"/>
        </w:rPr>
        <w:t xml:space="preserve">however </w:t>
      </w:r>
      <w:r w:rsidRPr="003655E9">
        <w:rPr>
          <w:rFonts w:eastAsia="Times New Roman" w:cs="Times New Roman"/>
        </w:rPr>
        <w:t xml:space="preserve">been a significant shift in the gender dynamics </w:t>
      </w:r>
      <w:r>
        <w:rPr>
          <w:rFonts w:eastAsia="Times New Roman" w:cs="Times New Roman"/>
        </w:rPr>
        <w:t xml:space="preserve">in response to the current conflict </w:t>
      </w:r>
      <w:r w:rsidRPr="003655E9">
        <w:rPr>
          <w:rFonts w:eastAsia="Times New Roman" w:cs="Times New Roman"/>
        </w:rPr>
        <w:t xml:space="preserve">and one area in which this has manifested is </w:t>
      </w:r>
      <w:r>
        <w:rPr>
          <w:rFonts w:eastAsia="Times New Roman" w:cs="Times New Roman"/>
        </w:rPr>
        <w:t>intimate partner violence</w:t>
      </w:r>
      <w:r w:rsidRPr="003655E9">
        <w:rPr>
          <w:rFonts w:eastAsia="Times New Roman" w:cs="Times New Roman"/>
        </w:rPr>
        <w:t xml:space="preserve">. For many </w:t>
      </w:r>
      <w:r>
        <w:rPr>
          <w:rFonts w:eastAsia="Times New Roman" w:cs="Times New Roman"/>
        </w:rPr>
        <w:t xml:space="preserve">Syrian </w:t>
      </w:r>
      <w:r w:rsidRPr="003655E9">
        <w:rPr>
          <w:rFonts w:eastAsia="Times New Roman" w:cs="Times New Roman"/>
        </w:rPr>
        <w:t>men</w:t>
      </w:r>
      <w:r>
        <w:rPr>
          <w:rFonts w:eastAsia="Times New Roman" w:cs="Times New Roman"/>
        </w:rPr>
        <w:t>,</w:t>
      </w:r>
      <w:r w:rsidRPr="003655E9">
        <w:rPr>
          <w:rFonts w:eastAsia="Times New Roman" w:cs="Times New Roman"/>
        </w:rPr>
        <w:t xml:space="preserve"> this change has triggered hyper masculine </w:t>
      </w:r>
      <w:proofErr w:type="spellStart"/>
      <w:r w:rsidRPr="003655E9">
        <w:rPr>
          <w:rFonts w:eastAsia="Times New Roman" w:cs="Times New Roman"/>
        </w:rPr>
        <w:t>behaviour</w:t>
      </w:r>
      <w:proofErr w:type="spellEnd"/>
      <w:r w:rsidRPr="003655E9">
        <w:rPr>
          <w:rFonts w:eastAsia="Times New Roman" w:cs="Times New Roman"/>
        </w:rPr>
        <w:t xml:space="preserve"> </w:t>
      </w:r>
      <w:r>
        <w:rPr>
          <w:rFonts w:eastAsia="Times New Roman" w:cs="Times New Roman"/>
        </w:rPr>
        <w:t xml:space="preserve">within the family </w:t>
      </w:r>
      <w:r w:rsidRPr="003655E9">
        <w:rPr>
          <w:rFonts w:eastAsia="Times New Roman" w:cs="Times New Roman"/>
        </w:rPr>
        <w:t xml:space="preserve">in an attempt to reassert </w:t>
      </w:r>
      <w:r>
        <w:rPr>
          <w:rFonts w:eastAsia="Times New Roman" w:cs="Times New Roman"/>
        </w:rPr>
        <w:t>traditional</w:t>
      </w:r>
      <w:r w:rsidRPr="003655E9">
        <w:rPr>
          <w:rFonts w:eastAsia="Times New Roman" w:cs="Times New Roman"/>
        </w:rPr>
        <w:t xml:space="preserve"> gender roles. However, in reasserting these patriarchal roles, violence is often directed toward</w:t>
      </w:r>
      <w:r w:rsidR="00A10BA5">
        <w:rPr>
          <w:rFonts w:eastAsia="Times New Roman" w:cs="Times New Roman"/>
        </w:rPr>
        <w:t>s</w:t>
      </w:r>
      <w:r w:rsidRPr="003655E9">
        <w:rPr>
          <w:rFonts w:eastAsia="Times New Roman" w:cs="Times New Roman"/>
        </w:rPr>
        <w:t xml:space="preserve"> women and children</w:t>
      </w:r>
      <w:r>
        <w:rPr>
          <w:rFonts w:eastAsia="Times New Roman" w:cs="Times New Roman"/>
        </w:rPr>
        <w:t xml:space="preserve"> within the family unit</w:t>
      </w:r>
      <w:r w:rsidRPr="003655E9">
        <w:rPr>
          <w:rFonts w:eastAsia="Times New Roman" w:cs="Times New Roman"/>
        </w:rPr>
        <w:t>.</w:t>
      </w:r>
      <w:r w:rsidRPr="003655E9">
        <w:rPr>
          <w:rStyle w:val="FootnoteReference"/>
          <w:rFonts w:eastAsia="Times New Roman" w:cs="Times New Roman"/>
        </w:rPr>
        <w:footnoteReference w:id="133"/>
      </w:r>
      <w:r w:rsidRPr="003655E9">
        <w:rPr>
          <w:rFonts w:eastAsia="Times New Roman" w:cs="Times New Roman"/>
        </w:rPr>
        <w:t xml:space="preserve"> </w:t>
      </w:r>
    </w:p>
    <w:p w14:paraId="0CD6AB50" w14:textId="77777777" w:rsidR="00C1042E" w:rsidRDefault="00C1042E" w:rsidP="00C1042E">
      <w:pPr>
        <w:jc w:val="both"/>
        <w:rPr>
          <w:rFonts w:eastAsia="Times New Roman" w:cs="Times New Roman"/>
        </w:rPr>
      </w:pPr>
    </w:p>
    <w:p w14:paraId="2276CDBE" w14:textId="77777777" w:rsidR="00C1042E" w:rsidRPr="003655E9" w:rsidRDefault="00C1042E" w:rsidP="00C1042E">
      <w:pPr>
        <w:jc w:val="both"/>
        <w:rPr>
          <w:rFonts w:eastAsia="Times New Roman" w:cs="Times New Roman"/>
        </w:rPr>
      </w:pPr>
      <w:proofErr w:type="spellStart"/>
      <w:r w:rsidRPr="003655E9">
        <w:rPr>
          <w:rFonts w:eastAsia="Times New Roman" w:cs="Times New Roman"/>
        </w:rPr>
        <w:t>Medecins</w:t>
      </w:r>
      <w:proofErr w:type="spellEnd"/>
      <w:r w:rsidRPr="003655E9">
        <w:rPr>
          <w:rFonts w:eastAsia="Times New Roman" w:cs="Times New Roman"/>
        </w:rPr>
        <w:t xml:space="preserve"> Sans </w:t>
      </w:r>
      <w:proofErr w:type="spellStart"/>
      <w:r w:rsidRPr="003655E9">
        <w:rPr>
          <w:rFonts w:eastAsia="Times New Roman" w:cs="Times New Roman"/>
        </w:rPr>
        <w:t>Frontières</w:t>
      </w:r>
      <w:proofErr w:type="spellEnd"/>
      <w:r w:rsidRPr="003655E9">
        <w:rPr>
          <w:rFonts w:eastAsia="Times New Roman" w:cs="Times New Roman"/>
        </w:rPr>
        <w:t xml:space="preserve"> </w:t>
      </w:r>
      <w:r>
        <w:rPr>
          <w:rFonts w:eastAsia="Times New Roman" w:cs="Times New Roman"/>
        </w:rPr>
        <w:t xml:space="preserve">has </w:t>
      </w:r>
      <w:r w:rsidRPr="003655E9">
        <w:rPr>
          <w:rFonts w:eastAsia="Times New Roman" w:cs="Times New Roman"/>
        </w:rPr>
        <w:t xml:space="preserve">reported </w:t>
      </w:r>
      <w:r>
        <w:rPr>
          <w:rFonts w:eastAsia="Times New Roman" w:cs="Times New Roman"/>
        </w:rPr>
        <w:t xml:space="preserve">widespread </w:t>
      </w:r>
      <w:r w:rsidRPr="003655E9">
        <w:rPr>
          <w:rFonts w:eastAsia="Times New Roman" w:cs="Times New Roman"/>
        </w:rPr>
        <w:t xml:space="preserve">cases of both psychological and physical </w:t>
      </w:r>
      <w:r>
        <w:rPr>
          <w:rFonts w:eastAsia="Times New Roman" w:cs="Times New Roman"/>
        </w:rPr>
        <w:t>violence within Syrian refugee</w:t>
      </w:r>
      <w:r w:rsidRPr="003655E9">
        <w:rPr>
          <w:rFonts w:eastAsia="Times New Roman" w:cs="Times New Roman"/>
        </w:rPr>
        <w:t xml:space="preserve"> families, </w:t>
      </w:r>
      <w:r>
        <w:rPr>
          <w:rFonts w:eastAsia="Times New Roman" w:cs="Times New Roman"/>
        </w:rPr>
        <w:t>with</w:t>
      </w:r>
      <w:r w:rsidRPr="003655E9">
        <w:rPr>
          <w:rFonts w:eastAsia="Times New Roman" w:cs="Times New Roman"/>
        </w:rPr>
        <w:t xml:space="preserve"> </w:t>
      </w:r>
      <w:r>
        <w:rPr>
          <w:rFonts w:eastAsia="Times New Roman" w:cs="Times New Roman"/>
        </w:rPr>
        <w:t>many refugee women recounting how</w:t>
      </w:r>
      <w:r w:rsidRPr="003655E9">
        <w:rPr>
          <w:rFonts w:eastAsia="Times New Roman" w:cs="Times New Roman"/>
        </w:rPr>
        <w:t xml:space="preserve"> they were victims of violence from their husbands during their </w:t>
      </w:r>
      <w:r>
        <w:rPr>
          <w:rFonts w:eastAsia="Times New Roman" w:cs="Times New Roman"/>
        </w:rPr>
        <w:t>refugee journey</w:t>
      </w:r>
      <w:r w:rsidRPr="003655E9">
        <w:rPr>
          <w:rFonts w:eastAsia="Times New Roman" w:cs="Times New Roman"/>
        </w:rPr>
        <w:t>.</w:t>
      </w:r>
      <w:r>
        <w:rPr>
          <w:rStyle w:val="FootnoteReference"/>
          <w:rFonts w:eastAsia="Times New Roman" w:cs="Times New Roman"/>
        </w:rPr>
        <w:footnoteReference w:id="134"/>
      </w:r>
      <w:r w:rsidRPr="003655E9">
        <w:rPr>
          <w:rFonts w:eastAsia="Times New Roman" w:cs="Times New Roman"/>
        </w:rPr>
        <w:t xml:space="preserve"> These women suffered </w:t>
      </w:r>
      <w:r>
        <w:rPr>
          <w:rFonts w:eastAsia="Times New Roman" w:cs="Times New Roman"/>
        </w:rPr>
        <w:t xml:space="preserve">both </w:t>
      </w:r>
      <w:r w:rsidRPr="003655E9">
        <w:rPr>
          <w:rFonts w:eastAsia="Times New Roman" w:cs="Times New Roman"/>
        </w:rPr>
        <w:t>the insecurities of their journey and</w:t>
      </w:r>
      <w:r>
        <w:rPr>
          <w:rFonts w:eastAsia="Times New Roman" w:cs="Times New Roman"/>
        </w:rPr>
        <w:t xml:space="preserve"> violence at the hands of</w:t>
      </w:r>
      <w:r w:rsidRPr="003655E9">
        <w:rPr>
          <w:rFonts w:eastAsia="Times New Roman" w:cs="Times New Roman"/>
        </w:rPr>
        <w:t xml:space="preserve"> their own husbands, who </w:t>
      </w:r>
      <w:r>
        <w:rPr>
          <w:rFonts w:eastAsia="Times New Roman" w:cs="Times New Roman"/>
        </w:rPr>
        <w:t xml:space="preserve">simultaneously protected them </w:t>
      </w:r>
      <w:r w:rsidRPr="003655E9">
        <w:rPr>
          <w:rFonts w:eastAsia="Times New Roman" w:cs="Times New Roman"/>
        </w:rPr>
        <w:t xml:space="preserve">but also </w:t>
      </w:r>
      <w:r>
        <w:rPr>
          <w:rFonts w:eastAsia="Times New Roman" w:cs="Times New Roman"/>
        </w:rPr>
        <w:t>presented</w:t>
      </w:r>
      <w:r w:rsidRPr="003655E9">
        <w:rPr>
          <w:rFonts w:eastAsia="Times New Roman" w:cs="Times New Roman"/>
        </w:rPr>
        <w:t xml:space="preserve"> a threat. </w:t>
      </w:r>
      <w:r>
        <w:rPr>
          <w:rFonts w:eastAsia="Times New Roman" w:cs="Times New Roman"/>
        </w:rPr>
        <w:t>Female refugees</w:t>
      </w:r>
      <w:r w:rsidRPr="003655E9">
        <w:rPr>
          <w:rFonts w:eastAsia="Times New Roman" w:cs="Times New Roman"/>
        </w:rPr>
        <w:t xml:space="preserve"> in this situation </w:t>
      </w:r>
      <w:r>
        <w:rPr>
          <w:rFonts w:eastAsia="Times New Roman" w:cs="Times New Roman"/>
        </w:rPr>
        <w:t xml:space="preserve">can </w:t>
      </w:r>
      <w:r w:rsidRPr="003655E9">
        <w:rPr>
          <w:rFonts w:eastAsia="Times New Roman" w:cs="Times New Roman"/>
        </w:rPr>
        <w:t>find it almost impossible to leave their abusi</w:t>
      </w:r>
      <w:r>
        <w:rPr>
          <w:rFonts w:eastAsia="Times New Roman" w:cs="Times New Roman"/>
        </w:rPr>
        <w:t>ve husbands or partners because</w:t>
      </w:r>
      <w:r w:rsidRPr="003655E9">
        <w:rPr>
          <w:rFonts w:eastAsia="Times New Roman" w:cs="Times New Roman"/>
        </w:rPr>
        <w:t xml:space="preserve"> the idea of continuing the </w:t>
      </w:r>
      <w:r>
        <w:rPr>
          <w:rFonts w:eastAsia="Times New Roman" w:cs="Times New Roman"/>
        </w:rPr>
        <w:t xml:space="preserve">refugee </w:t>
      </w:r>
      <w:r w:rsidRPr="003655E9">
        <w:rPr>
          <w:rFonts w:eastAsia="Times New Roman" w:cs="Times New Roman"/>
        </w:rPr>
        <w:t>journey alone, or just with their ch</w:t>
      </w:r>
      <w:r>
        <w:rPr>
          <w:rFonts w:eastAsia="Times New Roman" w:cs="Times New Roman"/>
        </w:rPr>
        <w:t>ildren, is too difficult and dangerous</w:t>
      </w:r>
      <w:r w:rsidRPr="003655E9">
        <w:rPr>
          <w:rFonts w:eastAsia="Times New Roman" w:cs="Times New Roman"/>
        </w:rPr>
        <w:t>.</w:t>
      </w:r>
      <w:r w:rsidRPr="003655E9">
        <w:rPr>
          <w:vertAlign w:val="superscript"/>
        </w:rPr>
        <w:footnoteReference w:id="135"/>
      </w:r>
    </w:p>
    <w:p w14:paraId="42BFB5E9" w14:textId="77777777" w:rsidR="00C1042E" w:rsidRDefault="00C1042E" w:rsidP="00C1042E">
      <w:pPr>
        <w:jc w:val="both"/>
        <w:rPr>
          <w:rFonts w:eastAsia="Times New Roman" w:cs="Times New Roman"/>
        </w:rPr>
      </w:pPr>
    </w:p>
    <w:p w14:paraId="4FB274D9" w14:textId="77777777" w:rsidR="00C1042E" w:rsidRDefault="00C1042E" w:rsidP="00C1042E">
      <w:pPr>
        <w:jc w:val="both"/>
        <w:rPr>
          <w:rFonts w:eastAsia="Times New Roman" w:cs="Times New Roman"/>
        </w:rPr>
      </w:pPr>
    </w:p>
    <w:p w14:paraId="0C39946F" w14:textId="77777777" w:rsidR="00C1042E" w:rsidRPr="000A1FD5" w:rsidRDefault="00C1042E" w:rsidP="00C1042E">
      <w:pPr>
        <w:jc w:val="both"/>
        <w:rPr>
          <w:rFonts w:eastAsia="Times New Roman" w:cs="Times New Roman"/>
          <w:b/>
          <w:i/>
        </w:rPr>
      </w:pPr>
      <w:r w:rsidRPr="000A1FD5">
        <w:rPr>
          <w:rFonts w:eastAsia="Times New Roman" w:cs="Times New Roman"/>
          <w:b/>
          <w:i/>
        </w:rPr>
        <w:t xml:space="preserve">Survival Sex </w:t>
      </w:r>
    </w:p>
    <w:p w14:paraId="18001382" w14:textId="77777777" w:rsidR="00C1042E" w:rsidRDefault="00C1042E" w:rsidP="00C1042E">
      <w:pPr>
        <w:jc w:val="both"/>
        <w:rPr>
          <w:rFonts w:eastAsia="Times New Roman" w:cs="Times New Roman"/>
        </w:rPr>
      </w:pPr>
    </w:p>
    <w:p w14:paraId="55F92A02" w14:textId="32EF6AA3" w:rsidR="00C1042E" w:rsidRPr="003655E9" w:rsidRDefault="00C1042E" w:rsidP="00C1042E">
      <w:pPr>
        <w:jc w:val="both"/>
        <w:rPr>
          <w:rFonts w:eastAsia="Times New Roman" w:cs="Times New Roman"/>
        </w:rPr>
      </w:pPr>
      <w:r>
        <w:rPr>
          <w:rFonts w:eastAsia="Times New Roman" w:cs="Times New Roman"/>
        </w:rPr>
        <w:t>‘S</w:t>
      </w:r>
      <w:r w:rsidRPr="003655E9">
        <w:rPr>
          <w:rFonts w:eastAsia="Times New Roman" w:cs="Times New Roman"/>
        </w:rPr>
        <w:t xml:space="preserve">urvival sex’ </w:t>
      </w:r>
      <w:r>
        <w:rPr>
          <w:rFonts w:eastAsia="Times New Roman" w:cs="Times New Roman"/>
        </w:rPr>
        <w:t xml:space="preserve">is a form of SGBV </w:t>
      </w:r>
      <w:r w:rsidR="002D6F6A">
        <w:rPr>
          <w:rFonts w:eastAsia="Times New Roman" w:cs="Times New Roman"/>
        </w:rPr>
        <w:t xml:space="preserve">where women and children are forced or pressured to engage in sex </w:t>
      </w:r>
      <w:r w:rsidRPr="003655E9">
        <w:rPr>
          <w:rFonts w:eastAsia="Times New Roman" w:cs="Times New Roman"/>
        </w:rPr>
        <w:t>due to desperation to earn money and/or goods to ease financial pressure from the increased cost</w:t>
      </w:r>
      <w:r w:rsidR="00B72A94">
        <w:rPr>
          <w:rFonts w:eastAsia="Times New Roman" w:cs="Times New Roman"/>
        </w:rPr>
        <w:t>s</w:t>
      </w:r>
      <w:r w:rsidRPr="003655E9">
        <w:rPr>
          <w:rFonts w:eastAsia="Times New Roman" w:cs="Times New Roman"/>
        </w:rPr>
        <w:t xml:space="preserve"> of living in </w:t>
      </w:r>
      <w:r>
        <w:rPr>
          <w:rFonts w:eastAsia="Times New Roman" w:cs="Times New Roman"/>
        </w:rPr>
        <w:t>a refugee environment</w:t>
      </w:r>
      <w:r w:rsidRPr="003655E9">
        <w:rPr>
          <w:rFonts w:eastAsia="Times New Roman" w:cs="Times New Roman"/>
        </w:rPr>
        <w:t xml:space="preserve">. </w:t>
      </w:r>
      <w:r>
        <w:rPr>
          <w:rFonts w:eastAsia="Times New Roman" w:cs="Times New Roman"/>
        </w:rPr>
        <w:t>It involves w</w:t>
      </w:r>
      <w:r w:rsidRPr="003655E9">
        <w:rPr>
          <w:rFonts w:eastAsia="Times New Roman" w:cs="Times New Roman"/>
        </w:rPr>
        <w:t xml:space="preserve">omen and children </w:t>
      </w:r>
      <w:r>
        <w:rPr>
          <w:rFonts w:eastAsia="Times New Roman" w:cs="Times New Roman"/>
        </w:rPr>
        <w:t>being</w:t>
      </w:r>
      <w:r w:rsidRPr="003655E9">
        <w:rPr>
          <w:rFonts w:eastAsia="Times New Roman" w:cs="Times New Roman"/>
        </w:rPr>
        <w:t xml:space="preserve"> paid in money or goods </w:t>
      </w:r>
      <w:r>
        <w:rPr>
          <w:rFonts w:eastAsia="Times New Roman" w:cs="Times New Roman"/>
        </w:rPr>
        <w:t>(</w:t>
      </w:r>
      <w:r w:rsidRPr="003655E9">
        <w:rPr>
          <w:rFonts w:eastAsia="Times New Roman" w:cs="Times New Roman"/>
        </w:rPr>
        <w:t>such a</w:t>
      </w:r>
      <w:r>
        <w:rPr>
          <w:rFonts w:eastAsia="Times New Roman" w:cs="Times New Roman"/>
        </w:rPr>
        <w:t>s food) in return for sex</w:t>
      </w:r>
      <w:r w:rsidRPr="003655E9">
        <w:rPr>
          <w:rFonts w:eastAsia="Times New Roman" w:cs="Times New Roman"/>
        </w:rPr>
        <w:t xml:space="preserve">. This violence </w:t>
      </w:r>
      <w:r w:rsidR="002D6F6A">
        <w:rPr>
          <w:rFonts w:eastAsia="Times New Roman" w:cs="Times New Roman"/>
        </w:rPr>
        <w:t>may occur</w:t>
      </w:r>
      <w:r w:rsidRPr="003655E9">
        <w:rPr>
          <w:rFonts w:eastAsia="Times New Roman" w:cs="Times New Roman"/>
        </w:rPr>
        <w:t xml:space="preserve"> as a consequence of the lack of services and aid available </w:t>
      </w:r>
      <w:r>
        <w:rPr>
          <w:rFonts w:eastAsia="Times New Roman" w:cs="Times New Roman"/>
        </w:rPr>
        <w:t>to refugees</w:t>
      </w:r>
      <w:r w:rsidR="002D6F6A">
        <w:rPr>
          <w:rFonts w:eastAsia="Times New Roman" w:cs="Times New Roman"/>
        </w:rPr>
        <w:t xml:space="preserve"> or due to aid workers themselves withholding such services and aid for sexual gain</w:t>
      </w:r>
      <w:r w:rsidRPr="003655E9">
        <w:rPr>
          <w:rFonts w:eastAsia="Times New Roman" w:cs="Times New Roman"/>
        </w:rPr>
        <w:t xml:space="preserve">. It has been reported that </w:t>
      </w:r>
      <w:r>
        <w:rPr>
          <w:rFonts w:eastAsia="Times New Roman" w:cs="Times New Roman"/>
        </w:rPr>
        <w:t>Syrian refugees</w:t>
      </w:r>
      <w:r w:rsidRPr="003655E9">
        <w:rPr>
          <w:rFonts w:eastAsia="Times New Roman" w:cs="Times New Roman"/>
        </w:rPr>
        <w:t xml:space="preserve"> </w:t>
      </w:r>
      <w:r>
        <w:rPr>
          <w:rFonts w:eastAsia="Times New Roman" w:cs="Times New Roman"/>
        </w:rPr>
        <w:t xml:space="preserve">from </w:t>
      </w:r>
      <w:r w:rsidRPr="003655E9">
        <w:rPr>
          <w:rFonts w:eastAsia="Times New Roman" w:cs="Times New Roman"/>
        </w:rPr>
        <w:t xml:space="preserve">as young as 10 years old have been </w:t>
      </w:r>
      <w:r>
        <w:rPr>
          <w:rFonts w:eastAsia="Times New Roman" w:cs="Times New Roman"/>
        </w:rPr>
        <w:t>forced to engage in survival sex</w:t>
      </w:r>
      <w:r w:rsidRPr="003655E9">
        <w:rPr>
          <w:rFonts w:eastAsia="Times New Roman" w:cs="Times New Roman"/>
        </w:rPr>
        <w:t xml:space="preserve">. </w:t>
      </w:r>
      <w:r>
        <w:rPr>
          <w:rFonts w:eastAsia="Times New Roman" w:cs="Times New Roman"/>
        </w:rPr>
        <w:t>This form of SGBV</w:t>
      </w:r>
      <w:r w:rsidRPr="003655E9">
        <w:rPr>
          <w:rFonts w:eastAsia="Times New Roman" w:cs="Times New Roman"/>
        </w:rPr>
        <w:t xml:space="preserve"> has been reported </w:t>
      </w:r>
      <w:r>
        <w:rPr>
          <w:rFonts w:eastAsia="Times New Roman" w:cs="Times New Roman"/>
        </w:rPr>
        <w:t xml:space="preserve">as occurring </w:t>
      </w:r>
      <w:r w:rsidRPr="003655E9">
        <w:rPr>
          <w:rFonts w:eastAsia="Times New Roman" w:cs="Times New Roman"/>
        </w:rPr>
        <w:t xml:space="preserve">on a family level, an individual level </w:t>
      </w:r>
      <w:r>
        <w:rPr>
          <w:rFonts w:eastAsia="Times New Roman" w:cs="Times New Roman"/>
        </w:rPr>
        <w:t xml:space="preserve">and through </w:t>
      </w:r>
      <w:proofErr w:type="spellStart"/>
      <w:r>
        <w:rPr>
          <w:rFonts w:eastAsia="Times New Roman" w:cs="Times New Roman"/>
        </w:rPr>
        <w:t>organised</w:t>
      </w:r>
      <w:proofErr w:type="spellEnd"/>
      <w:r>
        <w:rPr>
          <w:rFonts w:eastAsia="Times New Roman" w:cs="Times New Roman"/>
        </w:rPr>
        <w:t xml:space="preserve"> networks, and </w:t>
      </w:r>
      <w:r w:rsidRPr="003655E9">
        <w:rPr>
          <w:rFonts w:eastAsia="Times New Roman" w:cs="Times New Roman"/>
        </w:rPr>
        <w:t>is not an open choice</w:t>
      </w:r>
      <w:r>
        <w:rPr>
          <w:rFonts w:eastAsia="Times New Roman" w:cs="Times New Roman"/>
        </w:rPr>
        <w:t>, frequently occurring due to societal and family pressure</w:t>
      </w:r>
      <w:r w:rsidRPr="003655E9">
        <w:rPr>
          <w:rFonts w:eastAsia="Times New Roman" w:cs="Times New Roman"/>
        </w:rPr>
        <w:t>.</w:t>
      </w:r>
      <w:r w:rsidRPr="003655E9">
        <w:rPr>
          <w:rStyle w:val="FootnoteReference"/>
          <w:rFonts w:eastAsia="Times New Roman" w:cs="Times New Roman"/>
        </w:rPr>
        <w:footnoteReference w:id="136"/>
      </w:r>
      <w:r w:rsidRPr="003655E9">
        <w:rPr>
          <w:rFonts w:eastAsia="Times New Roman" w:cs="Times New Roman"/>
        </w:rPr>
        <w:t xml:space="preserve"> </w:t>
      </w:r>
    </w:p>
    <w:p w14:paraId="52CD6904" w14:textId="77777777" w:rsidR="00C1042E" w:rsidRDefault="00C1042E" w:rsidP="00C1042E">
      <w:pPr>
        <w:jc w:val="both"/>
        <w:rPr>
          <w:rFonts w:eastAsia="Times New Roman" w:cs="Times New Roman"/>
        </w:rPr>
      </w:pPr>
    </w:p>
    <w:p w14:paraId="2D429393" w14:textId="77777777" w:rsidR="00C1042E" w:rsidRDefault="00C1042E" w:rsidP="00C1042E">
      <w:pPr>
        <w:jc w:val="both"/>
        <w:rPr>
          <w:rFonts w:eastAsia="Times New Roman" w:cs="Times New Roman"/>
        </w:rPr>
      </w:pPr>
    </w:p>
    <w:p w14:paraId="6E242F10" w14:textId="77777777" w:rsidR="00C1042E" w:rsidRPr="000A1FD5" w:rsidRDefault="00C1042E" w:rsidP="00C1042E">
      <w:pPr>
        <w:jc w:val="both"/>
        <w:rPr>
          <w:rFonts w:eastAsia="Times New Roman" w:cs="Times New Roman"/>
          <w:b/>
          <w:i/>
        </w:rPr>
      </w:pPr>
      <w:r w:rsidRPr="000A1FD5">
        <w:rPr>
          <w:rFonts w:eastAsia="Times New Roman" w:cs="Times New Roman"/>
          <w:b/>
          <w:i/>
        </w:rPr>
        <w:t>Statelessness</w:t>
      </w:r>
    </w:p>
    <w:p w14:paraId="7D2E6FA5" w14:textId="77777777" w:rsidR="00C1042E" w:rsidRPr="003655E9" w:rsidRDefault="00C1042E" w:rsidP="00C1042E">
      <w:pPr>
        <w:jc w:val="both"/>
        <w:rPr>
          <w:rFonts w:eastAsia="Times New Roman" w:cs="Times New Roman"/>
          <w:i/>
        </w:rPr>
      </w:pPr>
    </w:p>
    <w:p w14:paraId="797E1070" w14:textId="41950BCC" w:rsidR="00C1042E" w:rsidRPr="003655E9" w:rsidRDefault="00C1042E" w:rsidP="00C1042E">
      <w:pPr>
        <w:jc w:val="both"/>
      </w:pPr>
      <w:r w:rsidRPr="003655E9">
        <w:t xml:space="preserve">Statelessness is a critical issue for Syrian refugees </w:t>
      </w:r>
      <w:r>
        <w:t>when</w:t>
      </w:r>
      <w:r w:rsidRPr="003655E9">
        <w:t xml:space="preserve"> children are born from rape or from religious marriages where the couple never completed the process of legal marriage or birth registration</w:t>
      </w:r>
      <w:r>
        <w:t xml:space="preserve"> which can be extremely difficult within refugee camps. Similarly, f</w:t>
      </w:r>
      <w:r w:rsidRPr="003655E9">
        <w:t xml:space="preserve">or those who divorce or become single mothers under these conditions, it is extraordinarily difficult to register their children's nationality. Statelessness also exacerbates refugees' vulnerability to a wide range of </w:t>
      </w:r>
      <w:r>
        <w:t>SGBV,</w:t>
      </w:r>
      <w:r w:rsidRPr="003655E9">
        <w:t xml:space="preserve"> including trafficking, forced </w:t>
      </w:r>
      <w:proofErr w:type="spellStart"/>
      <w:r w:rsidRPr="003655E9">
        <w:t>labo</w:t>
      </w:r>
      <w:r w:rsidR="00B05B6F">
        <w:t>u</w:t>
      </w:r>
      <w:r w:rsidRPr="003655E9">
        <w:t>r</w:t>
      </w:r>
      <w:proofErr w:type="spellEnd"/>
      <w:r w:rsidRPr="003655E9">
        <w:t>, and forced or early marriage.</w:t>
      </w:r>
      <w:r w:rsidRPr="003655E9">
        <w:rPr>
          <w:rStyle w:val="FootnoteReference"/>
        </w:rPr>
        <w:footnoteReference w:id="137"/>
      </w:r>
    </w:p>
    <w:p w14:paraId="7449907F" w14:textId="77777777" w:rsidR="00C1042E" w:rsidRDefault="00C1042E" w:rsidP="00C1042E">
      <w:pPr>
        <w:jc w:val="both"/>
        <w:rPr>
          <w:rFonts w:eastAsia="Times New Roman" w:cs="Times New Roman"/>
        </w:rPr>
      </w:pPr>
    </w:p>
    <w:p w14:paraId="4539430F" w14:textId="77777777" w:rsidR="00C1042E" w:rsidRDefault="00C1042E" w:rsidP="00C1042E">
      <w:pPr>
        <w:jc w:val="both"/>
        <w:rPr>
          <w:rFonts w:eastAsia="Times New Roman" w:cs="Times New Roman"/>
        </w:rPr>
      </w:pPr>
    </w:p>
    <w:p w14:paraId="40CE7815" w14:textId="77777777" w:rsidR="00C1042E" w:rsidRPr="004676D3" w:rsidRDefault="00C1042E" w:rsidP="00C1042E">
      <w:pPr>
        <w:jc w:val="both"/>
        <w:rPr>
          <w:b/>
          <w:i/>
        </w:rPr>
      </w:pPr>
      <w:r w:rsidRPr="004676D3">
        <w:rPr>
          <w:b/>
          <w:i/>
        </w:rPr>
        <w:t>Declaration on Preventing Sexual Violence in Conflict</w:t>
      </w:r>
    </w:p>
    <w:p w14:paraId="4BE18B1B" w14:textId="77777777" w:rsidR="00C1042E" w:rsidRPr="003655E9" w:rsidRDefault="00C1042E" w:rsidP="00C1042E">
      <w:pPr>
        <w:jc w:val="both"/>
        <w:rPr>
          <w:b/>
        </w:rPr>
      </w:pPr>
    </w:p>
    <w:p w14:paraId="26A25D9B" w14:textId="31EB162E" w:rsidR="00C1042E" w:rsidRPr="004676D3" w:rsidRDefault="00C1042E" w:rsidP="00C1042E">
      <w:pPr>
        <w:jc w:val="both"/>
      </w:pPr>
      <w:r>
        <w:t>In</w:t>
      </w:r>
      <w:r w:rsidRPr="003655E9">
        <w:t xml:space="preserve"> response to </w:t>
      </w:r>
      <w:r>
        <w:t>the current Syrian conflict</w:t>
      </w:r>
      <w:r w:rsidRPr="003655E9">
        <w:t xml:space="preserve"> and other conflict-related </w:t>
      </w:r>
      <w:r>
        <w:t>SGBV</w:t>
      </w:r>
      <w:r w:rsidRPr="003655E9">
        <w:t xml:space="preserve"> atrocities </w:t>
      </w:r>
      <w:r>
        <w:t xml:space="preserve">across the globe, in April 2013 the Group of 8 consortium of states issued its </w:t>
      </w:r>
      <w:hyperlink r:id="rId53" w:history="1">
        <w:r w:rsidRPr="00164428">
          <w:rPr>
            <w:rStyle w:val="Hyperlink"/>
            <w:i/>
          </w:rPr>
          <w:t>Declaration on Preventing Sexual Violence in Conflict</w:t>
        </w:r>
      </w:hyperlink>
      <w:r w:rsidRPr="003655E9">
        <w:t>.</w:t>
      </w:r>
      <w:r>
        <w:t xml:space="preserve"> Known as the G8, this international political forum consisted of Canada, France, Germany, Italy, Japan, Russia, the United Kingdom and the United </w:t>
      </w:r>
      <w:r w:rsidR="00FF47CB">
        <w:t>States</w:t>
      </w:r>
      <w:r>
        <w:t>, before becoming the G7 from 2014 with the suspension of Russia. This</w:t>
      </w:r>
      <w:r w:rsidRPr="003655E9">
        <w:t xml:space="preserve"> </w:t>
      </w:r>
      <w:r>
        <w:t>G8 D</w:t>
      </w:r>
      <w:r w:rsidRPr="003655E9">
        <w:t>eclaration mandates systems for prevention, treatment, and redress of se</w:t>
      </w:r>
      <w:r>
        <w:t xml:space="preserve">xual violence. It is based on a </w:t>
      </w:r>
      <w:proofErr w:type="spellStart"/>
      <w:r>
        <w:t>realisation</w:t>
      </w:r>
      <w:proofErr w:type="spellEnd"/>
      <w:r w:rsidRPr="003655E9">
        <w:t xml:space="preserve"> that when resolutions</w:t>
      </w:r>
      <w:r>
        <w:t xml:space="preserve"> to conflict</w:t>
      </w:r>
      <w:r w:rsidRPr="003655E9">
        <w:t xml:space="preserve"> and their </w:t>
      </w:r>
      <w:r>
        <w:t>attendant</w:t>
      </w:r>
      <w:r w:rsidRPr="003655E9">
        <w:t xml:space="preserve"> peace agreements lack provisions or commitments towards gender equality, subsequent gender-sensitive measures proposed at the implementation stage </w:t>
      </w:r>
      <w:r>
        <w:t xml:space="preserve">of peace agreements </w:t>
      </w:r>
      <w:r w:rsidRPr="003655E9">
        <w:t xml:space="preserve">may be rejected as outside the scope of the </w:t>
      </w:r>
      <w:r>
        <w:t xml:space="preserve">agreed </w:t>
      </w:r>
      <w:r w:rsidRPr="003655E9">
        <w:t xml:space="preserve">peace mandate. </w:t>
      </w:r>
      <w:r>
        <w:t>Accordingly, th</w:t>
      </w:r>
      <w:r w:rsidR="009844B9">
        <w:t>is</w:t>
      </w:r>
      <w:r>
        <w:t xml:space="preserve"> Declaration notes that </w:t>
      </w:r>
      <w:r w:rsidRPr="003655E9">
        <w:t xml:space="preserve">future peace agreements </w:t>
      </w:r>
      <w:r>
        <w:t>where</w:t>
      </w:r>
      <w:r w:rsidRPr="003655E9">
        <w:t xml:space="preserve"> language promoting gender equality </w:t>
      </w:r>
      <w:r>
        <w:t xml:space="preserve">is absent </w:t>
      </w:r>
      <w:r w:rsidRPr="003655E9">
        <w:t xml:space="preserve">may </w:t>
      </w:r>
      <w:r>
        <w:t xml:space="preserve">themselves </w:t>
      </w:r>
      <w:r w:rsidRPr="003655E9">
        <w:t xml:space="preserve">become obstacles to overcoming </w:t>
      </w:r>
      <w:r>
        <w:t xml:space="preserve">gender </w:t>
      </w:r>
      <w:r w:rsidRPr="003655E9">
        <w:t>non</w:t>
      </w:r>
      <w:r>
        <w:t>-</w:t>
      </w:r>
      <w:r w:rsidRPr="003655E9">
        <w:t>discrimination that pe</w:t>
      </w:r>
      <w:r>
        <w:t>rsists after conflict has ended</w:t>
      </w:r>
      <w:r w:rsidRPr="003655E9">
        <w:t>.</w:t>
      </w:r>
      <w:r w:rsidRPr="003655E9">
        <w:rPr>
          <w:rStyle w:val="FootnoteReference"/>
        </w:rPr>
        <w:footnoteReference w:id="138"/>
      </w:r>
    </w:p>
    <w:p w14:paraId="3DEDD222" w14:textId="77777777" w:rsidR="00C1042E" w:rsidRDefault="00C1042E" w:rsidP="00C1042E">
      <w:pPr>
        <w:contextualSpacing/>
        <w:jc w:val="both"/>
        <w:rPr>
          <w:rFonts w:cstheme="minorHAnsi"/>
          <w:b/>
          <w:u w:val="single"/>
        </w:rPr>
      </w:pPr>
    </w:p>
    <w:p w14:paraId="67A33F7C" w14:textId="77777777" w:rsidR="00C1042E" w:rsidRDefault="00C1042E" w:rsidP="00C1042E">
      <w:pPr>
        <w:contextualSpacing/>
        <w:jc w:val="both"/>
        <w:rPr>
          <w:rFonts w:cstheme="minorHAnsi"/>
          <w:b/>
          <w:u w:val="single"/>
        </w:rPr>
      </w:pPr>
    </w:p>
    <w:p w14:paraId="7CC76FC7" w14:textId="77777777" w:rsidR="00C1042E" w:rsidRDefault="00C1042E" w:rsidP="00C1042E">
      <w:pPr>
        <w:contextualSpacing/>
        <w:jc w:val="both"/>
        <w:rPr>
          <w:rFonts w:cstheme="minorHAnsi"/>
          <w:b/>
          <w:u w:val="single"/>
        </w:rPr>
      </w:pPr>
      <w:r>
        <w:rPr>
          <w:rFonts w:cstheme="minorHAnsi"/>
          <w:b/>
          <w:u w:val="single"/>
        </w:rPr>
        <w:t>CONCLUSION</w:t>
      </w:r>
    </w:p>
    <w:p w14:paraId="0A182F8A" w14:textId="77777777" w:rsidR="00C1042E" w:rsidRDefault="00C1042E" w:rsidP="00C1042E">
      <w:pPr>
        <w:contextualSpacing/>
        <w:jc w:val="both"/>
        <w:rPr>
          <w:rFonts w:cstheme="minorHAnsi"/>
          <w:b/>
          <w:u w:val="single"/>
        </w:rPr>
      </w:pPr>
    </w:p>
    <w:p w14:paraId="5CE4798D" w14:textId="6495D4E2" w:rsidR="00C1042E" w:rsidRDefault="00C1042E" w:rsidP="00C1042E">
      <w:pPr>
        <w:contextualSpacing/>
        <w:jc w:val="both"/>
        <w:rPr>
          <w:rFonts w:cstheme="minorHAnsi"/>
        </w:rPr>
      </w:pPr>
      <w:r>
        <w:rPr>
          <w:rFonts w:cstheme="minorHAnsi"/>
        </w:rPr>
        <w:lastRenderedPageBreak/>
        <w:t xml:space="preserve">There is no current consensus </w:t>
      </w:r>
      <w:r w:rsidRPr="000A5C0B">
        <w:rPr>
          <w:rFonts w:cstheme="minorHAnsi"/>
        </w:rPr>
        <w:t xml:space="preserve">as to what </w:t>
      </w:r>
      <w:r w:rsidR="00B87F30">
        <w:rPr>
          <w:rFonts w:cstheme="minorHAnsi"/>
        </w:rPr>
        <w:t xml:space="preserve">definitively </w:t>
      </w:r>
      <w:r w:rsidRPr="000A5C0B">
        <w:rPr>
          <w:rFonts w:cstheme="minorHAnsi"/>
        </w:rPr>
        <w:t>constitutes sexual and gender-based violence</w:t>
      </w:r>
      <w:r w:rsidR="005F1609">
        <w:rPr>
          <w:rFonts w:cstheme="minorHAnsi"/>
        </w:rPr>
        <w:t xml:space="preserve"> (SGBV)</w:t>
      </w:r>
      <w:r>
        <w:rPr>
          <w:rFonts w:cstheme="minorHAnsi"/>
        </w:rPr>
        <w:t xml:space="preserve">. </w:t>
      </w:r>
      <w:r w:rsidR="00196E7A">
        <w:rPr>
          <w:rFonts w:cstheme="minorHAnsi"/>
        </w:rPr>
        <w:t xml:space="preserve">However, there has been a </w:t>
      </w:r>
      <w:r w:rsidR="00EC1A36">
        <w:rPr>
          <w:rFonts w:cstheme="minorHAnsi"/>
        </w:rPr>
        <w:t>concerted</w:t>
      </w:r>
      <w:r w:rsidRPr="003347FB">
        <w:rPr>
          <w:rFonts w:cstheme="minorHAnsi"/>
        </w:rPr>
        <w:t xml:space="preserve"> focus on women and girls in the international SGBV discourse</w:t>
      </w:r>
      <w:r>
        <w:rPr>
          <w:rFonts w:cstheme="minorHAnsi"/>
        </w:rPr>
        <w:t xml:space="preserve">. However, SGBV is increasingly being used as a term </w:t>
      </w:r>
      <w:r w:rsidRPr="00290F8A">
        <w:rPr>
          <w:rFonts w:cstheme="minorHAnsi"/>
        </w:rPr>
        <w:t>to highlight the gendered dimensions of certain forms of violence against men and boys</w:t>
      </w:r>
      <w:r w:rsidR="00BD1781">
        <w:rPr>
          <w:rFonts w:cstheme="minorHAnsi"/>
        </w:rPr>
        <w:t xml:space="preserve"> </w:t>
      </w:r>
      <w:r w:rsidRPr="00290F8A">
        <w:rPr>
          <w:rFonts w:cstheme="minorHAnsi"/>
        </w:rPr>
        <w:t>—</w:t>
      </w:r>
      <w:r w:rsidR="00BD1781">
        <w:rPr>
          <w:rFonts w:cstheme="minorHAnsi"/>
        </w:rPr>
        <w:t xml:space="preserve"> </w:t>
      </w:r>
      <w:r w:rsidRPr="00290F8A">
        <w:rPr>
          <w:rFonts w:cstheme="minorHAnsi"/>
        </w:rPr>
        <w:t xml:space="preserve">particularly some forms of sexual violence committed with the explicit purpose of reinforcing gender inequitable norms of </w:t>
      </w:r>
      <w:r>
        <w:rPr>
          <w:rFonts w:cstheme="minorHAnsi"/>
        </w:rPr>
        <w:t>masculinity and femininity (for example,</w:t>
      </w:r>
      <w:r w:rsidRPr="00290F8A">
        <w:rPr>
          <w:rFonts w:cstheme="minorHAnsi"/>
        </w:rPr>
        <w:t xml:space="preserve"> sexual violence committed in armed conflict aimed at emasculating or </w:t>
      </w:r>
      <w:proofErr w:type="spellStart"/>
      <w:r w:rsidRPr="00290F8A">
        <w:rPr>
          <w:rFonts w:cstheme="minorHAnsi"/>
        </w:rPr>
        <w:t>femi</w:t>
      </w:r>
      <w:r>
        <w:rPr>
          <w:rFonts w:cstheme="minorHAnsi"/>
        </w:rPr>
        <w:t>nis</w:t>
      </w:r>
      <w:r w:rsidRPr="00290F8A">
        <w:rPr>
          <w:rFonts w:cstheme="minorHAnsi"/>
        </w:rPr>
        <w:t>ing</w:t>
      </w:r>
      <w:proofErr w:type="spellEnd"/>
      <w:r w:rsidRPr="00290F8A">
        <w:rPr>
          <w:rFonts w:cstheme="minorHAnsi"/>
        </w:rPr>
        <w:t xml:space="preserve"> the enemy). This violence against males is based on socially constructed ideas of what it means to be a man and exercise male power.</w:t>
      </w:r>
      <w:r w:rsidRPr="00290F8A">
        <w:rPr>
          <w:rFonts w:cstheme="minorHAnsi"/>
          <w:vertAlign w:val="superscript"/>
        </w:rPr>
        <w:footnoteReference w:id="139"/>
      </w:r>
      <w:r w:rsidRPr="00290F8A">
        <w:rPr>
          <w:rFonts w:cstheme="minorHAnsi"/>
        </w:rPr>
        <w:t xml:space="preserve"> The term ‘</w:t>
      </w:r>
      <w:r>
        <w:rPr>
          <w:rFonts w:cstheme="minorHAnsi"/>
        </w:rPr>
        <w:t xml:space="preserve">sexual and </w:t>
      </w:r>
      <w:r w:rsidRPr="00290F8A">
        <w:rPr>
          <w:rFonts w:cstheme="minorHAnsi"/>
        </w:rPr>
        <w:t>gender-based violence’ is also used by some actors to describe violence perpetrated against lesbian, gay, bisexual, t</w:t>
      </w:r>
      <w:r>
        <w:rPr>
          <w:rFonts w:cstheme="minorHAnsi"/>
        </w:rPr>
        <w:t xml:space="preserve">ransgender, queer or questioning and intersex (LGBTQI) </w:t>
      </w:r>
      <w:r w:rsidRPr="00290F8A">
        <w:rPr>
          <w:rFonts w:cstheme="minorHAnsi"/>
        </w:rPr>
        <w:t>pers</w:t>
      </w:r>
      <w:r>
        <w:rPr>
          <w:rFonts w:cstheme="minorHAnsi"/>
        </w:rPr>
        <w:t>ons that is</w:t>
      </w:r>
      <w:r w:rsidRPr="00290F8A">
        <w:rPr>
          <w:rFonts w:cstheme="minorHAnsi"/>
        </w:rPr>
        <w:t xml:space="preserve"> “driven by a desire to punish those seen as defying gender norms”.</w:t>
      </w:r>
      <w:r w:rsidRPr="00290F8A">
        <w:rPr>
          <w:rFonts w:cstheme="minorHAnsi"/>
          <w:vertAlign w:val="superscript"/>
        </w:rPr>
        <w:footnoteReference w:id="140"/>
      </w:r>
    </w:p>
    <w:p w14:paraId="44180DCF" w14:textId="77777777" w:rsidR="00C1042E" w:rsidRDefault="00C1042E" w:rsidP="00C1042E">
      <w:pPr>
        <w:contextualSpacing/>
        <w:jc w:val="both"/>
        <w:rPr>
          <w:rFonts w:cstheme="minorHAnsi"/>
        </w:rPr>
      </w:pPr>
    </w:p>
    <w:p w14:paraId="69D69424" w14:textId="536703D8" w:rsidR="00C1042E" w:rsidRDefault="00540826" w:rsidP="00C1042E">
      <w:pPr>
        <w:contextualSpacing/>
        <w:jc w:val="both"/>
        <w:rPr>
          <w:rFonts w:cstheme="minorHAnsi"/>
        </w:rPr>
      </w:pPr>
      <w:r>
        <w:rPr>
          <w:rFonts w:cstheme="minorHAnsi"/>
        </w:rPr>
        <w:t>I</w:t>
      </w:r>
      <w:r w:rsidR="00C1042E">
        <w:rPr>
          <w:rFonts w:cstheme="minorHAnsi"/>
        </w:rPr>
        <w:t xml:space="preserve">t </w:t>
      </w:r>
      <w:r w:rsidR="008574AC">
        <w:rPr>
          <w:rFonts w:cstheme="minorHAnsi"/>
        </w:rPr>
        <w:t>remains critically</w:t>
      </w:r>
      <w:r w:rsidR="00C1042E">
        <w:rPr>
          <w:rFonts w:cstheme="minorHAnsi"/>
        </w:rPr>
        <w:t xml:space="preserve"> important</w:t>
      </w:r>
      <w:r>
        <w:rPr>
          <w:rFonts w:cstheme="minorHAnsi"/>
        </w:rPr>
        <w:t xml:space="preserve"> however</w:t>
      </w:r>
      <w:r w:rsidR="00C1042E">
        <w:rPr>
          <w:rFonts w:cstheme="minorHAnsi"/>
        </w:rPr>
        <w:t xml:space="preserve"> to </w:t>
      </w:r>
      <w:proofErr w:type="spellStart"/>
      <w:r w:rsidR="00C1042E">
        <w:rPr>
          <w:rFonts w:cstheme="minorHAnsi"/>
        </w:rPr>
        <w:t>recognise</w:t>
      </w:r>
      <w:proofErr w:type="spellEnd"/>
      <w:r w:rsidR="00C1042E">
        <w:rPr>
          <w:rFonts w:cstheme="minorHAnsi"/>
        </w:rPr>
        <w:t xml:space="preserve"> that current</w:t>
      </w:r>
      <w:r w:rsidR="00C1042E" w:rsidRPr="00442024">
        <w:rPr>
          <w:rFonts w:cstheme="minorHAnsi"/>
        </w:rPr>
        <w:t xml:space="preserve"> data “tend</w:t>
      </w:r>
      <w:r>
        <w:rPr>
          <w:rFonts w:cstheme="minorHAnsi"/>
        </w:rPr>
        <w:t>[s]</w:t>
      </w:r>
      <w:r w:rsidR="00C1042E" w:rsidRPr="00442024">
        <w:rPr>
          <w:rFonts w:cstheme="minorHAnsi"/>
        </w:rPr>
        <w:t xml:space="preserve"> to confirm that overall more women than men are affected”</w:t>
      </w:r>
      <w:r w:rsidR="00C1042E" w:rsidRPr="00442024">
        <w:rPr>
          <w:rFonts w:cstheme="minorHAnsi"/>
          <w:vertAlign w:val="superscript"/>
        </w:rPr>
        <w:footnoteReference w:id="141"/>
      </w:r>
      <w:r w:rsidR="00C1042E" w:rsidRPr="00442024">
        <w:rPr>
          <w:rFonts w:cstheme="minorHAnsi"/>
        </w:rPr>
        <w:t xml:space="preserve"> by sexual violence</w:t>
      </w:r>
      <w:r w:rsidR="00C1042E">
        <w:rPr>
          <w:rFonts w:cstheme="minorHAnsi"/>
        </w:rPr>
        <w:t xml:space="preserve"> and </w:t>
      </w:r>
      <w:r w:rsidR="002B77AC">
        <w:rPr>
          <w:rFonts w:cstheme="minorHAnsi"/>
        </w:rPr>
        <w:t xml:space="preserve">that </w:t>
      </w:r>
      <w:r w:rsidR="00C1042E">
        <w:rPr>
          <w:rFonts w:cstheme="minorHAnsi"/>
        </w:rPr>
        <w:t xml:space="preserve">impact </w:t>
      </w:r>
      <w:r w:rsidR="00C1042E" w:rsidRPr="00442024">
        <w:rPr>
          <w:rFonts w:cstheme="minorHAnsi"/>
        </w:rPr>
        <w:t xml:space="preserve">assessments on </w:t>
      </w:r>
      <w:r w:rsidR="008C4143">
        <w:rPr>
          <w:rFonts w:cstheme="minorHAnsi"/>
        </w:rPr>
        <w:t xml:space="preserve">female </w:t>
      </w:r>
      <w:r w:rsidR="00C1042E" w:rsidRPr="00442024">
        <w:rPr>
          <w:rFonts w:cstheme="minorHAnsi"/>
        </w:rPr>
        <w:t>refugees who have fled the Syrian conflict have found</w:t>
      </w:r>
      <w:r w:rsidR="00C1042E">
        <w:rPr>
          <w:rFonts w:cstheme="minorHAnsi"/>
        </w:rPr>
        <w:t xml:space="preserve"> high levels of</w:t>
      </w:r>
      <w:r w:rsidR="00C1042E" w:rsidRPr="00442024">
        <w:rPr>
          <w:rFonts w:cstheme="minorHAnsi"/>
        </w:rPr>
        <w:t xml:space="preserve"> rape, assault, intimate partner violence, early marriage and survival sex.</w:t>
      </w:r>
      <w:r w:rsidR="00C1042E" w:rsidRPr="00442024">
        <w:rPr>
          <w:rFonts w:cstheme="minorHAnsi"/>
          <w:vertAlign w:val="superscript"/>
        </w:rPr>
        <w:footnoteReference w:id="142"/>
      </w:r>
      <w:r w:rsidR="00C1042E">
        <w:rPr>
          <w:rFonts w:cstheme="minorHAnsi"/>
        </w:rPr>
        <w:t xml:space="preserve"> </w:t>
      </w:r>
    </w:p>
    <w:p w14:paraId="67FE1007" w14:textId="77777777" w:rsidR="00C1042E" w:rsidRDefault="00C1042E" w:rsidP="00C1042E">
      <w:pPr>
        <w:contextualSpacing/>
        <w:jc w:val="both"/>
        <w:rPr>
          <w:rFonts w:cstheme="minorHAnsi"/>
        </w:rPr>
      </w:pPr>
    </w:p>
    <w:p w14:paraId="18B9CC6A" w14:textId="0B69DB0C" w:rsidR="00C1042E" w:rsidRPr="00B24655" w:rsidRDefault="00C1042E" w:rsidP="00C1042E">
      <w:pPr>
        <w:contextualSpacing/>
        <w:jc w:val="both"/>
        <w:rPr>
          <w:rFonts w:cstheme="minorHAnsi"/>
        </w:rPr>
      </w:pPr>
      <w:proofErr w:type="spellStart"/>
      <w:r w:rsidRPr="00442024">
        <w:rPr>
          <w:rFonts w:cstheme="minorHAnsi"/>
        </w:rPr>
        <w:t>Ramin</w:t>
      </w:r>
      <w:proofErr w:type="spellEnd"/>
      <w:r w:rsidRPr="00442024">
        <w:rPr>
          <w:rFonts w:cstheme="minorHAnsi"/>
        </w:rPr>
        <w:t xml:space="preserve"> </w:t>
      </w:r>
      <w:proofErr w:type="spellStart"/>
      <w:r w:rsidRPr="00442024">
        <w:rPr>
          <w:rFonts w:cstheme="minorHAnsi"/>
        </w:rPr>
        <w:t>Asgary</w:t>
      </w:r>
      <w:proofErr w:type="spellEnd"/>
      <w:r w:rsidRPr="00442024">
        <w:rPr>
          <w:rFonts w:cstheme="minorHAnsi"/>
        </w:rPr>
        <w:t>, Eleanor Emery and Marcia Wong</w:t>
      </w:r>
      <w:r>
        <w:rPr>
          <w:rFonts w:cstheme="minorHAnsi"/>
        </w:rPr>
        <w:t xml:space="preserve"> have called for “</w:t>
      </w:r>
      <w:r w:rsidRPr="00442024">
        <w:t>collective and collaborative work for better and widely acceptable definitions for different forms of GBV</w:t>
      </w:r>
      <w:r w:rsidR="008E1FB4">
        <w:t xml:space="preserve"> [which encompasses SGBV]</w:t>
      </w:r>
      <w:r>
        <w:t>”</w:t>
      </w:r>
      <w:r w:rsidRPr="00442024">
        <w:t>.</w:t>
      </w:r>
      <w:r w:rsidRPr="00442024">
        <w:rPr>
          <w:rStyle w:val="FootnoteReference"/>
        </w:rPr>
        <w:footnoteReference w:id="143"/>
      </w:r>
      <w:r>
        <w:t xml:space="preserve"> </w:t>
      </w:r>
      <w:r>
        <w:rPr>
          <w:rFonts w:cstheme="minorHAnsi"/>
        </w:rPr>
        <w:t xml:space="preserve">A broad </w:t>
      </w:r>
      <w:r w:rsidR="00C718D3">
        <w:rPr>
          <w:rFonts w:cstheme="minorHAnsi"/>
        </w:rPr>
        <w:t xml:space="preserve">and widely accepted </w:t>
      </w:r>
      <w:r>
        <w:rPr>
          <w:rFonts w:cstheme="minorHAnsi"/>
        </w:rPr>
        <w:t xml:space="preserve">definition of the term </w:t>
      </w:r>
      <w:r w:rsidR="008E1FB4">
        <w:rPr>
          <w:rFonts w:cstheme="minorHAnsi"/>
        </w:rPr>
        <w:t xml:space="preserve">‘sexual and gender-based violence’ </w:t>
      </w:r>
      <w:r>
        <w:rPr>
          <w:rFonts w:cstheme="minorHAnsi"/>
        </w:rPr>
        <w:t xml:space="preserve">may help ensure that </w:t>
      </w:r>
      <w:r w:rsidRPr="00B24655">
        <w:rPr>
          <w:rFonts w:cstheme="minorHAnsi"/>
        </w:rPr>
        <w:t xml:space="preserve">the prevalence and nature of SGBV </w:t>
      </w:r>
      <w:r w:rsidR="00EB29D5">
        <w:rPr>
          <w:rFonts w:cstheme="minorHAnsi"/>
        </w:rPr>
        <w:t xml:space="preserve">that unfortunately is widespread </w:t>
      </w:r>
      <w:r w:rsidRPr="00B24655">
        <w:rPr>
          <w:rFonts w:cstheme="minorHAnsi"/>
        </w:rPr>
        <w:t xml:space="preserve">in </w:t>
      </w:r>
      <w:r>
        <w:rPr>
          <w:rFonts w:cstheme="minorHAnsi"/>
        </w:rPr>
        <w:t xml:space="preserve">the refugee context can be </w:t>
      </w:r>
      <w:r w:rsidR="00EB29D5">
        <w:rPr>
          <w:rFonts w:cstheme="minorHAnsi"/>
        </w:rPr>
        <w:t xml:space="preserve">better </w:t>
      </w:r>
      <w:r>
        <w:rPr>
          <w:rFonts w:cstheme="minorHAnsi"/>
        </w:rPr>
        <w:t>identified, reported, redressed and prevented</w:t>
      </w:r>
      <w:r w:rsidR="00107369">
        <w:rPr>
          <w:rFonts w:cstheme="minorHAnsi"/>
        </w:rPr>
        <w:t xml:space="preserve"> </w:t>
      </w:r>
      <w:r w:rsidR="00703779">
        <w:rPr>
          <w:rFonts w:cstheme="minorHAnsi"/>
        </w:rPr>
        <w:t>than is currently the case.</w:t>
      </w:r>
    </w:p>
    <w:p w14:paraId="214C5BF8" w14:textId="74855715" w:rsidR="00056365" w:rsidRPr="00E0001C" w:rsidRDefault="00E31BEA" w:rsidP="00E0001C">
      <w:pPr>
        <w:spacing w:after="160" w:line="259" w:lineRule="auto"/>
        <w:rPr>
          <w:b/>
          <w:u w:val="single"/>
        </w:rPr>
      </w:pPr>
      <w:r>
        <w:rPr>
          <w:b/>
          <w:u w:val="single"/>
        </w:rPr>
        <w:br w:type="page"/>
      </w:r>
      <w:r w:rsidR="0000590C">
        <w:rPr>
          <w:rFonts w:cs="Times New Roman"/>
          <w:b/>
          <w:u w:val="single"/>
        </w:rPr>
        <w:lastRenderedPageBreak/>
        <w:t>REFERENCES</w:t>
      </w:r>
    </w:p>
    <w:p w14:paraId="0970F903" w14:textId="77777777" w:rsidR="00056365" w:rsidRDefault="00056365" w:rsidP="00FE50F7">
      <w:pPr>
        <w:pStyle w:val="FootnoteText"/>
        <w:rPr>
          <w:rFonts w:cs="Times New Roman"/>
        </w:rPr>
      </w:pPr>
    </w:p>
    <w:p w14:paraId="4E0D993E" w14:textId="77777777" w:rsidR="00FE50F7" w:rsidRPr="00F7056A" w:rsidRDefault="00FE50F7" w:rsidP="00FE50F7">
      <w:pPr>
        <w:pStyle w:val="FootnoteText"/>
        <w:rPr>
          <w:rFonts w:cs="Times New Roman"/>
        </w:rPr>
      </w:pPr>
      <w:proofErr w:type="spellStart"/>
      <w:r w:rsidRPr="00F7056A">
        <w:rPr>
          <w:rFonts w:cs="Times New Roman"/>
        </w:rPr>
        <w:t>Anani</w:t>
      </w:r>
      <w:proofErr w:type="spellEnd"/>
      <w:r w:rsidRPr="00F7056A">
        <w:rPr>
          <w:rFonts w:cs="Times New Roman"/>
        </w:rPr>
        <w:t>,</w:t>
      </w:r>
      <w:r w:rsidR="00077F0C" w:rsidRPr="00F7056A">
        <w:rPr>
          <w:rFonts w:cs="Times New Roman"/>
        </w:rPr>
        <w:t xml:space="preserve"> </w:t>
      </w:r>
      <w:proofErr w:type="spellStart"/>
      <w:r w:rsidR="00077F0C" w:rsidRPr="00F7056A">
        <w:rPr>
          <w:rFonts w:cs="Times New Roman"/>
        </w:rPr>
        <w:t>Ghida</w:t>
      </w:r>
      <w:proofErr w:type="spellEnd"/>
      <w:r w:rsidR="00077F0C" w:rsidRPr="00F7056A">
        <w:rPr>
          <w:rFonts w:cs="Times New Roman"/>
        </w:rPr>
        <w:t>,</w:t>
      </w:r>
      <w:r w:rsidRPr="00F7056A">
        <w:rPr>
          <w:rFonts w:cs="Times New Roman"/>
        </w:rPr>
        <w:t xml:space="preserve"> ‘Dimensions of Gender-Based Violence Against Syrian Refugees in Lebanon’ (2013) 44 </w:t>
      </w:r>
      <w:r w:rsidRPr="00F7056A">
        <w:rPr>
          <w:rFonts w:cs="Times New Roman"/>
          <w:i/>
        </w:rPr>
        <w:t xml:space="preserve">Forced Migration Review </w:t>
      </w:r>
      <w:r w:rsidR="00077F0C" w:rsidRPr="00F7056A">
        <w:rPr>
          <w:rFonts w:cs="Times New Roman"/>
        </w:rPr>
        <w:t>75-78</w:t>
      </w:r>
      <w:r w:rsidRPr="00F7056A">
        <w:rPr>
          <w:rFonts w:cs="Times New Roman"/>
        </w:rPr>
        <w:t>.</w:t>
      </w:r>
    </w:p>
    <w:p w14:paraId="7ABCBF5A" w14:textId="77777777" w:rsidR="0033068F" w:rsidRPr="00F7056A" w:rsidRDefault="0033068F" w:rsidP="0033068F">
      <w:pPr>
        <w:pStyle w:val="FootnoteText"/>
        <w:rPr>
          <w:rFonts w:eastAsia="Times New Roman" w:cs="Times New Roman"/>
        </w:rPr>
      </w:pPr>
    </w:p>
    <w:p w14:paraId="3605EC1D" w14:textId="73B5171F" w:rsidR="0033068F" w:rsidRPr="00F7056A" w:rsidRDefault="0033068F" w:rsidP="0033068F">
      <w:pPr>
        <w:pStyle w:val="FootnoteText"/>
        <w:rPr>
          <w:rFonts w:eastAsia="Times New Roman" w:cs="Times New Roman"/>
        </w:rPr>
      </w:pPr>
      <w:proofErr w:type="spellStart"/>
      <w:r w:rsidRPr="00F7056A">
        <w:rPr>
          <w:rFonts w:eastAsia="Times New Roman" w:cs="Times New Roman"/>
        </w:rPr>
        <w:t>Asgary</w:t>
      </w:r>
      <w:proofErr w:type="spellEnd"/>
      <w:r w:rsidRPr="00F7056A">
        <w:rPr>
          <w:rFonts w:eastAsia="Times New Roman" w:cs="Times New Roman"/>
        </w:rPr>
        <w:t xml:space="preserve">, </w:t>
      </w:r>
      <w:proofErr w:type="spellStart"/>
      <w:r w:rsidRPr="00F7056A">
        <w:rPr>
          <w:rFonts w:eastAsia="Times New Roman" w:cs="Times New Roman"/>
        </w:rPr>
        <w:t>Ramin</w:t>
      </w:r>
      <w:proofErr w:type="spellEnd"/>
      <w:r w:rsidRPr="00F7056A">
        <w:rPr>
          <w:rFonts w:eastAsia="Times New Roman" w:cs="Times New Roman"/>
        </w:rPr>
        <w:t xml:space="preserve">, Emery </w:t>
      </w:r>
      <w:r w:rsidR="002B77AC">
        <w:rPr>
          <w:rFonts w:eastAsia="Times New Roman" w:cs="Times New Roman"/>
        </w:rPr>
        <w:t>Eleanor</w:t>
      </w:r>
      <w:r w:rsidR="00CC49BC">
        <w:rPr>
          <w:rFonts w:eastAsia="Times New Roman" w:cs="Times New Roman"/>
        </w:rPr>
        <w:t xml:space="preserve"> </w:t>
      </w:r>
      <w:r w:rsidRPr="00F7056A">
        <w:rPr>
          <w:rFonts w:eastAsia="Times New Roman" w:cs="Times New Roman"/>
        </w:rPr>
        <w:t>and Wong,</w:t>
      </w:r>
      <w:r w:rsidR="002B77AC">
        <w:rPr>
          <w:rFonts w:eastAsia="Times New Roman" w:cs="Times New Roman"/>
        </w:rPr>
        <w:t xml:space="preserve"> Marcia,</w:t>
      </w:r>
      <w:r w:rsidRPr="00F7056A">
        <w:rPr>
          <w:rFonts w:eastAsia="Times New Roman" w:cs="Times New Roman"/>
        </w:rPr>
        <w:t xml:space="preserve"> ‘Systemic Review of Prevention and Management Strategies for the Consequences of Gender-Based Violence in Refugee Settings’ (2013) 5(2) </w:t>
      </w:r>
      <w:r w:rsidRPr="00F7056A">
        <w:rPr>
          <w:rFonts w:eastAsia="Times New Roman" w:cs="Times New Roman"/>
          <w:i/>
        </w:rPr>
        <w:t xml:space="preserve">International Health </w:t>
      </w:r>
      <w:r w:rsidRPr="00F7056A">
        <w:rPr>
          <w:rFonts w:eastAsia="Times New Roman" w:cs="Times New Roman"/>
        </w:rPr>
        <w:t>85-91.</w:t>
      </w:r>
    </w:p>
    <w:p w14:paraId="1C3FD74C" w14:textId="77777777" w:rsidR="00056365" w:rsidRPr="00F7056A" w:rsidRDefault="00056365" w:rsidP="00056365">
      <w:pPr>
        <w:pStyle w:val="FootnoteText"/>
        <w:rPr>
          <w:rFonts w:cs="Times New Roman"/>
          <w:lang w:val="en-AU"/>
        </w:rPr>
      </w:pPr>
    </w:p>
    <w:p w14:paraId="58335261" w14:textId="74620D08" w:rsidR="00056365" w:rsidRPr="00F7056A" w:rsidRDefault="00056365" w:rsidP="00056365">
      <w:pPr>
        <w:pStyle w:val="FootnoteText"/>
        <w:rPr>
          <w:rFonts w:cs="Times New Roman"/>
          <w:lang w:val="en-AU"/>
        </w:rPr>
      </w:pPr>
      <w:r w:rsidRPr="00F7056A">
        <w:rPr>
          <w:rFonts w:cs="Times New Roman"/>
          <w:lang w:val="en-AU"/>
        </w:rPr>
        <w:t>Basile, K</w:t>
      </w:r>
      <w:r w:rsidR="002B77AC">
        <w:rPr>
          <w:rFonts w:cs="Times New Roman"/>
          <w:lang w:val="en-AU"/>
        </w:rPr>
        <w:t xml:space="preserve">athleen C and </w:t>
      </w:r>
      <w:r w:rsidRPr="00F7056A">
        <w:rPr>
          <w:rFonts w:cs="Times New Roman"/>
          <w:lang w:val="en-AU"/>
        </w:rPr>
        <w:t xml:space="preserve">Saltzman, </w:t>
      </w:r>
      <w:r w:rsidR="002B77AC">
        <w:rPr>
          <w:rFonts w:cs="Times New Roman"/>
          <w:lang w:val="en-AU"/>
        </w:rPr>
        <w:t xml:space="preserve">Linda E, </w:t>
      </w:r>
      <w:r w:rsidRPr="00F7056A">
        <w:rPr>
          <w:rFonts w:cs="Times New Roman"/>
          <w:i/>
          <w:lang w:val="en-AU"/>
        </w:rPr>
        <w:t>Sexual Violence Surveillance: Uniform Definitions and Recommended Data Elements</w:t>
      </w:r>
      <w:r w:rsidRPr="00F7056A">
        <w:rPr>
          <w:rFonts w:cs="Times New Roman"/>
          <w:lang w:val="en-AU"/>
        </w:rPr>
        <w:t xml:space="preserve"> (Atlanta: </w:t>
      </w:r>
      <w:proofErr w:type="spellStart"/>
      <w:r w:rsidRPr="00F7056A">
        <w:rPr>
          <w:rFonts w:cs="Times New Roman"/>
          <w:lang w:val="en-AU"/>
        </w:rPr>
        <w:t>Centers</w:t>
      </w:r>
      <w:proofErr w:type="spellEnd"/>
      <w:r w:rsidRPr="00F7056A">
        <w:rPr>
          <w:rFonts w:cs="Times New Roman"/>
          <w:lang w:val="en-AU"/>
        </w:rPr>
        <w:t xml:space="preserve"> for Disease Control and Prevention – National </w:t>
      </w:r>
      <w:proofErr w:type="spellStart"/>
      <w:r w:rsidRPr="00F7056A">
        <w:rPr>
          <w:rFonts w:cs="Times New Roman"/>
          <w:lang w:val="en-AU"/>
        </w:rPr>
        <w:t>Center</w:t>
      </w:r>
      <w:proofErr w:type="spellEnd"/>
      <w:r w:rsidRPr="00F7056A">
        <w:rPr>
          <w:rFonts w:cs="Times New Roman"/>
          <w:lang w:val="en-AU"/>
        </w:rPr>
        <w:t xml:space="preserve"> for Injury Prevention and Control, 2002).</w:t>
      </w:r>
    </w:p>
    <w:p w14:paraId="43EC2FED" w14:textId="77777777" w:rsidR="0033068F" w:rsidRPr="00F7056A" w:rsidRDefault="0033068F" w:rsidP="0033068F">
      <w:pPr>
        <w:pStyle w:val="FootnoteText"/>
        <w:rPr>
          <w:rFonts w:cs="Times New Roman"/>
        </w:rPr>
      </w:pPr>
    </w:p>
    <w:p w14:paraId="56F76506" w14:textId="77777777" w:rsidR="0033068F" w:rsidRPr="00F7056A" w:rsidRDefault="0033068F" w:rsidP="0033068F">
      <w:pPr>
        <w:pStyle w:val="FootnoteText"/>
        <w:rPr>
          <w:rFonts w:cs="Times New Roman"/>
        </w:rPr>
      </w:pPr>
      <w:r w:rsidRPr="00F7056A">
        <w:rPr>
          <w:rFonts w:cs="Times New Roman"/>
        </w:rPr>
        <w:t xml:space="preserve">Canning, Victoria, ‘International Conflict, Sexual Violence and Asylum Policy: Merseyside as a Case Study’ (2014) 34 </w:t>
      </w:r>
      <w:r w:rsidRPr="00F7056A">
        <w:rPr>
          <w:rFonts w:cs="Times New Roman"/>
          <w:i/>
        </w:rPr>
        <w:t>Critical Social Policy</w:t>
      </w:r>
      <w:r w:rsidRPr="00F7056A">
        <w:rPr>
          <w:rFonts w:cs="Times New Roman"/>
        </w:rPr>
        <w:t xml:space="preserve"> 23-45.</w:t>
      </w:r>
    </w:p>
    <w:p w14:paraId="6BEB6D6B" w14:textId="77777777" w:rsidR="0033068F" w:rsidRPr="00F7056A" w:rsidRDefault="0033068F" w:rsidP="0033068F">
      <w:pPr>
        <w:pStyle w:val="FootnoteText"/>
        <w:rPr>
          <w:rFonts w:eastAsia="Times New Roman" w:cs="Times New Roman"/>
        </w:rPr>
      </w:pPr>
    </w:p>
    <w:p w14:paraId="41D1A4B2" w14:textId="1CA92961" w:rsidR="0033068F" w:rsidRPr="00F7056A" w:rsidRDefault="0033068F" w:rsidP="0033068F">
      <w:pPr>
        <w:pStyle w:val="FootnoteText"/>
        <w:rPr>
          <w:rFonts w:eastAsia="Times New Roman" w:cs="Times New Roman"/>
        </w:rPr>
      </w:pPr>
      <w:r w:rsidRPr="00F7056A">
        <w:rPr>
          <w:rFonts w:eastAsia="Times New Roman" w:cs="Times New Roman"/>
        </w:rPr>
        <w:t xml:space="preserve">Charles, Lorraine and Denman, </w:t>
      </w:r>
      <w:r w:rsidR="002B77AC">
        <w:rPr>
          <w:rFonts w:eastAsia="Times New Roman" w:cs="Times New Roman"/>
        </w:rPr>
        <w:t xml:space="preserve">Kate, </w:t>
      </w:r>
      <w:r w:rsidRPr="00F7056A">
        <w:rPr>
          <w:rFonts w:eastAsia="Times New Roman" w:cs="Times New Roman"/>
        </w:rPr>
        <w:t xml:space="preserve">‘Syrian and Palestinian Syrian Refugees in Lebanon: The Plight of Women and Children’ (2013) 14(5) </w:t>
      </w:r>
      <w:r w:rsidRPr="00F7056A">
        <w:rPr>
          <w:rFonts w:eastAsia="Times New Roman" w:cs="Times New Roman"/>
          <w:i/>
        </w:rPr>
        <w:t xml:space="preserve">Journal of International Women’s Studies </w:t>
      </w:r>
      <w:r w:rsidRPr="00F7056A">
        <w:rPr>
          <w:rFonts w:eastAsia="Times New Roman" w:cs="Times New Roman"/>
        </w:rPr>
        <w:t>96-111.</w:t>
      </w:r>
    </w:p>
    <w:p w14:paraId="22A82033" w14:textId="77777777" w:rsidR="0033068F" w:rsidRPr="00F7056A" w:rsidRDefault="0033068F" w:rsidP="0033068F">
      <w:pPr>
        <w:pStyle w:val="FootnoteText"/>
        <w:rPr>
          <w:rFonts w:cs="Times New Roman"/>
        </w:rPr>
      </w:pPr>
    </w:p>
    <w:p w14:paraId="26E80EB5" w14:textId="77777777" w:rsidR="0033068F" w:rsidRPr="00F7056A" w:rsidRDefault="0033068F" w:rsidP="0033068F">
      <w:pPr>
        <w:pStyle w:val="FootnoteText"/>
        <w:rPr>
          <w:rFonts w:cs="Times New Roman"/>
        </w:rPr>
      </w:pPr>
      <w:r w:rsidRPr="00F7056A">
        <w:rPr>
          <w:rFonts w:cs="Times New Roman"/>
        </w:rPr>
        <w:t xml:space="preserve">Committee on the Elimination of Discrimination Against Women ‘General Recommendation No. 35 on Gender-Based Violence Against Women, Updating General Recommendation No. 19’ (2017) 6(2) </w:t>
      </w:r>
      <w:r w:rsidRPr="00F7056A">
        <w:rPr>
          <w:rFonts w:cs="Times New Roman"/>
          <w:i/>
        </w:rPr>
        <w:t xml:space="preserve">International Human Rights Law Review </w:t>
      </w:r>
      <w:r w:rsidRPr="00F7056A">
        <w:rPr>
          <w:rFonts w:cs="Times New Roman"/>
        </w:rPr>
        <w:t>279-306.</w:t>
      </w:r>
    </w:p>
    <w:p w14:paraId="2F8908DA" w14:textId="77777777" w:rsidR="004C37A8" w:rsidRPr="00F7056A" w:rsidRDefault="004C37A8" w:rsidP="0033068F">
      <w:pPr>
        <w:pStyle w:val="FootnoteText"/>
        <w:rPr>
          <w:rFonts w:cs="Times New Roman"/>
        </w:rPr>
      </w:pPr>
    </w:p>
    <w:p w14:paraId="37255788" w14:textId="77777777" w:rsidR="004C37A8" w:rsidRPr="00F7056A" w:rsidRDefault="004C37A8" w:rsidP="0033068F">
      <w:pPr>
        <w:pStyle w:val="FootnoteText"/>
        <w:rPr>
          <w:rFonts w:cs="Times New Roman"/>
        </w:rPr>
      </w:pPr>
      <w:r w:rsidRPr="00F7056A">
        <w:rPr>
          <w:rFonts w:cs="Times New Roman"/>
        </w:rPr>
        <w:t xml:space="preserve">Condon, Elizabeth-Merry, ‘The Incoherent International Jurisprudence of Rape’ (2007) 3 </w:t>
      </w:r>
      <w:r w:rsidRPr="00F7056A">
        <w:rPr>
          <w:rFonts w:cs="Times New Roman"/>
          <w:i/>
        </w:rPr>
        <w:t xml:space="preserve">Eyes on the ICC </w:t>
      </w:r>
      <w:r w:rsidRPr="00F7056A">
        <w:rPr>
          <w:rFonts w:cs="Times New Roman"/>
        </w:rPr>
        <w:t>23-32.</w:t>
      </w:r>
    </w:p>
    <w:p w14:paraId="2E9BC90F" w14:textId="77777777" w:rsidR="003404C1" w:rsidRPr="00F7056A" w:rsidRDefault="003404C1" w:rsidP="0033068F">
      <w:pPr>
        <w:pStyle w:val="FootnoteText"/>
        <w:rPr>
          <w:rFonts w:cs="Times New Roman"/>
        </w:rPr>
      </w:pPr>
    </w:p>
    <w:p w14:paraId="297D1752" w14:textId="77777777" w:rsidR="003404C1" w:rsidRPr="00F7056A" w:rsidRDefault="003404C1" w:rsidP="0033068F">
      <w:pPr>
        <w:pStyle w:val="FootnoteText"/>
        <w:rPr>
          <w:rFonts w:cs="Times New Roman"/>
        </w:rPr>
      </w:pPr>
      <w:r w:rsidRPr="00F7056A">
        <w:rPr>
          <w:rFonts w:cs="Times New Roman"/>
          <w:i/>
        </w:rPr>
        <w:t>Convention on the Elimination of All Forms of Discrimination Against Women</w:t>
      </w:r>
      <w:r w:rsidRPr="00F7056A">
        <w:rPr>
          <w:rFonts w:cs="Times New Roman"/>
        </w:rPr>
        <w:t>, opened for signature 18 December 1979, 1249 UNTS 13 (entered into force 3 September 1981).</w:t>
      </w:r>
    </w:p>
    <w:p w14:paraId="3EF47A95" w14:textId="77777777" w:rsidR="000E4A5F" w:rsidRPr="00F7056A" w:rsidRDefault="000E4A5F" w:rsidP="0033068F">
      <w:pPr>
        <w:pStyle w:val="FootnoteText"/>
        <w:rPr>
          <w:rFonts w:ascii="Times New Roman" w:hAnsi="Times New Roman" w:cs="Times New Roman"/>
          <w:sz w:val="22"/>
          <w:szCs w:val="22"/>
        </w:rPr>
      </w:pPr>
    </w:p>
    <w:p w14:paraId="440F7F25" w14:textId="77777777" w:rsidR="000E4A5F" w:rsidRPr="00F7056A" w:rsidRDefault="000E4A5F" w:rsidP="0033068F">
      <w:pPr>
        <w:pStyle w:val="FootnoteText"/>
        <w:rPr>
          <w:rFonts w:cs="Times New Roman"/>
        </w:rPr>
      </w:pPr>
      <w:r w:rsidRPr="00F7056A">
        <w:rPr>
          <w:rFonts w:cs="Times New Roman"/>
          <w:i/>
        </w:rPr>
        <w:t>Convention Relating to the Status of Refugees</w:t>
      </w:r>
      <w:r w:rsidRPr="00F7056A">
        <w:rPr>
          <w:rFonts w:cs="Times New Roman"/>
        </w:rPr>
        <w:t>, opened for signature 28 July 1951, 189 UNTS 137 (entered into force 22 April 1954).</w:t>
      </w:r>
    </w:p>
    <w:p w14:paraId="218D8031" w14:textId="77777777" w:rsidR="00056365" w:rsidRPr="00F7056A" w:rsidRDefault="00056365" w:rsidP="00056365">
      <w:pPr>
        <w:pStyle w:val="FootnoteText"/>
        <w:rPr>
          <w:rFonts w:eastAsia="Times New Roman" w:cs="Times New Roman"/>
        </w:rPr>
      </w:pPr>
    </w:p>
    <w:p w14:paraId="4C7B91CB" w14:textId="77777777" w:rsidR="00056365" w:rsidRPr="00F7056A" w:rsidRDefault="00056365" w:rsidP="00056365">
      <w:pPr>
        <w:pStyle w:val="FootnoteText"/>
        <w:rPr>
          <w:rFonts w:cs="Times New Roman"/>
        </w:rPr>
      </w:pPr>
      <w:r w:rsidRPr="00F7056A">
        <w:rPr>
          <w:rFonts w:eastAsia="Times New Roman" w:cs="Times New Roman"/>
        </w:rPr>
        <w:t xml:space="preserve">Davis, Lisa, ‘ISIL, the Syrian Conflict, Sexual Violence, and the Way Forward: Syrian Women’s Inclusion in the Peace Processes’ (2016) 48(4) </w:t>
      </w:r>
      <w:r w:rsidRPr="00F7056A">
        <w:rPr>
          <w:rFonts w:eastAsia="Times New Roman" w:cs="Times New Roman"/>
          <w:i/>
        </w:rPr>
        <w:t xml:space="preserve">New York University Journal of International Law and Politics </w:t>
      </w:r>
      <w:r w:rsidRPr="00F7056A">
        <w:rPr>
          <w:rFonts w:eastAsia="Times New Roman" w:cs="Times New Roman"/>
        </w:rPr>
        <w:t>1157-1190</w:t>
      </w:r>
      <w:r w:rsidRPr="00F7056A">
        <w:rPr>
          <w:rFonts w:cs="Times New Roman"/>
        </w:rPr>
        <w:t>.</w:t>
      </w:r>
    </w:p>
    <w:p w14:paraId="3B950937" w14:textId="77777777" w:rsidR="00056365" w:rsidRPr="00F7056A" w:rsidRDefault="00056365" w:rsidP="00FE50F7">
      <w:pPr>
        <w:pStyle w:val="FootnoteText"/>
        <w:rPr>
          <w:rFonts w:cs="Times New Roman"/>
        </w:rPr>
      </w:pPr>
    </w:p>
    <w:p w14:paraId="5F8F4F1B" w14:textId="77777777" w:rsidR="004C37A8" w:rsidRPr="00F7056A" w:rsidRDefault="00056365" w:rsidP="004C37A8">
      <w:pPr>
        <w:pStyle w:val="FootnoteText"/>
        <w:rPr>
          <w:rFonts w:cs="Times New Roman"/>
          <w:i/>
        </w:rPr>
      </w:pPr>
      <w:r w:rsidRPr="00F7056A">
        <w:rPr>
          <w:rFonts w:cs="Times New Roman"/>
          <w:i/>
        </w:rPr>
        <w:t>Declaration on the Elimination of Violence Against Women</w:t>
      </w:r>
      <w:r w:rsidRPr="00F7056A">
        <w:rPr>
          <w:rFonts w:cs="Times New Roman"/>
        </w:rPr>
        <w:t>, GA Res 48/104, UN GAOR, 48</w:t>
      </w:r>
      <w:r w:rsidRPr="00F7056A">
        <w:rPr>
          <w:rFonts w:cs="Times New Roman"/>
          <w:vertAlign w:val="superscript"/>
        </w:rPr>
        <w:t>th</w:t>
      </w:r>
      <w:r w:rsidRPr="00F7056A">
        <w:rPr>
          <w:rFonts w:cs="Times New Roman"/>
        </w:rPr>
        <w:t xml:space="preserve"> </w:t>
      </w:r>
      <w:proofErr w:type="spellStart"/>
      <w:r w:rsidRPr="00F7056A">
        <w:rPr>
          <w:rFonts w:cs="Times New Roman"/>
        </w:rPr>
        <w:t>sess</w:t>
      </w:r>
      <w:proofErr w:type="spellEnd"/>
      <w:r w:rsidRPr="00F7056A">
        <w:rPr>
          <w:rFonts w:cs="Times New Roman"/>
        </w:rPr>
        <w:t>, 85</w:t>
      </w:r>
      <w:r w:rsidRPr="00F7056A">
        <w:rPr>
          <w:rFonts w:cs="Times New Roman"/>
          <w:vertAlign w:val="superscript"/>
        </w:rPr>
        <w:t>th</w:t>
      </w:r>
      <w:r w:rsidRPr="00F7056A">
        <w:rPr>
          <w:rFonts w:cs="Times New Roman"/>
        </w:rPr>
        <w:t xml:space="preserve"> </w:t>
      </w:r>
      <w:proofErr w:type="spellStart"/>
      <w:r w:rsidRPr="00F7056A">
        <w:rPr>
          <w:rFonts w:cs="Times New Roman"/>
        </w:rPr>
        <w:t>plen</w:t>
      </w:r>
      <w:proofErr w:type="spellEnd"/>
      <w:r w:rsidRPr="00F7056A">
        <w:rPr>
          <w:rFonts w:cs="Times New Roman"/>
        </w:rPr>
        <w:t xml:space="preserve"> </w:t>
      </w:r>
      <w:proofErr w:type="spellStart"/>
      <w:r w:rsidRPr="00F7056A">
        <w:rPr>
          <w:rFonts w:cs="Times New Roman"/>
        </w:rPr>
        <w:t>mt</w:t>
      </w:r>
      <w:proofErr w:type="spellEnd"/>
      <w:r w:rsidRPr="00F7056A">
        <w:rPr>
          <w:rFonts w:cs="Times New Roman"/>
        </w:rPr>
        <w:t>, UN Doc A/RES/48/104.</w:t>
      </w:r>
      <w:r w:rsidR="004C37A8" w:rsidRPr="00F7056A">
        <w:rPr>
          <w:rFonts w:cs="Times New Roman"/>
          <w:i/>
        </w:rPr>
        <w:t xml:space="preserve"> </w:t>
      </w:r>
    </w:p>
    <w:p w14:paraId="3206C699" w14:textId="77777777" w:rsidR="000E4A5F" w:rsidRPr="00F7056A" w:rsidRDefault="000E4A5F" w:rsidP="004C37A8">
      <w:pPr>
        <w:pStyle w:val="FootnoteText"/>
        <w:rPr>
          <w:rFonts w:eastAsia="Times New Roman" w:cs="Times New Roman"/>
        </w:rPr>
      </w:pPr>
    </w:p>
    <w:p w14:paraId="48FD9F9E" w14:textId="77777777" w:rsidR="000E4A5F" w:rsidRPr="00F7056A" w:rsidRDefault="000E4A5F" w:rsidP="004C37A8">
      <w:pPr>
        <w:pStyle w:val="FootnoteText"/>
        <w:rPr>
          <w:rFonts w:cs="Times New Roman"/>
          <w:i/>
        </w:rPr>
      </w:pPr>
      <w:r w:rsidRPr="00F7056A">
        <w:rPr>
          <w:rFonts w:cs="Times New Roman"/>
          <w:i/>
        </w:rPr>
        <w:t>Directive 2013/33/EU of the European Parliament and of the Council of 26 June 2013 Laying Down Standards for the Reception of Applicants for International Protection</w:t>
      </w:r>
      <w:r w:rsidRPr="00F7056A">
        <w:rPr>
          <w:rFonts w:cs="Times New Roman"/>
        </w:rPr>
        <w:t>, 2013.</w:t>
      </w:r>
    </w:p>
    <w:p w14:paraId="44E1478A" w14:textId="77777777" w:rsidR="004C37A8" w:rsidRPr="00F7056A" w:rsidRDefault="004C37A8" w:rsidP="004C37A8">
      <w:pPr>
        <w:pStyle w:val="FootnoteText"/>
        <w:rPr>
          <w:rFonts w:cs="Times New Roman"/>
          <w:i/>
        </w:rPr>
      </w:pPr>
    </w:p>
    <w:p w14:paraId="74050A8B" w14:textId="7F528B72" w:rsidR="004A00CC" w:rsidRPr="00F7056A" w:rsidRDefault="004A00CC" w:rsidP="004C37A8">
      <w:pPr>
        <w:pStyle w:val="FootnoteText"/>
        <w:rPr>
          <w:rFonts w:cstheme="minorHAnsi"/>
        </w:rPr>
      </w:pPr>
      <w:r w:rsidRPr="00F7056A">
        <w:rPr>
          <w:rFonts w:cstheme="minorHAnsi"/>
        </w:rPr>
        <w:t xml:space="preserve">Dolan, Chris, ‘Inclusive Gender: Why Tackling Gender Hierarchies Cannot be at the Expense of Human Rights and the Humanitarian Imperative’ (2016) 98(2) </w:t>
      </w:r>
      <w:r w:rsidRPr="00F7056A">
        <w:rPr>
          <w:rFonts w:cstheme="minorHAnsi"/>
          <w:i/>
        </w:rPr>
        <w:t xml:space="preserve">International Review of the Red Cross </w:t>
      </w:r>
      <w:r w:rsidRPr="00F7056A">
        <w:rPr>
          <w:rFonts w:cstheme="minorHAnsi"/>
        </w:rPr>
        <w:t>625-634.</w:t>
      </w:r>
    </w:p>
    <w:p w14:paraId="007266BE" w14:textId="77777777" w:rsidR="004A00CC" w:rsidRPr="00F7056A" w:rsidRDefault="004A00CC" w:rsidP="004C37A8">
      <w:pPr>
        <w:pStyle w:val="FootnoteText"/>
        <w:rPr>
          <w:rFonts w:eastAsia="Times New Roman" w:cs="Times New Roman"/>
        </w:rPr>
      </w:pPr>
    </w:p>
    <w:p w14:paraId="11825C7E" w14:textId="77777777" w:rsidR="004C37A8" w:rsidRPr="00F7056A" w:rsidRDefault="004C37A8" w:rsidP="004C37A8">
      <w:pPr>
        <w:pStyle w:val="FootnoteText"/>
        <w:rPr>
          <w:rFonts w:cs="Times New Roman"/>
        </w:rPr>
      </w:pPr>
      <w:r w:rsidRPr="00F7056A">
        <w:rPr>
          <w:rFonts w:eastAsia="Times New Roman" w:cs="Times New Roman"/>
        </w:rPr>
        <w:lastRenderedPageBreak/>
        <w:t xml:space="preserve">Dolan, Chris, ‘Letting Go of the Gender Binary: Charting New Pathways for Humanitarian Intervention on Gender-Based Violence’ (2014) 96(894) </w:t>
      </w:r>
      <w:r w:rsidRPr="00F7056A">
        <w:rPr>
          <w:rFonts w:eastAsia="Times New Roman" w:cs="Times New Roman"/>
          <w:i/>
        </w:rPr>
        <w:t xml:space="preserve">International Review of the Red Cross </w:t>
      </w:r>
      <w:r w:rsidR="005A3010" w:rsidRPr="00F7056A">
        <w:rPr>
          <w:rFonts w:eastAsia="Times New Roman" w:cs="Times New Roman"/>
        </w:rPr>
        <w:t>485-501</w:t>
      </w:r>
      <w:r w:rsidRPr="00F7056A">
        <w:rPr>
          <w:rFonts w:cs="Times New Roman"/>
        </w:rPr>
        <w:t>.</w:t>
      </w:r>
    </w:p>
    <w:p w14:paraId="5122FBB4" w14:textId="77777777" w:rsidR="00056365" w:rsidRPr="00F7056A" w:rsidRDefault="00056365" w:rsidP="00056365">
      <w:pPr>
        <w:pStyle w:val="FootnoteText"/>
        <w:rPr>
          <w:rFonts w:cs="Times New Roman"/>
        </w:rPr>
      </w:pPr>
    </w:p>
    <w:p w14:paraId="461F0F7E" w14:textId="77777777" w:rsidR="00056365" w:rsidRPr="00F7056A" w:rsidRDefault="00056365" w:rsidP="00056365">
      <w:pPr>
        <w:pStyle w:val="FootnoteText"/>
        <w:rPr>
          <w:rFonts w:cs="Times New Roman"/>
        </w:rPr>
      </w:pPr>
      <w:r w:rsidRPr="00F7056A">
        <w:rPr>
          <w:rFonts w:eastAsia="Times New Roman" w:cs="Times New Roman"/>
        </w:rPr>
        <w:t xml:space="preserve">Etienne, </w:t>
      </w:r>
      <w:proofErr w:type="spellStart"/>
      <w:r w:rsidRPr="00F7056A">
        <w:rPr>
          <w:rFonts w:eastAsia="Times New Roman" w:cs="Times New Roman"/>
        </w:rPr>
        <w:t>Margareth</w:t>
      </w:r>
      <w:proofErr w:type="spellEnd"/>
      <w:r w:rsidRPr="00F7056A">
        <w:rPr>
          <w:rFonts w:eastAsia="Times New Roman" w:cs="Times New Roman"/>
        </w:rPr>
        <w:t xml:space="preserve">, ‘Addressing Gender-Based Violence in an International Context’ (1995) 18 </w:t>
      </w:r>
      <w:r w:rsidRPr="00F7056A">
        <w:rPr>
          <w:rFonts w:eastAsia="Times New Roman" w:cs="Times New Roman"/>
          <w:i/>
        </w:rPr>
        <w:t xml:space="preserve">Harvard Women’s Law Journal </w:t>
      </w:r>
      <w:r w:rsidRPr="00F7056A">
        <w:rPr>
          <w:rFonts w:eastAsia="Times New Roman" w:cs="Times New Roman"/>
        </w:rPr>
        <w:t>139-170.</w:t>
      </w:r>
    </w:p>
    <w:p w14:paraId="30A22C37" w14:textId="77777777" w:rsidR="00056365" w:rsidRPr="00F7056A" w:rsidRDefault="00056365" w:rsidP="00056365">
      <w:pPr>
        <w:pStyle w:val="FootnoteText"/>
        <w:rPr>
          <w:rFonts w:cs="Times New Roman"/>
        </w:rPr>
      </w:pPr>
    </w:p>
    <w:p w14:paraId="588712D8" w14:textId="77777777" w:rsidR="00056365" w:rsidRPr="00F7056A" w:rsidRDefault="00056365" w:rsidP="00056365">
      <w:pPr>
        <w:pStyle w:val="FootnoteText"/>
        <w:rPr>
          <w:rFonts w:cs="Times New Roman"/>
        </w:rPr>
      </w:pPr>
      <w:r w:rsidRPr="00F7056A">
        <w:rPr>
          <w:rFonts w:cs="Times New Roman"/>
        </w:rPr>
        <w:t xml:space="preserve">Farmer, Alice ‘Refugee Responses, State-Behavior, and Accountability for Human Rights Violations: A Case Study of Sexual Violence in Guinea’s Refugee Camps’ (2006) 9 </w:t>
      </w:r>
      <w:r w:rsidRPr="00F7056A">
        <w:rPr>
          <w:rFonts w:cs="Times New Roman"/>
          <w:i/>
        </w:rPr>
        <w:t xml:space="preserve">Yale Human Rights &amp; Development Law Journal </w:t>
      </w:r>
      <w:r w:rsidRPr="00F7056A">
        <w:rPr>
          <w:rFonts w:cs="Times New Roman"/>
        </w:rPr>
        <w:t>44-84.</w:t>
      </w:r>
    </w:p>
    <w:p w14:paraId="50EAD2A4" w14:textId="77777777" w:rsidR="00056365" w:rsidRPr="00F7056A" w:rsidRDefault="00056365" w:rsidP="00056365">
      <w:pPr>
        <w:pStyle w:val="FootnoteText"/>
        <w:rPr>
          <w:rFonts w:eastAsia="Times New Roman" w:cs="Times New Roman"/>
        </w:rPr>
      </w:pPr>
    </w:p>
    <w:p w14:paraId="5B9FC62D" w14:textId="59BFD817" w:rsidR="00056365" w:rsidRPr="00F7056A" w:rsidRDefault="002B77AC" w:rsidP="00056365">
      <w:pPr>
        <w:pStyle w:val="FootnoteText"/>
        <w:rPr>
          <w:rFonts w:eastAsia="Times New Roman" w:cs="Times New Roman"/>
        </w:rPr>
      </w:pPr>
      <w:r>
        <w:rPr>
          <w:rFonts w:eastAsia="Times New Roman" w:cs="Times New Roman"/>
        </w:rPr>
        <w:t xml:space="preserve">Fowler, CJ, </w:t>
      </w:r>
      <w:r w:rsidR="00056365" w:rsidRPr="00F7056A">
        <w:rPr>
          <w:rFonts w:eastAsia="Times New Roman" w:cs="Times New Roman"/>
        </w:rPr>
        <w:t>Dugan-</w:t>
      </w:r>
      <w:proofErr w:type="spellStart"/>
      <w:r w:rsidR="00056365" w:rsidRPr="00F7056A">
        <w:rPr>
          <w:rFonts w:eastAsia="Times New Roman" w:cs="Times New Roman"/>
        </w:rPr>
        <w:t>Mair</w:t>
      </w:r>
      <w:proofErr w:type="spellEnd"/>
      <w:r>
        <w:rPr>
          <w:rFonts w:eastAsia="Times New Roman" w:cs="Times New Roman"/>
        </w:rPr>
        <w:t xml:space="preserve">, J and </w:t>
      </w:r>
      <w:r w:rsidR="00056365" w:rsidRPr="00F7056A">
        <w:rPr>
          <w:rFonts w:eastAsia="Times New Roman" w:cs="Times New Roman"/>
        </w:rPr>
        <w:t xml:space="preserve">Bolton, </w:t>
      </w:r>
      <w:r>
        <w:rPr>
          <w:rFonts w:eastAsia="Times New Roman" w:cs="Times New Roman"/>
        </w:rPr>
        <w:t xml:space="preserve">PA, </w:t>
      </w:r>
      <w:r w:rsidR="00056365" w:rsidRPr="00F7056A">
        <w:rPr>
          <w:rFonts w:eastAsia="Times New Roman" w:cs="Times New Roman"/>
        </w:rPr>
        <w:t xml:space="preserve">‘Assessing the Opportunity for Sexual Violence Against Women and Children in Refugee Camps’ (2000) </w:t>
      </w:r>
      <w:r w:rsidR="00056365" w:rsidRPr="00F7056A">
        <w:rPr>
          <w:rFonts w:eastAsia="Times New Roman" w:cs="Times New Roman"/>
          <w:i/>
        </w:rPr>
        <w:t xml:space="preserve">Journal of Humanitarian Assistance </w:t>
      </w:r>
      <w:r w:rsidR="00056365" w:rsidRPr="00F7056A">
        <w:rPr>
          <w:rFonts w:eastAsia="Times New Roman" w:cs="Times New Roman"/>
        </w:rPr>
        <w:t>1-10.</w:t>
      </w:r>
    </w:p>
    <w:p w14:paraId="1B829C11" w14:textId="77777777" w:rsidR="0033068F" w:rsidRPr="00F7056A" w:rsidRDefault="0033068F" w:rsidP="0033068F">
      <w:pPr>
        <w:pStyle w:val="FootnoteText"/>
        <w:rPr>
          <w:rFonts w:eastAsia="Times New Roman" w:cs="Times New Roman"/>
        </w:rPr>
      </w:pPr>
    </w:p>
    <w:p w14:paraId="7CAA0B58" w14:textId="07E9C679" w:rsidR="0033068F" w:rsidRPr="00F7056A" w:rsidRDefault="0033068F" w:rsidP="0033068F">
      <w:pPr>
        <w:pStyle w:val="FootnoteText"/>
        <w:rPr>
          <w:rFonts w:eastAsia="Times New Roman" w:cs="Times New Roman"/>
        </w:rPr>
      </w:pPr>
      <w:r w:rsidRPr="00F7056A">
        <w:rPr>
          <w:rFonts w:eastAsia="Times New Roman" w:cs="Times New Roman"/>
        </w:rPr>
        <w:t>Freedman, Jane</w:t>
      </w:r>
      <w:r w:rsidR="002B77AC">
        <w:rPr>
          <w:rFonts w:eastAsia="Times New Roman" w:cs="Times New Roman"/>
        </w:rPr>
        <w:t>,</w:t>
      </w:r>
      <w:r w:rsidRPr="00F7056A">
        <w:rPr>
          <w:rFonts w:eastAsia="Times New Roman" w:cs="Times New Roman"/>
        </w:rPr>
        <w:t xml:space="preserve"> ‘Engendering Security at the Borders of Europe: Women Migrants and the Mediterranean Crisis’ (2016) 29(4) </w:t>
      </w:r>
      <w:r w:rsidRPr="00F7056A">
        <w:rPr>
          <w:rFonts w:eastAsia="Times New Roman" w:cs="Times New Roman"/>
          <w:i/>
        </w:rPr>
        <w:t xml:space="preserve">Journal of Refugee Studies </w:t>
      </w:r>
      <w:r w:rsidRPr="00F7056A">
        <w:rPr>
          <w:rFonts w:eastAsia="Times New Roman" w:cs="Times New Roman"/>
        </w:rPr>
        <w:t>568-582.</w:t>
      </w:r>
    </w:p>
    <w:p w14:paraId="228220A3" w14:textId="77777777" w:rsidR="0033068F" w:rsidRPr="00F7056A" w:rsidRDefault="0033068F" w:rsidP="0033068F">
      <w:pPr>
        <w:pStyle w:val="FootnoteText"/>
        <w:rPr>
          <w:rFonts w:eastAsia="Times New Roman" w:cs="Times New Roman"/>
        </w:rPr>
      </w:pPr>
    </w:p>
    <w:p w14:paraId="752AD5D1" w14:textId="77777777" w:rsidR="0033068F" w:rsidRPr="00F7056A" w:rsidRDefault="0033068F" w:rsidP="0033068F">
      <w:pPr>
        <w:pStyle w:val="FootnoteText"/>
        <w:rPr>
          <w:rFonts w:eastAsia="Times New Roman" w:cs="Times New Roman"/>
        </w:rPr>
      </w:pPr>
      <w:r w:rsidRPr="00F7056A">
        <w:rPr>
          <w:rFonts w:eastAsia="Times New Roman" w:cs="Times New Roman"/>
        </w:rPr>
        <w:t xml:space="preserve">Freedman, Jane, ‘Sexual and Gender-Based Violence Against Refugee Women: A Hidden Aspect of the Refugee “Crisis”’ (2016) 24(47) </w:t>
      </w:r>
      <w:r w:rsidRPr="00F7056A">
        <w:rPr>
          <w:rFonts w:eastAsia="Times New Roman" w:cs="Times New Roman"/>
          <w:i/>
        </w:rPr>
        <w:t xml:space="preserve">Reproductive Health Matters </w:t>
      </w:r>
      <w:r w:rsidRPr="00F7056A">
        <w:rPr>
          <w:rFonts w:eastAsia="Times New Roman" w:cs="Times New Roman"/>
        </w:rPr>
        <w:t>18-26.</w:t>
      </w:r>
    </w:p>
    <w:p w14:paraId="0759B382" w14:textId="77777777" w:rsidR="00524A05" w:rsidRPr="00F7056A" w:rsidRDefault="00524A05" w:rsidP="0033068F">
      <w:pPr>
        <w:pStyle w:val="FootnoteText"/>
        <w:rPr>
          <w:rFonts w:eastAsia="Times New Roman" w:cs="Times New Roman"/>
        </w:rPr>
      </w:pPr>
    </w:p>
    <w:p w14:paraId="17482A04" w14:textId="77777777" w:rsidR="000C1D07" w:rsidRPr="00F7056A" w:rsidRDefault="000C1D07" w:rsidP="000C1D07">
      <w:pPr>
        <w:pStyle w:val="FootnoteText"/>
        <w:rPr>
          <w:rFonts w:cstheme="minorHAnsi"/>
        </w:rPr>
      </w:pPr>
      <w:r w:rsidRPr="00F7056A">
        <w:rPr>
          <w:rFonts w:cstheme="minorHAnsi"/>
        </w:rPr>
        <w:t xml:space="preserve">Glass, N, N Perrin, A Clough, A </w:t>
      </w:r>
      <w:proofErr w:type="spellStart"/>
      <w:r w:rsidRPr="00F7056A">
        <w:rPr>
          <w:rFonts w:cstheme="minorHAnsi"/>
        </w:rPr>
        <w:t>Desgroppes</w:t>
      </w:r>
      <w:proofErr w:type="spellEnd"/>
      <w:r w:rsidRPr="00F7056A">
        <w:rPr>
          <w:rFonts w:cstheme="minorHAnsi"/>
        </w:rPr>
        <w:t xml:space="preserve">, FN </w:t>
      </w:r>
      <w:proofErr w:type="spellStart"/>
      <w:r w:rsidRPr="00F7056A">
        <w:rPr>
          <w:rFonts w:cstheme="minorHAnsi"/>
        </w:rPr>
        <w:t>Kaburu</w:t>
      </w:r>
      <w:proofErr w:type="spellEnd"/>
      <w:r w:rsidRPr="00F7056A">
        <w:rPr>
          <w:rFonts w:cstheme="minorHAnsi"/>
        </w:rPr>
        <w:t xml:space="preserve">, J Melton, A Rink, S Read-Hamilton and M Marsh, ‘Evaluating the Communities Care Program: Best Practice for Rigorous Research to Evaluate Gender Based Violence Prevention and Response Programs in Humanitarian Settings’ (2018) 12(5) </w:t>
      </w:r>
      <w:r w:rsidRPr="00F7056A">
        <w:rPr>
          <w:rFonts w:cstheme="minorHAnsi"/>
          <w:i/>
        </w:rPr>
        <w:t xml:space="preserve">Conflict and Healthy </w:t>
      </w:r>
      <w:r w:rsidRPr="00F7056A">
        <w:rPr>
          <w:rFonts w:cstheme="minorHAnsi"/>
        </w:rPr>
        <w:t>1-10.</w:t>
      </w:r>
    </w:p>
    <w:p w14:paraId="5AB64D4D" w14:textId="77777777" w:rsidR="004A00CC" w:rsidRPr="00F7056A" w:rsidRDefault="004A00CC" w:rsidP="000C1D07">
      <w:pPr>
        <w:pStyle w:val="FootnoteText"/>
        <w:rPr>
          <w:rFonts w:cstheme="minorHAnsi"/>
        </w:rPr>
      </w:pPr>
    </w:p>
    <w:p w14:paraId="1EC06F19" w14:textId="2AEFFFAF" w:rsidR="004A00CC" w:rsidRPr="00F7056A" w:rsidRDefault="004A00CC" w:rsidP="000C1D07">
      <w:pPr>
        <w:pStyle w:val="FootnoteText"/>
        <w:rPr>
          <w:rFonts w:cstheme="minorHAnsi"/>
        </w:rPr>
      </w:pPr>
      <w:proofErr w:type="spellStart"/>
      <w:r w:rsidRPr="00F7056A">
        <w:rPr>
          <w:rFonts w:cstheme="minorHAnsi"/>
        </w:rPr>
        <w:t>Hilhorst</w:t>
      </w:r>
      <w:proofErr w:type="spellEnd"/>
      <w:r w:rsidRPr="00F7056A">
        <w:rPr>
          <w:rFonts w:cstheme="minorHAnsi"/>
        </w:rPr>
        <w:t xml:space="preserve">, Dorothea, Porter </w:t>
      </w:r>
      <w:r w:rsidR="002B77AC" w:rsidRPr="002B77AC">
        <w:rPr>
          <w:rFonts w:cstheme="minorHAnsi"/>
        </w:rPr>
        <w:t xml:space="preserve">Dore Holly </w:t>
      </w:r>
      <w:r w:rsidRPr="00F7056A">
        <w:rPr>
          <w:rFonts w:cstheme="minorHAnsi"/>
        </w:rPr>
        <w:t>and Gordon,</w:t>
      </w:r>
      <w:r w:rsidR="002B77AC" w:rsidRPr="002B77AC">
        <w:rPr>
          <w:rFonts w:cstheme="minorHAnsi"/>
        </w:rPr>
        <w:t xml:space="preserve"> Rachel</w:t>
      </w:r>
      <w:r w:rsidR="002B77AC">
        <w:rPr>
          <w:rFonts w:cstheme="minorHAnsi"/>
        </w:rPr>
        <w:t>,</w:t>
      </w:r>
      <w:r w:rsidRPr="00F7056A">
        <w:rPr>
          <w:rFonts w:cstheme="minorHAnsi"/>
        </w:rPr>
        <w:t xml:space="preserve"> ‘Gender, Sexuality, and Violence in Humanitarian Crises’ (2018) 42(1) </w:t>
      </w:r>
      <w:r w:rsidRPr="00F7056A">
        <w:rPr>
          <w:rFonts w:cstheme="minorHAnsi"/>
          <w:i/>
        </w:rPr>
        <w:t xml:space="preserve">Disasters </w:t>
      </w:r>
      <w:r w:rsidRPr="00F7056A">
        <w:rPr>
          <w:rFonts w:cstheme="minorHAnsi"/>
        </w:rPr>
        <w:t>S3-S16.</w:t>
      </w:r>
    </w:p>
    <w:p w14:paraId="6566087B" w14:textId="77777777" w:rsidR="0033068F" w:rsidRPr="00F7056A" w:rsidRDefault="0033068F" w:rsidP="00056365">
      <w:pPr>
        <w:pStyle w:val="FootnoteText"/>
        <w:rPr>
          <w:rFonts w:cs="Times New Roman"/>
        </w:rPr>
      </w:pPr>
    </w:p>
    <w:p w14:paraId="16605517" w14:textId="77777777" w:rsidR="0033068F" w:rsidRPr="00F7056A" w:rsidRDefault="0033068F" w:rsidP="00056365">
      <w:pPr>
        <w:pStyle w:val="FootnoteText"/>
        <w:rPr>
          <w:rFonts w:eastAsia="Times New Roman" w:cs="Times New Roman"/>
        </w:rPr>
      </w:pPr>
      <w:r w:rsidRPr="00F7056A">
        <w:rPr>
          <w:rFonts w:eastAsia="Times New Roman" w:cs="Times New Roman"/>
        </w:rPr>
        <w:t xml:space="preserve">Hough, Carrie, ‘Understanding Refugees’ Concepts of Sexual and Gender-Based Violence’ (2013) 43 </w:t>
      </w:r>
      <w:r w:rsidRPr="00F7056A">
        <w:rPr>
          <w:rFonts w:eastAsia="Times New Roman" w:cs="Times New Roman"/>
          <w:i/>
        </w:rPr>
        <w:t xml:space="preserve">Forced Migration Review </w:t>
      </w:r>
      <w:r w:rsidRPr="00F7056A">
        <w:rPr>
          <w:rFonts w:eastAsia="Times New Roman" w:cs="Times New Roman"/>
        </w:rPr>
        <w:t>81-83.</w:t>
      </w:r>
    </w:p>
    <w:p w14:paraId="08AD173F" w14:textId="77777777" w:rsidR="00FE50F7" w:rsidRPr="00F7056A" w:rsidRDefault="00FE50F7" w:rsidP="00FE50F7">
      <w:pPr>
        <w:pStyle w:val="FootnoteText"/>
        <w:rPr>
          <w:rFonts w:cs="Times New Roman"/>
        </w:rPr>
      </w:pPr>
    </w:p>
    <w:p w14:paraId="73616EBA" w14:textId="58DCE358" w:rsidR="00FE50F7" w:rsidRPr="00F7056A" w:rsidRDefault="00FE50F7" w:rsidP="00FE50F7">
      <w:pPr>
        <w:pStyle w:val="FootnoteText"/>
        <w:rPr>
          <w:rFonts w:eastAsia="Times New Roman" w:cs="Times New Roman"/>
        </w:rPr>
      </w:pPr>
      <w:r w:rsidRPr="00F7056A">
        <w:rPr>
          <w:rFonts w:eastAsia="Times New Roman" w:cs="Times New Roman"/>
        </w:rPr>
        <w:t>Hynes</w:t>
      </w:r>
      <w:r w:rsidR="00077F0C" w:rsidRPr="00F7056A">
        <w:rPr>
          <w:rFonts w:eastAsia="Times New Roman" w:cs="Times New Roman"/>
        </w:rPr>
        <w:t>, Michelle</w:t>
      </w:r>
      <w:r w:rsidR="002B77AC">
        <w:rPr>
          <w:rFonts w:eastAsia="Times New Roman" w:cs="Times New Roman"/>
        </w:rPr>
        <w:t xml:space="preserve"> and </w:t>
      </w:r>
      <w:r w:rsidRPr="00F7056A">
        <w:rPr>
          <w:rFonts w:eastAsia="Times New Roman" w:cs="Times New Roman"/>
        </w:rPr>
        <w:t>Lopes Cardozo</w:t>
      </w:r>
      <w:r w:rsidR="002B77AC">
        <w:rPr>
          <w:rFonts w:eastAsia="Times New Roman" w:cs="Times New Roman"/>
        </w:rPr>
        <w:t>, Barbara</w:t>
      </w:r>
      <w:r w:rsidRPr="00F7056A">
        <w:rPr>
          <w:rFonts w:eastAsia="Times New Roman" w:cs="Times New Roman"/>
        </w:rPr>
        <w:t xml:space="preserve">, ‘Observations </w:t>
      </w:r>
      <w:proofErr w:type="gramStart"/>
      <w:r w:rsidRPr="00F7056A">
        <w:rPr>
          <w:rFonts w:eastAsia="Times New Roman" w:cs="Times New Roman"/>
        </w:rPr>
        <w:t>From</w:t>
      </w:r>
      <w:proofErr w:type="gramEnd"/>
      <w:r w:rsidRPr="00F7056A">
        <w:rPr>
          <w:rFonts w:eastAsia="Times New Roman" w:cs="Times New Roman"/>
        </w:rPr>
        <w:t xml:space="preserve"> the CDC – Sexual Violence Against Refugee Women’ (2000) 9(8) </w:t>
      </w:r>
      <w:r w:rsidRPr="00F7056A">
        <w:rPr>
          <w:rFonts w:eastAsia="Times New Roman" w:cs="Times New Roman"/>
          <w:i/>
        </w:rPr>
        <w:t>Journal of Women’s Health &amp; Gender-Based Medicine</w:t>
      </w:r>
      <w:r w:rsidR="00077F0C" w:rsidRPr="00F7056A">
        <w:rPr>
          <w:rFonts w:eastAsia="Times New Roman" w:cs="Times New Roman"/>
        </w:rPr>
        <w:t xml:space="preserve"> 819-823.</w:t>
      </w:r>
    </w:p>
    <w:p w14:paraId="7BE1C12A" w14:textId="77777777" w:rsidR="005A3010" w:rsidRPr="00F7056A" w:rsidRDefault="005A3010" w:rsidP="00FE50F7">
      <w:pPr>
        <w:pStyle w:val="FootnoteText"/>
        <w:rPr>
          <w:rFonts w:eastAsia="Times New Roman" w:cs="Times New Roman"/>
        </w:rPr>
      </w:pPr>
    </w:p>
    <w:p w14:paraId="1EBC622B" w14:textId="77777777" w:rsidR="005A3010" w:rsidRPr="00F7056A" w:rsidRDefault="005A3010" w:rsidP="00FE50F7">
      <w:pPr>
        <w:pStyle w:val="FootnoteText"/>
        <w:rPr>
          <w:rFonts w:eastAsia="Times New Roman" w:cs="Times New Roman"/>
        </w:rPr>
      </w:pPr>
      <w:r w:rsidRPr="00F7056A">
        <w:rPr>
          <w:rFonts w:eastAsia="Times New Roman" w:cs="Times New Roman"/>
        </w:rPr>
        <w:t xml:space="preserve">Inter-Agency Standing Committee, </w:t>
      </w:r>
      <w:r w:rsidRPr="00F7056A">
        <w:rPr>
          <w:rFonts w:eastAsia="Times New Roman" w:cs="Times New Roman"/>
          <w:i/>
        </w:rPr>
        <w:t>Guidelines for Gender-Based Violence Interventions in Humanitarian Settings: Focusing on Prevention of and Response to Sexual Violence in Emergencies</w:t>
      </w:r>
      <w:r w:rsidRPr="00F7056A">
        <w:rPr>
          <w:rFonts w:eastAsia="Times New Roman" w:cs="Times New Roman"/>
        </w:rPr>
        <w:t xml:space="preserve"> (Geneva: IASC, 2005).</w:t>
      </w:r>
    </w:p>
    <w:p w14:paraId="3C0ED37A" w14:textId="77777777" w:rsidR="000C1D07" w:rsidRPr="00F7056A" w:rsidRDefault="000C1D07" w:rsidP="00FE50F7">
      <w:pPr>
        <w:pStyle w:val="FootnoteText"/>
        <w:rPr>
          <w:rFonts w:eastAsia="Times New Roman" w:cs="Times New Roman"/>
        </w:rPr>
      </w:pPr>
    </w:p>
    <w:p w14:paraId="1FD3D094" w14:textId="77777777" w:rsidR="000C1D07" w:rsidRPr="00F7056A" w:rsidRDefault="000C1D07" w:rsidP="00FE50F7">
      <w:pPr>
        <w:pStyle w:val="FootnoteText"/>
        <w:rPr>
          <w:rFonts w:eastAsia="Times New Roman" w:cs="Times New Roman"/>
        </w:rPr>
      </w:pPr>
      <w:r w:rsidRPr="00F7056A">
        <w:rPr>
          <w:rFonts w:eastAsia="Times New Roman" w:cs="Times New Roman"/>
        </w:rPr>
        <w:t xml:space="preserve">Inter-Agency Standing Committee, </w:t>
      </w:r>
      <w:r w:rsidRPr="00F7056A">
        <w:rPr>
          <w:rFonts w:eastAsia="Times New Roman" w:cs="Times New Roman"/>
          <w:i/>
        </w:rPr>
        <w:t>Guidelines for Integrating Gender-Based Violence Interventions in Humanitarian Action: Reducing Risk, Promoting Resilience and Aiding Recovery</w:t>
      </w:r>
      <w:r w:rsidRPr="00F7056A">
        <w:rPr>
          <w:rFonts w:eastAsia="Times New Roman" w:cs="Times New Roman"/>
        </w:rPr>
        <w:t xml:space="preserve"> (Geneva: IASC, 2015).</w:t>
      </w:r>
    </w:p>
    <w:p w14:paraId="4CB8153D" w14:textId="77777777" w:rsidR="004A00CC" w:rsidRPr="00F7056A" w:rsidRDefault="004A00CC" w:rsidP="00FE50F7">
      <w:pPr>
        <w:pStyle w:val="FootnoteText"/>
        <w:rPr>
          <w:rFonts w:ascii="Times New Roman" w:hAnsi="Times New Roman" w:cs="Times New Roman"/>
          <w:sz w:val="22"/>
          <w:szCs w:val="22"/>
        </w:rPr>
      </w:pPr>
    </w:p>
    <w:p w14:paraId="4D139496" w14:textId="78C7A346" w:rsidR="004A00CC" w:rsidRPr="00F7056A" w:rsidRDefault="004A00CC" w:rsidP="00FE50F7">
      <w:pPr>
        <w:pStyle w:val="FootnoteText"/>
        <w:rPr>
          <w:rFonts w:eastAsia="Times New Roman" w:cs="Times New Roman"/>
        </w:rPr>
      </w:pPr>
      <w:r w:rsidRPr="00F7056A">
        <w:rPr>
          <w:rFonts w:eastAsia="Times New Roman" w:cs="Times New Roman"/>
        </w:rPr>
        <w:t xml:space="preserve">International Development Committee, UK House of Commons, </w:t>
      </w:r>
      <w:r w:rsidRPr="00F7056A">
        <w:rPr>
          <w:rFonts w:eastAsia="Times New Roman" w:cs="Times New Roman"/>
          <w:i/>
        </w:rPr>
        <w:t>Sexual Exploitation and Abuse in the Aid Sector</w:t>
      </w:r>
      <w:r w:rsidRPr="00F7056A">
        <w:rPr>
          <w:rFonts w:eastAsia="Times New Roman" w:cs="Times New Roman"/>
        </w:rPr>
        <w:t xml:space="preserve"> (2018).</w:t>
      </w:r>
    </w:p>
    <w:p w14:paraId="69C63579" w14:textId="77777777" w:rsidR="00056365" w:rsidRPr="00F7056A" w:rsidRDefault="00056365" w:rsidP="00FE50F7">
      <w:pPr>
        <w:pStyle w:val="FootnoteText"/>
        <w:rPr>
          <w:rFonts w:eastAsia="Times New Roman" w:cs="Times New Roman"/>
        </w:rPr>
      </w:pPr>
    </w:p>
    <w:p w14:paraId="73FE51B3" w14:textId="32CE823C" w:rsidR="00056365" w:rsidRPr="00F7056A" w:rsidRDefault="00056365" w:rsidP="00056365">
      <w:pPr>
        <w:pStyle w:val="FootnoteText"/>
        <w:rPr>
          <w:rFonts w:cs="Times New Roman"/>
        </w:rPr>
      </w:pPr>
      <w:proofErr w:type="spellStart"/>
      <w:r w:rsidRPr="00F7056A">
        <w:rPr>
          <w:rFonts w:cs="Times New Roman"/>
        </w:rPr>
        <w:lastRenderedPageBreak/>
        <w:t>Keygnaert</w:t>
      </w:r>
      <w:proofErr w:type="spellEnd"/>
      <w:r w:rsidRPr="00F7056A">
        <w:rPr>
          <w:rFonts w:cs="Times New Roman"/>
        </w:rPr>
        <w:t>, Ines</w:t>
      </w:r>
      <w:r w:rsidR="002B77AC">
        <w:rPr>
          <w:rFonts w:cs="Times New Roman"/>
        </w:rPr>
        <w:t>,</w:t>
      </w:r>
      <w:r w:rsidRPr="00F7056A">
        <w:rPr>
          <w:rFonts w:cs="Times New Roman"/>
        </w:rPr>
        <w:t xml:space="preserve"> </w:t>
      </w:r>
      <w:proofErr w:type="spellStart"/>
      <w:r w:rsidRPr="00F7056A">
        <w:rPr>
          <w:rFonts w:cs="Times New Roman"/>
        </w:rPr>
        <w:t>Vettenburg</w:t>
      </w:r>
      <w:proofErr w:type="spellEnd"/>
      <w:r w:rsidRPr="00F7056A">
        <w:rPr>
          <w:rFonts w:cs="Times New Roman"/>
        </w:rPr>
        <w:t xml:space="preserve"> </w:t>
      </w:r>
      <w:r w:rsidR="002B77AC">
        <w:rPr>
          <w:rFonts w:cs="Times New Roman"/>
        </w:rPr>
        <w:t xml:space="preserve">Nicole and </w:t>
      </w:r>
      <w:proofErr w:type="spellStart"/>
      <w:r w:rsidRPr="00F7056A">
        <w:rPr>
          <w:rFonts w:cs="Times New Roman"/>
        </w:rPr>
        <w:t>Temmerman</w:t>
      </w:r>
      <w:proofErr w:type="spellEnd"/>
      <w:r w:rsidRPr="00F7056A">
        <w:rPr>
          <w:rFonts w:cs="Times New Roman"/>
        </w:rPr>
        <w:t>,</w:t>
      </w:r>
      <w:r w:rsidR="002B77AC">
        <w:rPr>
          <w:rFonts w:cs="Times New Roman"/>
        </w:rPr>
        <w:t xml:space="preserve"> Marleen,</w:t>
      </w:r>
      <w:r w:rsidRPr="00F7056A">
        <w:rPr>
          <w:rFonts w:cs="Times New Roman"/>
        </w:rPr>
        <w:t xml:space="preserve"> ‘Hidden Violence is Silent Rape: Sexual and Gender-Based Violence in Refugees, Asylum Seekers and Undocumented Migrants in Belgium and the Netherlands’ (2012) 14(5) </w:t>
      </w:r>
      <w:r w:rsidRPr="00F7056A">
        <w:rPr>
          <w:rFonts w:cs="Times New Roman"/>
          <w:i/>
        </w:rPr>
        <w:t xml:space="preserve">Culture, Health &amp; Sexuality </w:t>
      </w:r>
      <w:r w:rsidRPr="00F7056A">
        <w:rPr>
          <w:rFonts w:cs="Times New Roman"/>
        </w:rPr>
        <w:t>505-520.</w:t>
      </w:r>
    </w:p>
    <w:p w14:paraId="7E912BB2" w14:textId="77777777" w:rsidR="004C37A8" w:rsidRPr="00F7056A" w:rsidRDefault="004C37A8" w:rsidP="004C37A8">
      <w:pPr>
        <w:pStyle w:val="FootnoteText"/>
        <w:rPr>
          <w:rFonts w:eastAsia="Times New Roman" w:cs="Times New Roman"/>
        </w:rPr>
      </w:pPr>
    </w:p>
    <w:p w14:paraId="22464C9E" w14:textId="77777777" w:rsidR="004C37A8" w:rsidRPr="00F7056A" w:rsidRDefault="004C37A8" w:rsidP="004C37A8">
      <w:pPr>
        <w:pStyle w:val="FootnoteText"/>
        <w:rPr>
          <w:rFonts w:eastAsia="Times New Roman" w:cs="Times New Roman"/>
        </w:rPr>
      </w:pPr>
      <w:proofErr w:type="spellStart"/>
      <w:r w:rsidRPr="00F7056A">
        <w:rPr>
          <w:rFonts w:eastAsia="Times New Roman" w:cs="Times New Roman"/>
        </w:rPr>
        <w:t>Kivilcim</w:t>
      </w:r>
      <w:proofErr w:type="spellEnd"/>
      <w:r w:rsidRPr="00F7056A">
        <w:rPr>
          <w:rFonts w:eastAsia="Times New Roman" w:cs="Times New Roman"/>
        </w:rPr>
        <w:t xml:space="preserve">, Zeynep, ‘Legal Violence Against Syrian Female Refugees in Turkey’ (2016) 24(2) </w:t>
      </w:r>
      <w:r w:rsidRPr="00F7056A">
        <w:rPr>
          <w:rFonts w:eastAsia="Times New Roman" w:cs="Times New Roman"/>
          <w:i/>
        </w:rPr>
        <w:t xml:space="preserve">Feminist Legal Studies </w:t>
      </w:r>
      <w:r w:rsidRPr="00F7056A">
        <w:rPr>
          <w:rFonts w:eastAsia="Times New Roman" w:cs="Times New Roman"/>
        </w:rPr>
        <w:t>193-214.</w:t>
      </w:r>
    </w:p>
    <w:p w14:paraId="7DF61419" w14:textId="77777777" w:rsidR="00056365" w:rsidRPr="00F7056A" w:rsidRDefault="00056365" w:rsidP="00056365">
      <w:pPr>
        <w:pStyle w:val="FootnoteText"/>
        <w:rPr>
          <w:rFonts w:cs="Times New Roman"/>
        </w:rPr>
      </w:pPr>
    </w:p>
    <w:p w14:paraId="646E06F4" w14:textId="77777777" w:rsidR="00056365" w:rsidRPr="00F7056A" w:rsidRDefault="00056365" w:rsidP="00056365">
      <w:pPr>
        <w:pStyle w:val="FootnoteText"/>
        <w:rPr>
          <w:rFonts w:cs="Times New Roman"/>
        </w:rPr>
      </w:pPr>
      <w:proofErr w:type="spellStart"/>
      <w:r w:rsidRPr="00F7056A">
        <w:rPr>
          <w:rFonts w:cs="Times New Roman"/>
        </w:rPr>
        <w:t>Kofford</w:t>
      </w:r>
      <w:proofErr w:type="spellEnd"/>
      <w:r w:rsidRPr="00F7056A">
        <w:rPr>
          <w:rFonts w:cs="Times New Roman"/>
        </w:rPr>
        <w:t xml:space="preserve">, Kelsey, ‘An Examination of the Law, or Lack Thereof, in Refugee and Displacement Camps’ (2012) 35(1) </w:t>
      </w:r>
      <w:r w:rsidRPr="00F7056A">
        <w:rPr>
          <w:rFonts w:cs="Times New Roman"/>
          <w:i/>
        </w:rPr>
        <w:t xml:space="preserve">Hastings International and Comparative Law Review </w:t>
      </w:r>
      <w:r w:rsidRPr="00F7056A">
        <w:rPr>
          <w:rFonts w:cs="Times New Roman"/>
        </w:rPr>
        <w:t>173-216.</w:t>
      </w:r>
    </w:p>
    <w:p w14:paraId="6C0DB2DA" w14:textId="77777777" w:rsidR="005A3010" w:rsidRPr="00F7056A" w:rsidRDefault="005A3010" w:rsidP="00056365">
      <w:pPr>
        <w:pStyle w:val="FootnoteText"/>
        <w:rPr>
          <w:rFonts w:cs="Times New Roman"/>
        </w:rPr>
      </w:pPr>
    </w:p>
    <w:p w14:paraId="64934AD5" w14:textId="40A8C3A4" w:rsidR="005A3010" w:rsidRPr="00F7056A" w:rsidRDefault="005A3010" w:rsidP="00056365">
      <w:pPr>
        <w:pStyle w:val="FootnoteText"/>
        <w:rPr>
          <w:rFonts w:cs="Times New Roman"/>
        </w:rPr>
      </w:pPr>
      <w:proofErr w:type="spellStart"/>
      <w:r w:rsidRPr="00F7056A">
        <w:rPr>
          <w:rFonts w:cs="Times New Roman"/>
        </w:rPr>
        <w:t>Lilleston</w:t>
      </w:r>
      <w:proofErr w:type="spellEnd"/>
      <w:r w:rsidR="00524A05" w:rsidRPr="00F7056A">
        <w:rPr>
          <w:rFonts w:cs="Times New Roman"/>
        </w:rPr>
        <w:t>, Pamela, Winograd</w:t>
      </w:r>
      <w:r w:rsidRPr="00F7056A">
        <w:rPr>
          <w:rFonts w:cs="Times New Roman"/>
        </w:rPr>
        <w:t>,</w:t>
      </w:r>
      <w:r w:rsidR="002B77AC" w:rsidRPr="002B77AC">
        <w:rPr>
          <w:rFonts w:cs="Times New Roman"/>
        </w:rPr>
        <w:t xml:space="preserve"> </w:t>
      </w:r>
      <w:proofErr w:type="gramStart"/>
      <w:r w:rsidR="002B77AC" w:rsidRPr="002B77AC">
        <w:rPr>
          <w:rFonts w:cs="Times New Roman"/>
        </w:rPr>
        <w:t>Liliane</w:t>
      </w:r>
      <w:r w:rsidR="002B77AC">
        <w:rPr>
          <w:rFonts w:cs="Times New Roman"/>
        </w:rPr>
        <w:t xml:space="preserve">, </w:t>
      </w:r>
      <w:r w:rsidR="00524A05" w:rsidRPr="00F7056A">
        <w:rPr>
          <w:rFonts w:cs="Times New Roman"/>
        </w:rPr>
        <w:t xml:space="preserve"> Ahmed</w:t>
      </w:r>
      <w:proofErr w:type="gramEnd"/>
      <w:r w:rsidR="00524A05" w:rsidRPr="00F7056A">
        <w:rPr>
          <w:rFonts w:cs="Times New Roman"/>
        </w:rPr>
        <w:t xml:space="preserve">, </w:t>
      </w:r>
      <w:proofErr w:type="spellStart"/>
      <w:r w:rsidR="002B77AC" w:rsidRPr="002B77AC">
        <w:rPr>
          <w:rFonts w:cs="Times New Roman"/>
        </w:rPr>
        <w:t>Spogmay</w:t>
      </w:r>
      <w:proofErr w:type="spellEnd"/>
      <w:r w:rsidR="002B77AC">
        <w:rPr>
          <w:rFonts w:cs="Times New Roman"/>
        </w:rPr>
        <w:t xml:space="preserve">, </w:t>
      </w:r>
      <w:proofErr w:type="spellStart"/>
      <w:r w:rsidR="00524A05" w:rsidRPr="00F7056A">
        <w:rPr>
          <w:rFonts w:cs="Times New Roman"/>
        </w:rPr>
        <w:t>Salamé</w:t>
      </w:r>
      <w:proofErr w:type="spellEnd"/>
      <w:r w:rsidR="00524A05" w:rsidRPr="00F7056A">
        <w:rPr>
          <w:rFonts w:cs="Times New Roman"/>
        </w:rPr>
        <w:t xml:space="preserve">, </w:t>
      </w:r>
      <w:proofErr w:type="spellStart"/>
      <w:r w:rsidR="002B77AC" w:rsidRPr="002B77AC">
        <w:rPr>
          <w:rFonts w:cs="Times New Roman"/>
        </w:rPr>
        <w:t>Dounia</w:t>
      </w:r>
      <w:proofErr w:type="spellEnd"/>
      <w:r w:rsidR="002B77AC">
        <w:rPr>
          <w:rFonts w:cs="Times New Roman"/>
        </w:rPr>
        <w:t>,</w:t>
      </w:r>
      <w:r w:rsidR="00524A05" w:rsidRPr="00F7056A">
        <w:rPr>
          <w:rFonts w:cs="Times New Roman"/>
        </w:rPr>
        <w:t xml:space="preserve"> Al </w:t>
      </w:r>
      <w:proofErr w:type="spellStart"/>
      <w:r w:rsidR="00524A05" w:rsidRPr="00F7056A">
        <w:rPr>
          <w:rFonts w:cs="Times New Roman"/>
        </w:rPr>
        <w:t>Alam</w:t>
      </w:r>
      <w:proofErr w:type="spellEnd"/>
      <w:r w:rsidR="00524A05" w:rsidRPr="00F7056A">
        <w:rPr>
          <w:rFonts w:cs="Times New Roman"/>
        </w:rPr>
        <w:t>,</w:t>
      </w:r>
      <w:r w:rsidR="002B77AC" w:rsidRPr="002B77AC">
        <w:rPr>
          <w:rFonts w:cs="Times New Roman"/>
        </w:rPr>
        <w:t xml:space="preserve"> Dayana</w:t>
      </w:r>
      <w:r w:rsidR="002B77AC">
        <w:rPr>
          <w:rFonts w:cs="Times New Roman"/>
        </w:rPr>
        <w:t>,</w:t>
      </w:r>
      <w:r w:rsidR="00524A05" w:rsidRPr="00F7056A">
        <w:rPr>
          <w:rFonts w:cs="Times New Roman"/>
        </w:rPr>
        <w:t xml:space="preserve"> </w:t>
      </w:r>
      <w:proofErr w:type="spellStart"/>
      <w:r w:rsidR="00524A05" w:rsidRPr="00F7056A">
        <w:rPr>
          <w:rFonts w:cs="Times New Roman"/>
        </w:rPr>
        <w:t>Stoebenau</w:t>
      </w:r>
      <w:proofErr w:type="spellEnd"/>
      <w:r w:rsidR="00524A05" w:rsidRPr="00F7056A">
        <w:rPr>
          <w:rFonts w:cs="Times New Roman"/>
        </w:rPr>
        <w:t xml:space="preserve">, </w:t>
      </w:r>
      <w:r w:rsidR="002B77AC" w:rsidRPr="002B77AC">
        <w:rPr>
          <w:rFonts w:cs="Times New Roman"/>
        </w:rPr>
        <w:t>Kirsten</w:t>
      </w:r>
      <w:r w:rsidR="002B77AC">
        <w:rPr>
          <w:rFonts w:cs="Times New Roman"/>
        </w:rPr>
        <w:t>,</w:t>
      </w:r>
      <w:r w:rsidR="002B77AC" w:rsidRPr="002B77AC">
        <w:rPr>
          <w:rFonts w:cs="Times New Roman"/>
        </w:rPr>
        <w:t xml:space="preserve"> </w:t>
      </w:r>
      <w:proofErr w:type="spellStart"/>
      <w:r w:rsidR="00524A05" w:rsidRPr="00F7056A">
        <w:rPr>
          <w:rFonts w:cs="Times New Roman"/>
        </w:rPr>
        <w:t>Michelis</w:t>
      </w:r>
      <w:proofErr w:type="spellEnd"/>
      <w:r w:rsidR="002B77AC">
        <w:rPr>
          <w:rFonts w:cs="Times New Roman"/>
        </w:rPr>
        <w:t>,</w:t>
      </w:r>
      <w:r w:rsidR="00524A05" w:rsidRPr="00F7056A">
        <w:rPr>
          <w:rFonts w:cs="Times New Roman"/>
        </w:rPr>
        <w:t xml:space="preserve"> </w:t>
      </w:r>
      <w:r w:rsidR="002B77AC" w:rsidRPr="002B77AC">
        <w:rPr>
          <w:rFonts w:cs="Times New Roman"/>
        </w:rPr>
        <w:t xml:space="preserve">Ilaria </w:t>
      </w:r>
      <w:r w:rsidR="00524A05" w:rsidRPr="00F7056A">
        <w:rPr>
          <w:rFonts w:cs="Times New Roman"/>
        </w:rPr>
        <w:t xml:space="preserve">and </w:t>
      </w:r>
      <w:proofErr w:type="spellStart"/>
      <w:r w:rsidR="00524A05" w:rsidRPr="00F7056A">
        <w:rPr>
          <w:rFonts w:cs="Times New Roman"/>
        </w:rPr>
        <w:t>Palekar</w:t>
      </w:r>
      <w:proofErr w:type="spellEnd"/>
      <w:r w:rsidR="00524A05" w:rsidRPr="00F7056A">
        <w:rPr>
          <w:rFonts w:cs="Times New Roman"/>
        </w:rPr>
        <w:t xml:space="preserve"> </w:t>
      </w:r>
      <w:proofErr w:type="spellStart"/>
      <w:r w:rsidR="00524A05" w:rsidRPr="00F7056A">
        <w:rPr>
          <w:rFonts w:cs="Times New Roman"/>
        </w:rPr>
        <w:t>Joergensen</w:t>
      </w:r>
      <w:proofErr w:type="spellEnd"/>
      <w:r w:rsidR="00524A05" w:rsidRPr="00F7056A">
        <w:rPr>
          <w:rFonts w:cs="Times New Roman"/>
        </w:rPr>
        <w:t>,</w:t>
      </w:r>
      <w:r w:rsidR="002B77AC" w:rsidRPr="002B77AC">
        <w:rPr>
          <w:rFonts w:cs="Times New Roman"/>
        </w:rPr>
        <w:t xml:space="preserve"> Sunita</w:t>
      </w:r>
      <w:r w:rsidR="002B77AC">
        <w:rPr>
          <w:rFonts w:cs="Times New Roman"/>
        </w:rPr>
        <w:t xml:space="preserve">, </w:t>
      </w:r>
      <w:r w:rsidRPr="00F7056A">
        <w:rPr>
          <w:rFonts w:cs="Times New Roman"/>
        </w:rPr>
        <w:t xml:space="preserve"> ‘Evaluation of a Mobile Approach to Gender-Based Violence Service Delivery Among Syrian Refugees’ (2018) 33(7) </w:t>
      </w:r>
      <w:r w:rsidRPr="00F7056A">
        <w:rPr>
          <w:rFonts w:cs="Times New Roman"/>
          <w:i/>
        </w:rPr>
        <w:t>Health Policy and Planning</w:t>
      </w:r>
      <w:r w:rsidRPr="00F7056A">
        <w:rPr>
          <w:rFonts w:cs="Times New Roman"/>
        </w:rPr>
        <w:t xml:space="preserve"> 767-776.</w:t>
      </w:r>
    </w:p>
    <w:p w14:paraId="01AAAE1E" w14:textId="77777777" w:rsidR="0033068F" w:rsidRPr="00F7056A" w:rsidRDefault="0033068F" w:rsidP="0033068F">
      <w:pPr>
        <w:pStyle w:val="FootnoteText"/>
        <w:rPr>
          <w:rFonts w:cs="Times New Roman"/>
        </w:rPr>
      </w:pPr>
    </w:p>
    <w:p w14:paraId="0BE6551F" w14:textId="77777777" w:rsidR="0033068F" w:rsidRPr="00F7056A" w:rsidRDefault="0033068F" w:rsidP="0033068F">
      <w:pPr>
        <w:pStyle w:val="FootnoteText"/>
        <w:rPr>
          <w:rFonts w:cs="Times New Roman"/>
        </w:rPr>
      </w:pPr>
      <w:r w:rsidRPr="00F7056A">
        <w:rPr>
          <w:rFonts w:cs="Times New Roman"/>
        </w:rPr>
        <w:t xml:space="preserve">Marchand, Marianne H, ‘The Violence of Development and the Migration/Insecurities Nexus: </w:t>
      </w:r>
      <w:proofErr w:type="spellStart"/>
      <w:r w:rsidRPr="00F7056A">
        <w:rPr>
          <w:rFonts w:cs="Times New Roman"/>
        </w:rPr>
        <w:t>Labour</w:t>
      </w:r>
      <w:proofErr w:type="spellEnd"/>
      <w:r w:rsidRPr="00F7056A">
        <w:rPr>
          <w:rFonts w:cs="Times New Roman"/>
        </w:rPr>
        <w:t xml:space="preserve"> Migration in a North American Context’ (2008) 29)7) </w:t>
      </w:r>
      <w:r w:rsidRPr="00F7056A">
        <w:rPr>
          <w:rFonts w:cs="Times New Roman"/>
          <w:i/>
        </w:rPr>
        <w:t xml:space="preserve">Third World Quarterly </w:t>
      </w:r>
      <w:r w:rsidRPr="00F7056A">
        <w:rPr>
          <w:rFonts w:cs="Times New Roman"/>
        </w:rPr>
        <w:t>1375-1388.</w:t>
      </w:r>
    </w:p>
    <w:p w14:paraId="1E5C3DCA" w14:textId="77777777" w:rsidR="0033068F" w:rsidRPr="00F7056A" w:rsidRDefault="0033068F" w:rsidP="0033068F">
      <w:pPr>
        <w:pStyle w:val="FootnoteText"/>
        <w:rPr>
          <w:rFonts w:eastAsia="Times New Roman" w:cs="Times New Roman"/>
        </w:rPr>
      </w:pPr>
    </w:p>
    <w:p w14:paraId="53BB2957" w14:textId="3DB3230E" w:rsidR="0033068F" w:rsidRPr="00F7056A" w:rsidRDefault="002B77AC" w:rsidP="0033068F">
      <w:pPr>
        <w:pStyle w:val="FootnoteText"/>
        <w:rPr>
          <w:rFonts w:eastAsia="Times New Roman" w:cs="Times New Roman"/>
        </w:rPr>
      </w:pPr>
      <w:r>
        <w:rPr>
          <w:rFonts w:eastAsia="Times New Roman" w:cs="Times New Roman"/>
        </w:rPr>
        <w:t xml:space="preserve">Marsh, M, </w:t>
      </w:r>
      <w:proofErr w:type="spellStart"/>
      <w:r w:rsidR="0033068F" w:rsidRPr="00F7056A">
        <w:rPr>
          <w:rFonts w:eastAsia="Times New Roman" w:cs="Times New Roman"/>
        </w:rPr>
        <w:t>Purdin</w:t>
      </w:r>
      <w:proofErr w:type="spellEnd"/>
      <w:r>
        <w:rPr>
          <w:rFonts w:eastAsia="Times New Roman" w:cs="Times New Roman"/>
        </w:rPr>
        <w:t xml:space="preserve">, S and </w:t>
      </w:r>
      <w:proofErr w:type="spellStart"/>
      <w:r w:rsidR="0033068F" w:rsidRPr="00F7056A">
        <w:rPr>
          <w:rFonts w:eastAsia="Times New Roman" w:cs="Times New Roman"/>
        </w:rPr>
        <w:t>Navani</w:t>
      </w:r>
      <w:proofErr w:type="spellEnd"/>
      <w:r w:rsidR="0033068F" w:rsidRPr="00F7056A">
        <w:rPr>
          <w:rFonts w:eastAsia="Times New Roman" w:cs="Times New Roman"/>
        </w:rPr>
        <w:t xml:space="preserve">, </w:t>
      </w:r>
      <w:r>
        <w:rPr>
          <w:rFonts w:eastAsia="Times New Roman" w:cs="Times New Roman"/>
        </w:rPr>
        <w:t xml:space="preserve">S, </w:t>
      </w:r>
      <w:r w:rsidR="0033068F" w:rsidRPr="00F7056A">
        <w:rPr>
          <w:rFonts w:eastAsia="Times New Roman" w:cs="Times New Roman"/>
        </w:rPr>
        <w:t xml:space="preserve">‘Addressing Sexual Violence in Humanitarian Emergencies’ (2006) 1(2) </w:t>
      </w:r>
      <w:r w:rsidR="0033068F" w:rsidRPr="00F7056A">
        <w:rPr>
          <w:rFonts w:eastAsia="Times New Roman" w:cs="Times New Roman"/>
          <w:i/>
        </w:rPr>
        <w:t xml:space="preserve">Global Public Health </w:t>
      </w:r>
      <w:r w:rsidR="0033068F" w:rsidRPr="00F7056A">
        <w:rPr>
          <w:rFonts w:eastAsia="Times New Roman" w:cs="Times New Roman"/>
        </w:rPr>
        <w:t>133-146.</w:t>
      </w:r>
    </w:p>
    <w:p w14:paraId="527999DB" w14:textId="77777777" w:rsidR="004A00CC" w:rsidRPr="00F7056A" w:rsidRDefault="004A00CC" w:rsidP="0033068F">
      <w:pPr>
        <w:pStyle w:val="FootnoteText"/>
        <w:rPr>
          <w:rFonts w:eastAsia="Times New Roman" w:cs="Times New Roman"/>
        </w:rPr>
      </w:pPr>
    </w:p>
    <w:p w14:paraId="1E104771" w14:textId="30E5A0BB" w:rsidR="004A00CC" w:rsidRPr="00F7056A" w:rsidRDefault="004A00CC" w:rsidP="0033068F">
      <w:pPr>
        <w:pStyle w:val="FootnoteText"/>
        <w:rPr>
          <w:rFonts w:eastAsia="Times New Roman" w:cs="Times New Roman"/>
        </w:rPr>
      </w:pPr>
      <w:r w:rsidRPr="00F7056A">
        <w:rPr>
          <w:rFonts w:eastAsia="Times New Roman" w:cs="Times New Roman"/>
        </w:rPr>
        <w:t xml:space="preserve">Office of the United Nations High Commissioner for Human Rights, </w:t>
      </w:r>
      <w:r w:rsidRPr="00F7056A">
        <w:rPr>
          <w:rFonts w:eastAsia="Times New Roman" w:cs="Times New Roman"/>
          <w:i/>
        </w:rPr>
        <w:t xml:space="preserve">Fact Sheet on Homophobic and Transphobic Violence </w:t>
      </w:r>
      <w:r w:rsidRPr="00F7056A">
        <w:rPr>
          <w:rFonts w:eastAsia="Times New Roman" w:cs="Times New Roman"/>
        </w:rPr>
        <w:t>&lt;https://www.ohchr.org/Documents/Issues/Discrimination/LGBT/FactSheets/unfe-27-UN_Fact_Sheets_Homophobic_English.pdf&gt;.</w:t>
      </w:r>
    </w:p>
    <w:p w14:paraId="4E2DDDB0" w14:textId="77777777" w:rsidR="00FE50F7" w:rsidRPr="00F7056A" w:rsidRDefault="00FE50F7" w:rsidP="00FE50F7">
      <w:pPr>
        <w:pStyle w:val="FootnoteText"/>
        <w:rPr>
          <w:rFonts w:cs="Times New Roman"/>
          <w:lang w:val="en-AU"/>
        </w:rPr>
      </w:pPr>
    </w:p>
    <w:p w14:paraId="509E7A75" w14:textId="77777777" w:rsidR="004C37A8" w:rsidRPr="00F7056A" w:rsidRDefault="004C37A8" w:rsidP="00FE50F7">
      <w:pPr>
        <w:pStyle w:val="FootnoteText"/>
        <w:rPr>
          <w:rFonts w:cs="Times New Roman"/>
        </w:rPr>
      </w:pPr>
      <w:proofErr w:type="spellStart"/>
      <w:r w:rsidRPr="00F7056A">
        <w:rPr>
          <w:rFonts w:cs="Times New Roman"/>
        </w:rPr>
        <w:t>Oosterveld</w:t>
      </w:r>
      <w:proofErr w:type="spellEnd"/>
      <w:r w:rsidRPr="00F7056A">
        <w:rPr>
          <w:rFonts w:cs="Times New Roman"/>
        </w:rPr>
        <w:t xml:space="preserve">, Valerie, ‘The ICC Policy Paper on Sexual and Gender-Based Crimes: A Crucial Step for International Criminal Law’ (2018) 24(3) </w:t>
      </w:r>
      <w:r w:rsidRPr="00F7056A">
        <w:rPr>
          <w:rFonts w:cs="Times New Roman"/>
          <w:i/>
        </w:rPr>
        <w:t xml:space="preserve">William &amp; Mary Journal of Women and the Law </w:t>
      </w:r>
      <w:r w:rsidRPr="00F7056A">
        <w:rPr>
          <w:rFonts w:cs="Times New Roman"/>
        </w:rPr>
        <w:t>443-458.</w:t>
      </w:r>
    </w:p>
    <w:p w14:paraId="6ACCCC51" w14:textId="77777777" w:rsidR="004C37A8" w:rsidRPr="00F7056A" w:rsidRDefault="004C37A8" w:rsidP="00FE50F7">
      <w:pPr>
        <w:pStyle w:val="FootnoteText"/>
        <w:rPr>
          <w:rFonts w:cs="Times New Roman"/>
          <w:lang w:val="en-AU"/>
        </w:rPr>
      </w:pPr>
    </w:p>
    <w:p w14:paraId="4DC73C41" w14:textId="0CD01F81" w:rsidR="00FE50F7" w:rsidRPr="00F7056A" w:rsidRDefault="00FE50F7" w:rsidP="00FE50F7">
      <w:pPr>
        <w:pStyle w:val="FootnoteText"/>
        <w:rPr>
          <w:rFonts w:cs="Times New Roman"/>
        </w:rPr>
      </w:pPr>
      <w:proofErr w:type="spellStart"/>
      <w:r w:rsidRPr="00F7056A">
        <w:rPr>
          <w:rFonts w:cs="Times New Roman"/>
        </w:rPr>
        <w:t>Pittaway</w:t>
      </w:r>
      <w:proofErr w:type="spellEnd"/>
      <w:r w:rsidR="00077F0C" w:rsidRPr="00F7056A">
        <w:rPr>
          <w:rFonts w:cs="Times New Roman"/>
        </w:rPr>
        <w:t>, Eileen</w:t>
      </w:r>
      <w:r w:rsidRPr="00F7056A">
        <w:rPr>
          <w:rFonts w:cs="Times New Roman"/>
        </w:rPr>
        <w:t xml:space="preserve"> and </w:t>
      </w:r>
      <w:proofErr w:type="spellStart"/>
      <w:r w:rsidRPr="00F7056A">
        <w:rPr>
          <w:rFonts w:cs="Times New Roman"/>
        </w:rPr>
        <w:t>Bartolomei</w:t>
      </w:r>
      <w:proofErr w:type="spellEnd"/>
      <w:r w:rsidRPr="00F7056A">
        <w:rPr>
          <w:rFonts w:cs="Times New Roman"/>
        </w:rPr>
        <w:t xml:space="preserve">, </w:t>
      </w:r>
      <w:r w:rsidR="002B77AC">
        <w:rPr>
          <w:rFonts w:cs="Times New Roman"/>
        </w:rPr>
        <w:t xml:space="preserve">Linda, </w:t>
      </w:r>
      <w:r w:rsidRPr="00F7056A">
        <w:rPr>
          <w:rFonts w:cs="Times New Roman"/>
        </w:rPr>
        <w:t xml:space="preserve">‘Enhancing the Protection of Women and Girls Through the Global Compact on Refugees’ (2018) 57 </w:t>
      </w:r>
      <w:r w:rsidRPr="00F7056A">
        <w:rPr>
          <w:rFonts w:cs="Times New Roman"/>
          <w:i/>
        </w:rPr>
        <w:t xml:space="preserve">Forced Migration Review </w:t>
      </w:r>
      <w:r w:rsidR="00077F0C" w:rsidRPr="00F7056A">
        <w:rPr>
          <w:rFonts w:cs="Times New Roman"/>
        </w:rPr>
        <w:t>77-79.</w:t>
      </w:r>
    </w:p>
    <w:p w14:paraId="6F5F7B21" w14:textId="77777777" w:rsidR="00056365" w:rsidRPr="00F7056A" w:rsidRDefault="00056365" w:rsidP="00056365">
      <w:pPr>
        <w:pStyle w:val="FootnoteText"/>
        <w:rPr>
          <w:rFonts w:cs="Times New Roman"/>
          <w:i/>
        </w:rPr>
      </w:pPr>
    </w:p>
    <w:p w14:paraId="3D0381F2" w14:textId="77777777" w:rsidR="00056365" w:rsidRPr="00F7056A" w:rsidRDefault="00056365" w:rsidP="00056365">
      <w:pPr>
        <w:pStyle w:val="FootnoteText"/>
        <w:rPr>
          <w:rFonts w:cs="Times New Roman"/>
        </w:rPr>
      </w:pPr>
      <w:r w:rsidRPr="00F7056A">
        <w:rPr>
          <w:rFonts w:cs="Times New Roman"/>
          <w:i/>
        </w:rPr>
        <w:t xml:space="preserve">Prosecutor v Jean-Paul </w:t>
      </w:r>
      <w:proofErr w:type="spellStart"/>
      <w:r w:rsidRPr="00F7056A">
        <w:rPr>
          <w:rFonts w:cs="Times New Roman"/>
          <w:i/>
        </w:rPr>
        <w:t>Akayesu</w:t>
      </w:r>
      <w:proofErr w:type="spellEnd"/>
      <w:r w:rsidRPr="00F7056A">
        <w:rPr>
          <w:rFonts w:cs="Times New Roman"/>
        </w:rPr>
        <w:t>, Trial Chamber I, Case No ICTR-96-4-T, 2 September 1998.</w:t>
      </w:r>
    </w:p>
    <w:p w14:paraId="4A9CFC8D" w14:textId="77777777" w:rsidR="00FE50F7" w:rsidRPr="00F7056A" w:rsidRDefault="00FE50F7" w:rsidP="00FE50F7">
      <w:pPr>
        <w:pStyle w:val="FootnoteText"/>
        <w:rPr>
          <w:rFonts w:cs="Times New Roman"/>
        </w:rPr>
      </w:pPr>
    </w:p>
    <w:p w14:paraId="03918CAF" w14:textId="77777777" w:rsidR="00FE50F7" w:rsidRPr="00F7056A" w:rsidRDefault="00FE50F7" w:rsidP="00FE50F7">
      <w:pPr>
        <w:jc w:val="both"/>
        <w:rPr>
          <w:rFonts w:cs="Times New Roman"/>
        </w:rPr>
      </w:pPr>
      <w:proofErr w:type="spellStart"/>
      <w:r w:rsidRPr="00F7056A">
        <w:rPr>
          <w:rFonts w:cs="Times New Roman"/>
        </w:rPr>
        <w:t>Purkey</w:t>
      </w:r>
      <w:proofErr w:type="spellEnd"/>
      <w:r w:rsidRPr="00F7056A">
        <w:rPr>
          <w:rFonts w:cs="Times New Roman"/>
        </w:rPr>
        <w:t>,</w:t>
      </w:r>
      <w:r w:rsidR="00077F0C" w:rsidRPr="00F7056A">
        <w:rPr>
          <w:rFonts w:cs="Times New Roman"/>
        </w:rPr>
        <w:t xml:space="preserve"> Anne</w:t>
      </w:r>
      <w:r w:rsidR="00056365" w:rsidRPr="00F7056A">
        <w:rPr>
          <w:rFonts w:cs="Times New Roman"/>
        </w:rPr>
        <w:t xml:space="preserve"> </w:t>
      </w:r>
      <w:proofErr w:type="spellStart"/>
      <w:r w:rsidR="00056365" w:rsidRPr="00F7056A">
        <w:rPr>
          <w:rFonts w:cs="Times New Roman"/>
        </w:rPr>
        <w:t>Lise</w:t>
      </w:r>
      <w:proofErr w:type="spellEnd"/>
      <w:r w:rsidR="00077F0C" w:rsidRPr="00F7056A">
        <w:rPr>
          <w:rFonts w:cs="Times New Roman"/>
        </w:rPr>
        <w:t>,</w:t>
      </w:r>
      <w:r w:rsidRPr="00F7056A">
        <w:rPr>
          <w:rFonts w:cs="Times New Roman"/>
        </w:rPr>
        <w:t xml:space="preserve"> ‘Whose Right to What Justice – The Administration of Justice in Refugee Camps’ (2011) 17 </w:t>
      </w:r>
      <w:r w:rsidRPr="00F7056A">
        <w:rPr>
          <w:rFonts w:cs="Times New Roman"/>
          <w:i/>
        </w:rPr>
        <w:t xml:space="preserve">New England Journal of International and Comparative Law </w:t>
      </w:r>
      <w:r w:rsidR="00077F0C" w:rsidRPr="00F7056A">
        <w:rPr>
          <w:rFonts w:cs="Times New Roman"/>
        </w:rPr>
        <w:t>121-157.</w:t>
      </w:r>
    </w:p>
    <w:p w14:paraId="01CED8CA" w14:textId="77777777" w:rsidR="00FE50F7" w:rsidRPr="00F7056A" w:rsidRDefault="00FE50F7" w:rsidP="00FE50F7">
      <w:pPr>
        <w:jc w:val="both"/>
        <w:rPr>
          <w:rFonts w:cs="Times New Roman"/>
        </w:rPr>
      </w:pPr>
    </w:p>
    <w:p w14:paraId="775F6E3C" w14:textId="77777777" w:rsidR="0033068F" w:rsidRPr="00F7056A" w:rsidRDefault="0033068F" w:rsidP="0033068F">
      <w:pPr>
        <w:pStyle w:val="FootnoteText"/>
        <w:rPr>
          <w:rFonts w:cs="Times New Roman"/>
        </w:rPr>
      </w:pPr>
      <w:proofErr w:type="spellStart"/>
      <w:r w:rsidRPr="00F7056A">
        <w:rPr>
          <w:rFonts w:cs="Times New Roman"/>
        </w:rPr>
        <w:t>Schmiechen</w:t>
      </w:r>
      <w:proofErr w:type="spellEnd"/>
      <w:r w:rsidRPr="00F7056A">
        <w:rPr>
          <w:rFonts w:cs="Times New Roman"/>
        </w:rPr>
        <w:t xml:space="preserve">, Malinda M, ‘Parallel Lives, Uneven Justice: An Analysis of Rights, Protection and Redress for Refugee and Internally Displaced Women in Camps’ (2003) 22(2) </w:t>
      </w:r>
      <w:r w:rsidRPr="00F7056A">
        <w:rPr>
          <w:rFonts w:cs="Times New Roman"/>
          <w:i/>
        </w:rPr>
        <w:t xml:space="preserve">Saint Louis University Public Law Review </w:t>
      </w:r>
      <w:r w:rsidRPr="00F7056A">
        <w:rPr>
          <w:rFonts w:cs="Times New Roman"/>
        </w:rPr>
        <w:t>473-520.</w:t>
      </w:r>
    </w:p>
    <w:p w14:paraId="2314DE20" w14:textId="77777777" w:rsidR="004C37A8" w:rsidRPr="00F7056A" w:rsidRDefault="004C37A8" w:rsidP="0033068F">
      <w:pPr>
        <w:pStyle w:val="FootnoteText"/>
        <w:rPr>
          <w:rFonts w:cs="Times New Roman"/>
        </w:rPr>
      </w:pPr>
    </w:p>
    <w:p w14:paraId="729A326F" w14:textId="77777777" w:rsidR="004C37A8" w:rsidRPr="00F7056A" w:rsidRDefault="004C37A8" w:rsidP="0033068F">
      <w:pPr>
        <w:pStyle w:val="FootnoteText"/>
        <w:rPr>
          <w:rFonts w:cs="Times New Roman"/>
        </w:rPr>
      </w:pPr>
      <w:r w:rsidRPr="00F7056A">
        <w:rPr>
          <w:rFonts w:cs="Times New Roman"/>
        </w:rPr>
        <w:t>SC Res 1325, UN SCOR, 4213</w:t>
      </w:r>
      <w:r w:rsidRPr="00F7056A">
        <w:rPr>
          <w:rFonts w:cs="Times New Roman"/>
          <w:vertAlign w:val="superscript"/>
        </w:rPr>
        <w:t>th</w:t>
      </w:r>
      <w:r w:rsidRPr="00F7056A">
        <w:rPr>
          <w:rFonts w:cs="Times New Roman"/>
        </w:rPr>
        <w:t xml:space="preserve"> </w:t>
      </w:r>
      <w:proofErr w:type="spellStart"/>
      <w:r w:rsidRPr="00F7056A">
        <w:rPr>
          <w:rFonts w:cs="Times New Roman"/>
        </w:rPr>
        <w:t>mtg</w:t>
      </w:r>
      <w:proofErr w:type="spellEnd"/>
      <w:r w:rsidRPr="00F7056A">
        <w:rPr>
          <w:rFonts w:cs="Times New Roman"/>
        </w:rPr>
        <w:t>, UN Doc S/RES/1325 (31 October 2000).</w:t>
      </w:r>
    </w:p>
    <w:p w14:paraId="17AA0934" w14:textId="77777777" w:rsidR="00A00381" w:rsidRPr="00F7056A" w:rsidRDefault="00A00381" w:rsidP="0033068F">
      <w:pPr>
        <w:pStyle w:val="FootnoteText"/>
        <w:rPr>
          <w:rFonts w:cs="Times New Roman"/>
        </w:rPr>
      </w:pPr>
    </w:p>
    <w:p w14:paraId="521BAB29" w14:textId="6E257A67" w:rsidR="0033068F" w:rsidRPr="00F7056A" w:rsidRDefault="00A00381" w:rsidP="0033068F">
      <w:pPr>
        <w:pStyle w:val="FootnoteText"/>
        <w:rPr>
          <w:rFonts w:cs="Times New Roman"/>
        </w:rPr>
      </w:pPr>
      <w:r w:rsidRPr="00F7056A">
        <w:rPr>
          <w:rFonts w:cs="Times New Roman"/>
          <w:i/>
        </w:rPr>
        <w:t>Special Measures for Protection from Sexual Exploitation and Abuse: A New Approach – Report of the Secretary-General</w:t>
      </w:r>
      <w:r w:rsidRPr="00F7056A">
        <w:rPr>
          <w:rFonts w:cs="Times New Roman"/>
        </w:rPr>
        <w:t xml:space="preserve">, UN GAOR, 71st </w:t>
      </w:r>
      <w:proofErr w:type="spellStart"/>
      <w:r w:rsidRPr="00F7056A">
        <w:rPr>
          <w:rFonts w:cs="Times New Roman"/>
        </w:rPr>
        <w:t>sess</w:t>
      </w:r>
      <w:proofErr w:type="spellEnd"/>
      <w:r w:rsidRPr="00F7056A">
        <w:rPr>
          <w:rFonts w:cs="Times New Roman"/>
        </w:rPr>
        <w:t>, UN Doc A/71/818 (28 February 2017).</w:t>
      </w:r>
    </w:p>
    <w:p w14:paraId="408CDB00" w14:textId="77777777" w:rsidR="00AA437D" w:rsidRPr="00F7056A" w:rsidRDefault="00AA437D" w:rsidP="00AA437D">
      <w:pPr>
        <w:pStyle w:val="FootnoteText"/>
        <w:rPr>
          <w:rFonts w:cs="Times New Roman"/>
          <w:lang w:val="en-AU"/>
        </w:rPr>
      </w:pPr>
    </w:p>
    <w:p w14:paraId="76BA544E" w14:textId="77777777" w:rsidR="00AA437D" w:rsidRPr="00F7056A" w:rsidRDefault="000E4A5F" w:rsidP="00AA437D">
      <w:pPr>
        <w:pStyle w:val="FootnoteText"/>
        <w:rPr>
          <w:rFonts w:cs="Times New Roman"/>
          <w:lang w:val="en-AU"/>
        </w:rPr>
      </w:pPr>
      <w:r w:rsidRPr="00F7056A">
        <w:rPr>
          <w:rFonts w:eastAsia="Times New Roman" w:cs="Times New Roman"/>
        </w:rPr>
        <w:t>United Nations High Commissioner for Refugees</w:t>
      </w:r>
      <w:r w:rsidRPr="00F7056A">
        <w:rPr>
          <w:rFonts w:cs="Times New Roman"/>
          <w:lang w:val="en-AU"/>
        </w:rPr>
        <w:t>,</w:t>
      </w:r>
      <w:r w:rsidR="00AA437D" w:rsidRPr="00F7056A">
        <w:rPr>
          <w:rFonts w:cs="Times New Roman"/>
          <w:lang w:val="en-AU"/>
        </w:rPr>
        <w:t xml:space="preserve"> </w:t>
      </w:r>
      <w:r w:rsidR="00AA437D" w:rsidRPr="00F7056A">
        <w:rPr>
          <w:rFonts w:cs="Times New Roman"/>
          <w:i/>
          <w:lang w:val="en-AU"/>
        </w:rPr>
        <w:t>Guidelines on International Protection: Gender-Related Persecution Within the Context of Article 1(A)2 of the 1951 Convention and/or its 1967 Protocol Relating to the Status of Refugees</w:t>
      </w:r>
      <w:r w:rsidRPr="00F7056A">
        <w:rPr>
          <w:rFonts w:cs="Times New Roman"/>
          <w:lang w:val="en-AU"/>
        </w:rPr>
        <w:t xml:space="preserve"> (</w:t>
      </w:r>
      <w:r w:rsidR="00AA437D" w:rsidRPr="00F7056A">
        <w:rPr>
          <w:rFonts w:cs="Times New Roman"/>
          <w:lang w:val="en-AU"/>
        </w:rPr>
        <w:t>Geneva: UNHCR, 2002</w:t>
      </w:r>
      <w:r w:rsidRPr="00F7056A">
        <w:rPr>
          <w:rFonts w:cs="Times New Roman"/>
          <w:lang w:val="en-AU"/>
        </w:rPr>
        <w:t>)</w:t>
      </w:r>
      <w:r w:rsidR="00AA437D" w:rsidRPr="00F7056A">
        <w:rPr>
          <w:rFonts w:cs="Times New Roman"/>
          <w:lang w:val="en-AU"/>
        </w:rPr>
        <w:t>.</w:t>
      </w:r>
    </w:p>
    <w:p w14:paraId="65413536" w14:textId="77777777" w:rsidR="00FE50F7" w:rsidRPr="00F7056A" w:rsidRDefault="00FE50F7" w:rsidP="00FE50F7">
      <w:pPr>
        <w:pStyle w:val="FootnoteText"/>
        <w:rPr>
          <w:rFonts w:cs="Times New Roman"/>
        </w:rPr>
      </w:pPr>
    </w:p>
    <w:p w14:paraId="11A342A5" w14:textId="77777777" w:rsidR="0033068F" w:rsidRPr="00F7056A" w:rsidRDefault="000E4A5F" w:rsidP="0033068F">
      <w:pPr>
        <w:pStyle w:val="FootnoteText"/>
        <w:rPr>
          <w:rFonts w:cs="Times New Roman"/>
        </w:rPr>
      </w:pPr>
      <w:r w:rsidRPr="00F7056A">
        <w:rPr>
          <w:rFonts w:eastAsia="Times New Roman" w:cs="Times New Roman"/>
        </w:rPr>
        <w:t>United Nations High Commissioner for Refugees</w:t>
      </w:r>
      <w:r w:rsidR="0033068F" w:rsidRPr="00F7056A">
        <w:rPr>
          <w:rFonts w:cs="Times New Roman"/>
        </w:rPr>
        <w:t xml:space="preserve">, </w:t>
      </w:r>
      <w:r w:rsidR="0033068F" w:rsidRPr="00F7056A">
        <w:rPr>
          <w:rFonts w:cs="Times New Roman"/>
          <w:i/>
        </w:rPr>
        <w:t xml:space="preserve">Guidelines on the Protection of Refugee Women </w:t>
      </w:r>
      <w:r w:rsidR="0033068F" w:rsidRPr="00F7056A">
        <w:rPr>
          <w:rFonts w:cs="Times New Roman"/>
        </w:rPr>
        <w:t xml:space="preserve">(Geneva: </w:t>
      </w:r>
      <w:r w:rsidRPr="00F7056A">
        <w:rPr>
          <w:rFonts w:cs="Times New Roman"/>
        </w:rPr>
        <w:t>UNHCR</w:t>
      </w:r>
      <w:r w:rsidR="0033068F" w:rsidRPr="00F7056A">
        <w:rPr>
          <w:rFonts w:cs="Times New Roman"/>
        </w:rPr>
        <w:t>, 1991).</w:t>
      </w:r>
    </w:p>
    <w:p w14:paraId="3F40683E" w14:textId="77777777" w:rsidR="004C37A8" w:rsidRPr="00F7056A" w:rsidRDefault="004C37A8" w:rsidP="004C37A8">
      <w:pPr>
        <w:pStyle w:val="FootnoteText"/>
        <w:rPr>
          <w:rFonts w:cs="Times New Roman"/>
          <w:lang w:val="en-AU"/>
        </w:rPr>
      </w:pPr>
    </w:p>
    <w:p w14:paraId="24EBE41F" w14:textId="77777777" w:rsidR="004C37A8" w:rsidRPr="00F7056A" w:rsidRDefault="000E4A5F" w:rsidP="004C37A8">
      <w:pPr>
        <w:pStyle w:val="FootnoteText"/>
        <w:rPr>
          <w:rFonts w:cs="Times New Roman"/>
          <w:lang w:val="en-AU"/>
        </w:rPr>
      </w:pPr>
      <w:r w:rsidRPr="00F7056A">
        <w:rPr>
          <w:rFonts w:eastAsia="Times New Roman" w:cs="Times New Roman"/>
        </w:rPr>
        <w:t>United Nations High Commissioner for Refugees</w:t>
      </w:r>
      <w:r w:rsidR="004C37A8" w:rsidRPr="00F7056A">
        <w:rPr>
          <w:rFonts w:cs="Times New Roman"/>
          <w:lang w:val="en-AU"/>
        </w:rPr>
        <w:t xml:space="preserve">, </w:t>
      </w:r>
      <w:r w:rsidR="004C37A8" w:rsidRPr="00F7056A">
        <w:rPr>
          <w:rFonts w:cs="Times New Roman"/>
          <w:i/>
          <w:lang w:val="en-AU"/>
        </w:rPr>
        <w:t>Sexual and Gender-Based Violence Against Refugees, Returnees and Internally Displaced People: Guidelines for Prevention and Response</w:t>
      </w:r>
      <w:r w:rsidR="004C37A8" w:rsidRPr="00F7056A">
        <w:rPr>
          <w:rFonts w:cs="Times New Roman"/>
          <w:lang w:val="en-AU"/>
        </w:rPr>
        <w:t xml:space="preserve"> (Geneva: UNHCR, 2003).</w:t>
      </w:r>
    </w:p>
    <w:p w14:paraId="089B4BB0" w14:textId="77777777" w:rsidR="00056365" w:rsidRPr="00F7056A" w:rsidRDefault="00056365" w:rsidP="00FE50F7">
      <w:pPr>
        <w:pStyle w:val="FootnoteText"/>
        <w:rPr>
          <w:rFonts w:cs="Times New Roman"/>
        </w:rPr>
      </w:pPr>
    </w:p>
    <w:p w14:paraId="48B34AEC" w14:textId="25C5DFA3" w:rsidR="0033068F" w:rsidRPr="00F7056A" w:rsidRDefault="008E6BA1" w:rsidP="0033068F">
      <w:pPr>
        <w:pStyle w:val="FootnoteText"/>
        <w:rPr>
          <w:rFonts w:cs="Times New Roman"/>
        </w:rPr>
      </w:pPr>
      <w:r w:rsidRPr="00F7056A">
        <w:rPr>
          <w:rFonts w:eastAsia="Times New Roman" w:cs="Times New Roman"/>
        </w:rPr>
        <w:t>United Nations High Commissioner for Refugees</w:t>
      </w:r>
      <w:r w:rsidR="0033068F" w:rsidRPr="00F7056A">
        <w:rPr>
          <w:rFonts w:cs="Times New Roman"/>
        </w:rPr>
        <w:t xml:space="preserve">, </w:t>
      </w:r>
      <w:r w:rsidR="0033068F" w:rsidRPr="00F7056A">
        <w:rPr>
          <w:rFonts w:cs="Times New Roman"/>
          <w:i/>
        </w:rPr>
        <w:t xml:space="preserve">Sexual Violence Against Refugees: Guidelines on Prevention and Response </w:t>
      </w:r>
      <w:r w:rsidR="0033068F" w:rsidRPr="00F7056A">
        <w:rPr>
          <w:rFonts w:cs="Times New Roman"/>
        </w:rPr>
        <w:t>(Geneva: United Nations High Commissioner for Refugees, 1995).</w:t>
      </w:r>
    </w:p>
    <w:p w14:paraId="214E0B1D" w14:textId="77777777" w:rsidR="0033068F" w:rsidRPr="00F7056A" w:rsidRDefault="0033068F" w:rsidP="00FE50F7">
      <w:pPr>
        <w:pStyle w:val="FootnoteText"/>
        <w:rPr>
          <w:rFonts w:cs="Times New Roman"/>
        </w:rPr>
      </w:pPr>
    </w:p>
    <w:p w14:paraId="4A0D2709" w14:textId="77777777" w:rsidR="0033068F" w:rsidRPr="00F7056A" w:rsidRDefault="0033068F" w:rsidP="0033068F">
      <w:pPr>
        <w:pStyle w:val="FootnoteText"/>
        <w:rPr>
          <w:rFonts w:eastAsia="Times New Roman" w:cs="Times New Roman"/>
        </w:rPr>
      </w:pPr>
      <w:r w:rsidRPr="00F7056A">
        <w:rPr>
          <w:rFonts w:eastAsia="Times New Roman" w:cs="Times New Roman"/>
        </w:rPr>
        <w:t xml:space="preserve">United Nations High Commissioner for Refugees, ‘UNHCR, Sexual Violence Against Refugees: Guidelines on Prevention and Response (Extracts)’ (1995) 7(4) </w:t>
      </w:r>
      <w:r w:rsidRPr="00F7056A">
        <w:rPr>
          <w:rFonts w:eastAsia="Times New Roman" w:cs="Times New Roman"/>
          <w:i/>
        </w:rPr>
        <w:t xml:space="preserve">International Journal of Refugee Law </w:t>
      </w:r>
      <w:r w:rsidRPr="00F7056A">
        <w:rPr>
          <w:rFonts w:eastAsia="Times New Roman" w:cs="Times New Roman"/>
        </w:rPr>
        <w:t>720-755.</w:t>
      </w:r>
    </w:p>
    <w:p w14:paraId="759F5364" w14:textId="77777777" w:rsidR="00E32DC2" w:rsidRPr="00F7056A" w:rsidRDefault="00E32DC2" w:rsidP="0033068F">
      <w:pPr>
        <w:pStyle w:val="FootnoteText"/>
        <w:rPr>
          <w:rFonts w:eastAsia="Times New Roman" w:cs="Times New Roman"/>
        </w:rPr>
      </w:pPr>
    </w:p>
    <w:p w14:paraId="5A189296" w14:textId="0780F1C4" w:rsidR="004A00CC" w:rsidRPr="00F7056A" w:rsidRDefault="00E32DC2" w:rsidP="0033068F">
      <w:pPr>
        <w:pStyle w:val="FootnoteText"/>
        <w:rPr>
          <w:rFonts w:eastAsia="Times New Roman" w:cs="Times New Roman"/>
        </w:rPr>
      </w:pPr>
      <w:r w:rsidRPr="00F7056A">
        <w:rPr>
          <w:rFonts w:eastAsia="Times New Roman" w:cs="Times New Roman"/>
        </w:rPr>
        <w:t xml:space="preserve">United Nations Secretary-General, </w:t>
      </w:r>
      <w:r w:rsidRPr="00F7056A">
        <w:rPr>
          <w:rFonts w:eastAsia="Times New Roman" w:cs="Times New Roman"/>
          <w:i/>
        </w:rPr>
        <w:t>Secretary’s Bulletin: Special Measures for Protection from Sexual Exploitation and Sexual Abuse</w:t>
      </w:r>
      <w:r w:rsidRPr="00F7056A">
        <w:rPr>
          <w:rFonts w:eastAsia="Times New Roman" w:cs="Times New Roman"/>
        </w:rPr>
        <w:t>, UN Doc ST/SGB/2003/13 (9 October 2003).</w:t>
      </w:r>
    </w:p>
    <w:p w14:paraId="01FEF693" w14:textId="77777777" w:rsidR="0033068F" w:rsidRPr="00F7056A" w:rsidRDefault="0033068F" w:rsidP="00FE50F7">
      <w:pPr>
        <w:pStyle w:val="FootnoteText"/>
        <w:rPr>
          <w:rFonts w:cs="Times New Roman"/>
        </w:rPr>
      </w:pPr>
    </w:p>
    <w:p w14:paraId="2D460519" w14:textId="3CFE073B" w:rsidR="00056365" w:rsidRPr="00F7056A" w:rsidRDefault="00906C5D" w:rsidP="00FE50F7">
      <w:pPr>
        <w:pStyle w:val="FootnoteText"/>
        <w:rPr>
          <w:rFonts w:eastAsia="Times New Roman" w:cs="Times New Roman"/>
        </w:rPr>
      </w:pPr>
      <w:r w:rsidRPr="00F7056A">
        <w:rPr>
          <w:rFonts w:eastAsia="Times New Roman" w:cs="Times New Roman"/>
        </w:rPr>
        <w:t>Vu, Alexander</w:t>
      </w:r>
      <w:r w:rsidR="0033068F" w:rsidRPr="00F7056A">
        <w:rPr>
          <w:rFonts w:eastAsia="Times New Roman" w:cs="Times New Roman"/>
        </w:rPr>
        <w:t>,</w:t>
      </w:r>
      <w:r w:rsidR="002B77AC">
        <w:rPr>
          <w:rFonts w:eastAsia="Times New Roman" w:cs="Times New Roman"/>
        </w:rPr>
        <w:t xml:space="preserve"> </w:t>
      </w:r>
      <w:r w:rsidRPr="00F7056A">
        <w:rPr>
          <w:rFonts w:eastAsia="Times New Roman" w:cs="Times New Roman"/>
        </w:rPr>
        <w:t>Adam,</w:t>
      </w:r>
      <w:r w:rsidR="002B77AC">
        <w:rPr>
          <w:rFonts w:eastAsia="Times New Roman" w:cs="Times New Roman"/>
        </w:rPr>
        <w:t xml:space="preserve"> Atif,</w:t>
      </w:r>
      <w:r w:rsidRPr="00F7056A">
        <w:rPr>
          <w:rFonts w:eastAsia="Times New Roman" w:cs="Times New Roman"/>
        </w:rPr>
        <w:t xml:space="preserve"> Wirtz,</w:t>
      </w:r>
      <w:r w:rsidR="002B77AC">
        <w:rPr>
          <w:rFonts w:eastAsia="Times New Roman" w:cs="Times New Roman"/>
        </w:rPr>
        <w:t xml:space="preserve"> Andrea, Pham</w:t>
      </w:r>
      <w:r w:rsidR="002B77AC" w:rsidRPr="002B77AC">
        <w:rPr>
          <w:rFonts w:eastAsia="Times New Roman" w:cs="Times New Roman"/>
        </w:rPr>
        <w:t>,</w:t>
      </w:r>
      <w:r w:rsidR="002B77AC">
        <w:rPr>
          <w:rFonts w:eastAsia="Times New Roman" w:cs="Times New Roman"/>
        </w:rPr>
        <w:t xml:space="preserve"> </w:t>
      </w:r>
      <w:proofErr w:type="spellStart"/>
      <w:r w:rsidR="002B77AC">
        <w:rPr>
          <w:rFonts w:eastAsia="Times New Roman" w:cs="Times New Roman"/>
        </w:rPr>
        <w:t>Kiemanh</w:t>
      </w:r>
      <w:proofErr w:type="spellEnd"/>
      <w:r w:rsidR="002B77AC">
        <w:rPr>
          <w:rFonts w:eastAsia="Times New Roman" w:cs="Times New Roman"/>
        </w:rPr>
        <w:t xml:space="preserve">, </w:t>
      </w:r>
      <w:r w:rsidR="004A00CC" w:rsidRPr="00F7056A">
        <w:rPr>
          <w:rFonts w:eastAsia="Times New Roman" w:cs="Times New Roman"/>
        </w:rPr>
        <w:t>Rubenstein,</w:t>
      </w:r>
      <w:r w:rsidR="002B77AC">
        <w:rPr>
          <w:rFonts w:eastAsia="Times New Roman" w:cs="Times New Roman"/>
        </w:rPr>
        <w:t xml:space="preserve"> Leonard,</w:t>
      </w:r>
      <w:r w:rsidR="004A00CC" w:rsidRPr="00F7056A">
        <w:rPr>
          <w:rFonts w:eastAsia="Times New Roman" w:cs="Times New Roman"/>
        </w:rPr>
        <w:t xml:space="preserve"> Glass, </w:t>
      </w:r>
      <w:r w:rsidR="002B77AC">
        <w:rPr>
          <w:rFonts w:eastAsia="Times New Roman" w:cs="Times New Roman"/>
        </w:rPr>
        <w:t>Nancy,</w:t>
      </w:r>
      <w:r w:rsidR="004A00CC" w:rsidRPr="00F7056A">
        <w:rPr>
          <w:rFonts w:eastAsia="Times New Roman" w:cs="Times New Roman"/>
        </w:rPr>
        <w:t xml:space="preserve"> </w:t>
      </w:r>
      <w:proofErr w:type="spellStart"/>
      <w:r w:rsidR="004A00CC" w:rsidRPr="00F7056A">
        <w:rPr>
          <w:rFonts w:eastAsia="Times New Roman" w:cs="Times New Roman"/>
        </w:rPr>
        <w:t>Beyrer</w:t>
      </w:r>
      <w:proofErr w:type="spellEnd"/>
      <w:r w:rsidR="004A00CC" w:rsidRPr="00F7056A">
        <w:rPr>
          <w:rFonts w:eastAsia="Times New Roman" w:cs="Times New Roman"/>
        </w:rPr>
        <w:t xml:space="preserve"> </w:t>
      </w:r>
      <w:r w:rsidR="002B77AC">
        <w:rPr>
          <w:rFonts w:eastAsia="Times New Roman" w:cs="Times New Roman"/>
        </w:rPr>
        <w:t xml:space="preserve">Chris and </w:t>
      </w:r>
      <w:r w:rsidR="004A00CC" w:rsidRPr="00F7056A">
        <w:rPr>
          <w:rFonts w:eastAsia="Times New Roman" w:cs="Times New Roman"/>
        </w:rPr>
        <w:t>Singh,</w:t>
      </w:r>
      <w:r w:rsidR="002B77AC">
        <w:rPr>
          <w:rFonts w:eastAsia="Times New Roman" w:cs="Times New Roman"/>
        </w:rPr>
        <w:t xml:space="preserve"> </w:t>
      </w:r>
      <w:proofErr w:type="spellStart"/>
      <w:r w:rsidR="002B77AC">
        <w:rPr>
          <w:rFonts w:eastAsia="Times New Roman" w:cs="Times New Roman"/>
        </w:rPr>
        <w:t>Sonal</w:t>
      </w:r>
      <w:proofErr w:type="spellEnd"/>
      <w:r w:rsidR="002B77AC">
        <w:rPr>
          <w:rFonts w:eastAsia="Times New Roman" w:cs="Times New Roman"/>
        </w:rPr>
        <w:t>,</w:t>
      </w:r>
      <w:r w:rsidR="0033068F" w:rsidRPr="00F7056A">
        <w:rPr>
          <w:rFonts w:eastAsia="Times New Roman" w:cs="Times New Roman"/>
        </w:rPr>
        <w:t xml:space="preserve"> ‘The Prevalence of Sexual Violence Among Female Refugees in Complex Humanitarian Emergencies: A Systemic Review and Meta-Analysis’ (2014) 18(6) </w:t>
      </w:r>
      <w:proofErr w:type="spellStart"/>
      <w:r w:rsidR="0033068F" w:rsidRPr="00F7056A">
        <w:rPr>
          <w:rFonts w:eastAsia="Times New Roman" w:cs="Times New Roman"/>
          <w:i/>
        </w:rPr>
        <w:t>PLoS</w:t>
      </w:r>
      <w:proofErr w:type="spellEnd"/>
      <w:r w:rsidR="0033068F" w:rsidRPr="00F7056A">
        <w:rPr>
          <w:rFonts w:eastAsia="Times New Roman" w:cs="Times New Roman"/>
          <w:i/>
        </w:rPr>
        <w:t xml:space="preserve"> Currents Disasters</w:t>
      </w:r>
      <w:r w:rsidR="0033068F" w:rsidRPr="00F7056A">
        <w:rPr>
          <w:rFonts w:eastAsia="Times New Roman" w:cs="Times New Roman"/>
        </w:rPr>
        <w:t>.</w:t>
      </w:r>
    </w:p>
    <w:p w14:paraId="07E67703" w14:textId="77777777" w:rsidR="004A00CC" w:rsidRPr="00F7056A" w:rsidRDefault="004A00CC" w:rsidP="00FE50F7">
      <w:pPr>
        <w:pStyle w:val="FootnoteText"/>
        <w:rPr>
          <w:rFonts w:eastAsia="Times New Roman" w:cs="Times New Roman"/>
        </w:rPr>
      </w:pPr>
    </w:p>
    <w:p w14:paraId="2F705966" w14:textId="394D1EA4" w:rsidR="004A00CC" w:rsidRPr="00F7056A" w:rsidRDefault="004A00CC" w:rsidP="00FE50F7">
      <w:pPr>
        <w:pStyle w:val="FootnoteText"/>
        <w:rPr>
          <w:rFonts w:cstheme="minorHAnsi"/>
        </w:rPr>
      </w:pPr>
      <w:r w:rsidRPr="00F7056A">
        <w:rPr>
          <w:rFonts w:cstheme="minorHAnsi"/>
        </w:rPr>
        <w:t xml:space="preserve">Ward, Jeanne, ‘It’s Not About the Gender Binary, It’s About the Gender Hierarchy: A Reply to “Letting Go of the Binary”’ (2016) 98(1) </w:t>
      </w:r>
      <w:r w:rsidRPr="00F7056A">
        <w:rPr>
          <w:rFonts w:cstheme="minorHAnsi"/>
          <w:i/>
        </w:rPr>
        <w:t xml:space="preserve">International Review of the Red Cross </w:t>
      </w:r>
      <w:r w:rsidRPr="00F7056A">
        <w:rPr>
          <w:rFonts w:cstheme="minorHAnsi"/>
        </w:rPr>
        <w:t>275-298.</w:t>
      </w:r>
    </w:p>
    <w:p w14:paraId="262E42C3" w14:textId="77777777" w:rsidR="00056365" w:rsidRPr="00F7056A" w:rsidRDefault="00056365" w:rsidP="00FE50F7">
      <w:pPr>
        <w:pStyle w:val="FootnoteText"/>
        <w:rPr>
          <w:rFonts w:cs="Times New Roman"/>
        </w:rPr>
      </w:pPr>
    </w:p>
    <w:p w14:paraId="57C40868" w14:textId="5306A900" w:rsidR="00FE50F7" w:rsidRDefault="00FE50F7" w:rsidP="004C37A8">
      <w:pPr>
        <w:pStyle w:val="FootnoteText"/>
        <w:rPr>
          <w:rFonts w:cs="Times New Roman"/>
        </w:rPr>
      </w:pPr>
      <w:r w:rsidRPr="00F7056A">
        <w:rPr>
          <w:rFonts w:cs="Times New Roman"/>
        </w:rPr>
        <w:t>Yazid</w:t>
      </w:r>
      <w:r w:rsidR="00077F0C" w:rsidRPr="00F7056A">
        <w:rPr>
          <w:rFonts w:cs="Times New Roman"/>
        </w:rPr>
        <w:t>, Sylvia</w:t>
      </w:r>
      <w:r w:rsidRPr="00F7056A">
        <w:rPr>
          <w:rFonts w:cs="Times New Roman"/>
        </w:rPr>
        <w:t xml:space="preserve"> and </w:t>
      </w:r>
      <w:proofErr w:type="spellStart"/>
      <w:r w:rsidRPr="00F7056A">
        <w:rPr>
          <w:rFonts w:cs="Times New Roman"/>
        </w:rPr>
        <w:t>Natania</w:t>
      </w:r>
      <w:proofErr w:type="spellEnd"/>
      <w:r w:rsidRPr="00F7056A">
        <w:rPr>
          <w:rFonts w:cs="Times New Roman"/>
        </w:rPr>
        <w:t>,</w:t>
      </w:r>
      <w:r w:rsidR="002B77AC">
        <w:rPr>
          <w:rFonts w:cs="Times New Roman"/>
        </w:rPr>
        <w:t xml:space="preserve"> Agatha,</w:t>
      </w:r>
      <w:r w:rsidRPr="00F7056A">
        <w:rPr>
          <w:rFonts w:cs="Times New Roman"/>
        </w:rPr>
        <w:t xml:space="preserve"> ‘Women Refugees: An Imbalance of Protecting and Being Protected’ (2017) 13(1) </w:t>
      </w:r>
      <w:r w:rsidRPr="00F7056A">
        <w:rPr>
          <w:rFonts w:cs="Times New Roman"/>
          <w:i/>
        </w:rPr>
        <w:t xml:space="preserve">Journal of Human Security </w:t>
      </w:r>
      <w:r w:rsidR="004C37A8" w:rsidRPr="00F7056A">
        <w:rPr>
          <w:rFonts w:cs="Times New Roman"/>
        </w:rPr>
        <w:t>34-42.</w:t>
      </w:r>
    </w:p>
    <w:p w14:paraId="4D5FD94F" w14:textId="77777777" w:rsidR="009145AD" w:rsidRDefault="009145AD" w:rsidP="004C37A8">
      <w:pPr>
        <w:pStyle w:val="FootnoteText"/>
        <w:rPr>
          <w:rFonts w:cs="Times New Roman"/>
        </w:rPr>
      </w:pPr>
    </w:p>
    <w:p w14:paraId="71209A4A" w14:textId="0ACC0CFC" w:rsidR="009145AD" w:rsidRDefault="009145AD">
      <w:pPr>
        <w:spacing w:after="160" w:line="259" w:lineRule="auto"/>
        <w:rPr>
          <w:rFonts w:cs="Times New Roman"/>
          <w:highlight w:val="yellow"/>
        </w:rPr>
      </w:pPr>
      <w:r>
        <w:rPr>
          <w:rFonts w:cs="Times New Roman"/>
          <w:highlight w:val="yellow"/>
        </w:rPr>
        <w:br w:type="page"/>
      </w:r>
    </w:p>
    <w:p w14:paraId="0E774F56" w14:textId="5E794B34" w:rsidR="009145AD" w:rsidRPr="009145AD" w:rsidRDefault="009145AD" w:rsidP="009145AD">
      <w:pPr>
        <w:rPr>
          <w:rFonts w:eastAsia="Times New Roman"/>
          <w:b/>
          <w:u w:val="single"/>
        </w:rPr>
      </w:pPr>
      <w:r w:rsidRPr="009145AD">
        <w:rPr>
          <w:rFonts w:eastAsia="Times New Roman"/>
          <w:b/>
          <w:u w:val="single"/>
        </w:rPr>
        <w:lastRenderedPageBreak/>
        <w:t>APPENDIX– BINDING INTERNATIONAL LAW INSTRUMENTS RELEVANT TO SGBV</w:t>
      </w:r>
    </w:p>
    <w:p w14:paraId="122B4D78" w14:textId="77777777" w:rsidR="009145AD" w:rsidRDefault="009145AD" w:rsidP="009145AD">
      <w:pPr>
        <w:jc w:val="both"/>
        <w:rPr>
          <w:rFonts w:eastAsia="Times New Roman"/>
          <w:b/>
        </w:rPr>
      </w:pPr>
    </w:p>
    <w:p w14:paraId="2247A30D" w14:textId="3563B78E" w:rsidR="009145AD" w:rsidRPr="009145AD" w:rsidRDefault="009145AD" w:rsidP="009145AD">
      <w:pPr>
        <w:jc w:val="both"/>
        <w:rPr>
          <w:rFonts w:eastAsia="Times New Roman"/>
          <w:b/>
          <w:i/>
        </w:rPr>
      </w:pPr>
      <w:r w:rsidRPr="009145AD">
        <w:rPr>
          <w:rFonts w:eastAsia="Times New Roman"/>
          <w:b/>
          <w:i/>
        </w:rPr>
        <w:t xml:space="preserve">International Human Rights </w:t>
      </w:r>
      <w:r w:rsidR="00506E04">
        <w:rPr>
          <w:rFonts w:eastAsia="Times New Roman"/>
          <w:b/>
          <w:i/>
        </w:rPr>
        <w:t>Instruments</w:t>
      </w:r>
    </w:p>
    <w:p w14:paraId="3146F4E1" w14:textId="77777777" w:rsidR="009145AD" w:rsidRDefault="009145AD" w:rsidP="009145AD">
      <w:pPr>
        <w:jc w:val="both"/>
        <w:rPr>
          <w:rFonts w:eastAsia="Times New Roman"/>
        </w:rPr>
      </w:pPr>
    </w:p>
    <w:p w14:paraId="0A2D1656" w14:textId="77777777" w:rsidR="009145AD" w:rsidRPr="008A5237" w:rsidRDefault="009145AD" w:rsidP="009145AD">
      <w:pPr>
        <w:jc w:val="both"/>
        <w:rPr>
          <w:rFonts w:eastAsia="Times New Roman"/>
          <w:b/>
        </w:rPr>
      </w:pPr>
      <w:r>
        <w:rPr>
          <w:rFonts w:eastAsia="Times New Roman"/>
        </w:rPr>
        <w:t>[A</w:t>
      </w:r>
      <w:r w:rsidRPr="00C23DC4">
        <w:rPr>
          <w:rFonts w:eastAsia="Times New Roman"/>
        </w:rPr>
        <w:t xml:space="preserve">s listed by the UNHCR’s 1995 </w:t>
      </w:r>
      <w:hyperlink r:id="rId54" w:history="1">
        <w:r w:rsidRPr="002D5B1E">
          <w:rPr>
            <w:rStyle w:val="Hyperlink"/>
            <w:rFonts w:eastAsia="Times New Roman"/>
            <w:i/>
          </w:rPr>
          <w:t>Sexual Violence Against Refugees: Guidelines on Prevention and Response</w:t>
        </w:r>
      </w:hyperlink>
      <w:r w:rsidRPr="00C23DC4">
        <w:rPr>
          <w:rFonts w:eastAsia="Times New Roman"/>
        </w:rPr>
        <w:t>] include the following:</w:t>
      </w:r>
      <w:r w:rsidRPr="00C23DC4">
        <w:rPr>
          <w:rStyle w:val="FootnoteReference"/>
          <w:rFonts w:eastAsia="Times New Roman"/>
        </w:rPr>
        <w:footnoteReference w:id="144"/>
      </w:r>
    </w:p>
    <w:p w14:paraId="7EBE965D" w14:textId="77777777" w:rsidR="009145AD" w:rsidRDefault="009145AD" w:rsidP="009145AD">
      <w:pPr>
        <w:ind w:left="720"/>
        <w:jc w:val="both"/>
        <w:rPr>
          <w:rFonts w:eastAsia="Times New Roman"/>
          <w:b/>
          <w:highlight w:val="yellow"/>
        </w:rPr>
      </w:pPr>
    </w:p>
    <w:p w14:paraId="709B65AB" w14:textId="77777777" w:rsidR="009145AD" w:rsidRPr="00D3187B" w:rsidRDefault="006850B8" w:rsidP="009145AD">
      <w:pPr>
        <w:ind w:left="720"/>
        <w:jc w:val="both"/>
        <w:rPr>
          <w:rFonts w:eastAsia="Times New Roman"/>
          <w:b/>
          <w:i/>
        </w:rPr>
      </w:pPr>
      <w:hyperlink r:id="rId55" w:history="1">
        <w:r w:rsidR="009145AD" w:rsidRPr="00D3187B">
          <w:rPr>
            <w:rStyle w:val="Hyperlink"/>
            <w:rFonts w:eastAsia="Times New Roman"/>
            <w:b/>
            <w:i/>
          </w:rPr>
          <w:t>The Universal Declaration of Human Rights</w:t>
        </w:r>
      </w:hyperlink>
      <w:r w:rsidR="009145AD" w:rsidRPr="00006EB7">
        <w:rPr>
          <w:rFonts w:eastAsia="Times New Roman"/>
          <w:b/>
          <w:i/>
        </w:rPr>
        <w:t xml:space="preserve"> </w:t>
      </w:r>
      <w:r w:rsidR="009145AD" w:rsidRPr="00D3187B">
        <w:rPr>
          <w:rFonts w:eastAsia="Times New Roman"/>
          <w:b/>
          <w:i/>
        </w:rPr>
        <w:t>(1948)</w:t>
      </w:r>
    </w:p>
    <w:p w14:paraId="149842F1" w14:textId="77777777" w:rsidR="009145AD" w:rsidRPr="00EC5872" w:rsidRDefault="009145AD" w:rsidP="009145AD">
      <w:pPr>
        <w:ind w:left="720"/>
        <w:jc w:val="both"/>
        <w:rPr>
          <w:rFonts w:eastAsia="Times New Roman"/>
          <w:b/>
        </w:rPr>
      </w:pPr>
    </w:p>
    <w:p w14:paraId="304CC7BB" w14:textId="77777777" w:rsidR="009145AD" w:rsidRDefault="009145AD" w:rsidP="009145AD">
      <w:pPr>
        <w:ind w:left="720"/>
        <w:jc w:val="both"/>
        <w:rPr>
          <w:rFonts w:eastAsia="Times New Roman"/>
          <w:i/>
        </w:rPr>
      </w:pPr>
      <w:r w:rsidRPr="00EC5872">
        <w:rPr>
          <w:rFonts w:eastAsia="Times New Roman"/>
          <w:i/>
        </w:rPr>
        <w:t>Article 3</w:t>
      </w:r>
      <w:r w:rsidRPr="00EC5872">
        <w:rPr>
          <w:rFonts w:eastAsia="Times New Roman"/>
          <w:i/>
        </w:rPr>
        <w:tab/>
        <w:t>Ever</w:t>
      </w:r>
      <w:r>
        <w:rPr>
          <w:rFonts w:eastAsia="Times New Roman"/>
          <w:i/>
        </w:rPr>
        <w:t>yone has the right to life, liberty and security of person.</w:t>
      </w:r>
    </w:p>
    <w:p w14:paraId="0C9722E9" w14:textId="77777777" w:rsidR="009145AD" w:rsidRDefault="009145AD" w:rsidP="009145AD">
      <w:pPr>
        <w:ind w:left="2160" w:hanging="1440"/>
        <w:jc w:val="both"/>
        <w:rPr>
          <w:rFonts w:eastAsia="Times New Roman"/>
          <w:i/>
        </w:rPr>
      </w:pPr>
      <w:r>
        <w:rPr>
          <w:rFonts w:eastAsia="Times New Roman"/>
          <w:i/>
        </w:rPr>
        <w:t>Article 5</w:t>
      </w:r>
      <w:r>
        <w:rPr>
          <w:rFonts w:eastAsia="Times New Roman"/>
          <w:i/>
        </w:rPr>
        <w:tab/>
        <w:t>No one shall be subjected to torture or to cruel, inhuman or degrading treatment or punishment.</w:t>
      </w:r>
    </w:p>
    <w:p w14:paraId="1D22ED2F" w14:textId="77777777" w:rsidR="009145AD" w:rsidRDefault="009145AD" w:rsidP="009145AD">
      <w:pPr>
        <w:ind w:left="2160" w:hanging="1440"/>
        <w:jc w:val="both"/>
        <w:rPr>
          <w:rFonts w:eastAsia="Times New Roman"/>
          <w:i/>
        </w:rPr>
      </w:pPr>
    </w:p>
    <w:p w14:paraId="5FF1E1D0" w14:textId="77777777" w:rsidR="009145AD" w:rsidRPr="00006EB7" w:rsidRDefault="006850B8" w:rsidP="009145AD">
      <w:pPr>
        <w:ind w:left="2160" w:hanging="1440"/>
        <w:jc w:val="both"/>
        <w:rPr>
          <w:rFonts w:eastAsia="Times New Roman"/>
          <w:b/>
          <w:i/>
        </w:rPr>
      </w:pPr>
      <w:hyperlink r:id="rId56" w:history="1">
        <w:r w:rsidR="009145AD" w:rsidRPr="00D3187B">
          <w:rPr>
            <w:rStyle w:val="Hyperlink"/>
            <w:rFonts w:eastAsia="Times New Roman"/>
            <w:b/>
            <w:i/>
          </w:rPr>
          <w:t>The International Covenant on Civil and Political Rights</w:t>
        </w:r>
      </w:hyperlink>
      <w:r w:rsidR="009145AD" w:rsidRPr="00006EB7">
        <w:rPr>
          <w:rFonts w:eastAsia="Times New Roman"/>
          <w:b/>
          <w:i/>
        </w:rPr>
        <w:t xml:space="preserve"> </w:t>
      </w:r>
      <w:r w:rsidR="009145AD" w:rsidRPr="00D3187B">
        <w:rPr>
          <w:rFonts w:eastAsia="Times New Roman"/>
          <w:b/>
          <w:i/>
        </w:rPr>
        <w:t>(1966)</w:t>
      </w:r>
    </w:p>
    <w:p w14:paraId="5D70DC2D" w14:textId="77777777" w:rsidR="009145AD" w:rsidRDefault="009145AD" w:rsidP="009145AD">
      <w:pPr>
        <w:ind w:left="2160" w:hanging="1440"/>
        <w:jc w:val="both"/>
        <w:rPr>
          <w:rFonts w:eastAsia="Times New Roman"/>
          <w:i/>
          <w:u w:val="single"/>
        </w:rPr>
      </w:pPr>
    </w:p>
    <w:p w14:paraId="4DBB8E9A" w14:textId="77777777" w:rsidR="009145AD" w:rsidRDefault="009145AD" w:rsidP="009145AD">
      <w:pPr>
        <w:ind w:left="2160" w:hanging="1440"/>
        <w:jc w:val="both"/>
        <w:rPr>
          <w:rFonts w:eastAsia="Times New Roman"/>
          <w:i/>
        </w:rPr>
      </w:pPr>
      <w:r>
        <w:rPr>
          <w:rFonts w:eastAsia="Times New Roman"/>
          <w:i/>
        </w:rPr>
        <w:t>Article 7</w:t>
      </w:r>
      <w:r>
        <w:rPr>
          <w:rFonts w:eastAsia="Times New Roman"/>
          <w:i/>
        </w:rPr>
        <w:tab/>
        <w:t>No one shall be subjected to torture or to cruel, inhuman or degrading treatment or punishment.</w:t>
      </w:r>
    </w:p>
    <w:p w14:paraId="2F5A8522" w14:textId="77777777" w:rsidR="009145AD" w:rsidRDefault="009145AD" w:rsidP="009145AD">
      <w:pPr>
        <w:ind w:left="2160" w:hanging="1440"/>
        <w:jc w:val="both"/>
        <w:rPr>
          <w:rFonts w:eastAsia="Times New Roman"/>
          <w:i/>
        </w:rPr>
      </w:pPr>
      <w:r>
        <w:rPr>
          <w:rFonts w:eastAsia="Times New Roman"/>
          <w:i/>
        </w:rPr>
        <w:t>Article 9</w:t>
      </w:r>
      <w:r>
        <w:rPr>
          <w:rFonts w:eastAsia="Times New Roman"/>
          <w:i/>
        </w:rPr>
        <w:tab/>
        <w:t>1. Everyone has the right to liberty and security of person …</w:t>
      </w:r>
    </w:p>
    <w:p w14:paraId="3EB2455D" w14:textId="77777777" w:rsidR="009145AD" w:rsidRDefault="009145AD" w:rsidP="009145AD">
      <w:pPr>
        <w:ind w:left="2160" w:hanging="1440"/>
        <w:jc w:val="both"/>
        <w:rPr>
          <w:rFonts w:eastAsia="Times New Roman"/>
          <w:i/>
        </w:rPr>
      </w:pPr>
      <w:r>
        <w:rPr>
          <w:rFonts w:eastAsia="Times New Roman"/>
          <w:i/>
        </w:rPr>
        <w:t>Article 10</w:t>
      </w:r>
      <w:r>
        <w:rPr>
          <w:rFonts w:eastAsia="Times New Roman"/>
          <w:i/>
        </w:rPr>
        <w:tab/>
        <w:t>1. All persons deprived of their liberty shall be treated with humanity and with respect for the inherent dignity of the human person.</w:t>
      </w:r>
    </w:p>
    <w:p w14:paraId="581BDCB9" w14:textId="77777777" w:rsidR="009145AD" w:rsidRDefault="009145AD" w:rsidP="009145AD">
      <w:pPr>
        <w:ind w:left="2160" w:hanging="1440"/>
        <w:jc w:val="both"/>
        <w:rPr>
          <w:rFonts w:eastAsia="Times New Roman"/>
          <w:i/>
        </w:rPr>
      </w:pPr>
    </w:p>
    <w:p w14:paraId="3FEF7A2D" w14:textId="77777777" w:rsidR="009145AD" w:rsidRPr="00006EB7" w:rsidRDefault="006850B8" w:rsidP="009145AD">
      <w:pPr>
        <w:ind w:left="2160" w:hanging="1440"/>
        <w:jc w:val="both"/>
        <w:rPr>
          <w:rFonts w:eastAsia="Times New Roman"/>
          <w:b/>
          <w:i/>
        </w:rPr>
      </w:pPr>
      <w:hyperlink r:id="rId57" w:history="1">
        <w:r w:rsidR="009145AD" w:rsidRPr="00D3187B">
          <w:rPr>
            <w:rStyle w:val="Hyperlink"/>
            <w:rFonts w:eastAsia="Times New Roman"/>
            <w:b/>
            <w:i/>
          </w:rPr>
          <w:t>The International Covenant on Economic, Social and Cultural Rights</w:t>
        </w:r>
      </w:hyperlink>
      <w:r w:rsidR="009145AD" w:rsidRPr="00006EB7">
        <w:rPr>
          <w:rFonts w:eastAsia="Times New Roman"/>
          <w:b/>
          <w:i/>
        </w:rPr>
        <w:t xml:space="preserve"> (1966)</w:t>
      </w:r>
    </w:p>
    <w:p w14:paraId="612EE970" w14:textId="77777777" w:rsidR="009145AD" w:rsidRDefault="009145AD" w:rsidP="009145AD">
      <w:pPr>
        <w:jc w:val="both"/>
        <w:rPr>
          <w:b/>
        </w:rPr>
      </w:pPr>
    </w:p>
    <w:p w14:paraId="5FBE4667" w14:textId="77777777" w:rsidR="009145AD" w:rsidRDefault="009145AD" w:rsidP="009145AD">
      <w:pPr>
        <w:ind w:left="2160" w:hanging="1440"/>
        <w:jc w:val="both"/>
        <w:rPr>
          <w:i/>
        </w:rPr>
      </w:pPr>
      <w:r>
        <w:rPr>
          <w:i/>
        </w:rPr>
        <w:t>Article 12</w:t>
      </w:r>
      <w:r>
        <w:rPr>
          <w:i/>
        </w:rPr>
        <w:tab/>
        <w:t>The States Parties to the present Covenant recognize the right of everyone to the enjoyment of the highest attainable standard of physical and mental health.</w:t>
      </w:r>
    </w:p>
    <w:p w14:paraId="219FB9A8" w14:textId="77777777" w:rsidR="009145AD" w:rsidRDefault="009145AD" w:rsidP="009145AD">
      <w:pPr>
        <w:ind w:left="2160" w:hanging="1440"/>
        <w:jc w:val="both"/>
        <w:rPr>
          <w:i/>
        </w:rPr>
      </w:pPr>
    </w:p>
    <w:p w14:paraId="07A22C84" w14:textId="77777777" w:rsidR="009145AD" w:rsidRPr="00006EB7" w:rsidRDefault="006850B8" w:rsidP="009145AD">
      <w:pPr>
        <w:ind w:left="1985" w:hanging="1265"/>
        <w:jc w:val="both"/>
        <w:rPr>
          <w:b/>
          <w:i/>
        </w:rPr>
      </w:pPr>
      <w:hyperlink r:id="rId58" w:history="1">
        <w:r w:rsidR="009145AD" w:rsidRPr="00D3187B">
          <w:rPr>
            <w:rStyle w:val="Hyperlink"/>
            <w:b/>
            <w:i/>
          </w:rPr>
          <w:t>The Convention on the Elimination of All Forms of Discrimination Against Women</w:t>
        </w:r>
      </w:hyperlink>
    </w:p>
    <w:p w14:paraId="73926631" w14:textId="77777777" w:rsidR="009145AD" w:rsidRPr="00006EB7" w:rsidRDefault="009145AD" w:rsidP="009145AD">
      <w:pPr>
        <w:ind w:left="1985" w:hanging="1265"/>
        <w:jc w:val="both"/>
        <w:rPr>
          <w:b/>
          <w:i/>
        </w:rPr>
      </w:pPr>
      <w:r w:rsidRPr="00006EB7">
        <w:rPr>
          <w:b/>
          <w:i/>
        </w:rPr>
        <w:t>(1979)</w:t>
      </w:r>
    </w:p>
    <w:p w14:paraId="52676660" w14:textId="77777777" w:rsidR="009145AD" w:rsidRDefault="009145AD" w:rsidP="009145AD">
      <w:pPr>
        <w:ind w:left="1985" w:hanging="1265"/>
        <w:jc w:val="both"/>
        <w:rPr>
          <w:i/>
          <w:u w:val="single"/>
        </w:rPr>
      </w:pPr>
    </w:p>
    <w:p w14:paraId="63CF6563" w14:textId="77777777" w:rsidR="009145AD" w:rsidRDefault="009145AD" w:rsidP="009145AD">
      <w:pPr>
        <w:ind w:left="1985" w:hanging="1265"/>
        <w:jc w:val="both"/>
        <w:rPr>
          <w:i/>
        </w:rPr>
      </w:pPr>
      <w:r>
        <w:rPr>
          <w:i/>
        </w:rPr>
        <w:t>Article 6</w:t>
      </w:r>
      <w:r>
        <w:rPr>
          <w:i/>
        </w:rPr>
        <w:tab/>
        <w:t>States Parties shall take all appropriate measures, including legislation, to suppress all forms of traffic and exploitation of prostitution of women.</w:t>
      </w:r>
    </w:p>
    <w:p w14:paraId="2671721D" w14:textId="77777777" w:rsidR="009145AD" w:rsidRDefault="009145AD" w:rsidP="009145AD">
      <w:pPr>
        <w:ind w:left="1985" w:hanging="1265"/>
        <w:jc w:val="both"/>
        <w:rPr>
          <w:i/>
        </w:rPr>
      </w:pPr>
    </w:p>
    <w:p w14:paraId="693392A2" w14:textId="77777777" w:rsidR="009145AD" w:rsidRPr="00D3187B" w:rsidRDefault="009145AD" w:rsidP="009145AD">
      <w:pPr>
        <w:ind w:left="1985" w:hanging="1265"/>
        <w:jc w:val="both"/>
        <w:rPr>
          <w:rStyle w:val="Hyperlink"/>
          <w:b/>
          <w:i/>
        </w:rPr>
      </w:pPr>
      <w:r>
        <w:rPr>
          <w:b/>
          <w:i/>
        </w:rPr>
        <w:fldChar w:fldCharType="begin"/>
      </w:r>
      <w:r>
        <w:rPr>
          <w:b/>
          <w:i/>
        </w:rPr>
        <w:instrText xml:space="preserve"> HYPERLINK "https://www.ohchr.org/en/professionalinterest/pages/cat.aspx" </w:instrText>
      </w:r>
      <w:r>
        <w:rPr>
          <w:b/>
          <w:i/>
        </w:rPr>
        <w:fldChar w:fldCharType="separate"/>
      </w:r>
      <w:r w:rsidRPr="00D3187B">
        <w:rPr>
          <w:rStyle w:val="Hyperlink"/>
          <w:b/>
          <w:i/>
        </w:rPr>
        <w:t>The UN Convention Against Torture and Other Cruel, Inhuman or Degrading</w:t>
      </w:r>
    </w:p>
    <w:p w14:paraId="7A8D315B" w14:textId="77777777" w:rsidR="009145AD" w:rsidRPr="00006EB7" w:rsidRDefault="009145AD" w:rsidP="009145AD">
      <w:pPr>
        <w:ind w:left="1985" w:hanging="1265"/>
        <w:jc w:val="both"/>
        <w:rPr>
          <w:b/>
          <w:i/>
        </w:rPr>
      </w:pPr>
      <w:r w:rsidRPr="00D3187B">
        <w:rPr>
          <w:rStyle w:val="Hyperlink"/>
          <w:b/>
          <w:i/>
        </w:rPr>
        <w:t>Treatment or Punishment</w:t>
      </w:r>
      <w:r>
        <w:rPr>
          <w:b/>
          <w:i/>
        </w:rPr>
        <w:fldChar w:fldCharType="end"/>
      </w:r>
      <w:r w:rsidRPr="00006EB7">
        <w:rPr>
          <w:b/>
          <w:i/>
        </w:rPr>
        <w:t xml:space="preserve"> (1984)</w:t>
      </w:r>
    </w:p>
    <w:p w14:paraId="15AB6E77" w14:textId="77777777" w:rsidR="009145AD" w:rsidRDefault="009145AD" w:rsidP="009145AD">
      <w:pPr>
        <w:ind w:left="1985" w:hanging="1265"/>
        <w:jc w:val="both"/>
        <w:rPr>
          <w:i/>
          <w:u w:val="single"/>
        </w:rPr>
      </w:pPr>
    </w:p>
    <w:p w14:paraId="6CB98F30" w14:textId="77777777" w:rsidR="009145AD" w:rsidRDefault="009145AD" w:rsidP="009145AD">
      <w:pPr>
        <w:ind w:left="1985" w:hanging="1265"/>
        <w:jc w:val="both"/>
        <w:rPr>
          <w:i/>
        </w:rPr>
      </w:pPr>
      <w:r>
        <w:rPr>
          <w:i/>
        </w:rPr>
        <w:t>Article 16</w:t>
      </w:r>
      <w:r>
        <w:rPr>
          <w:i/>
        </w:rPr>
        <w:tab/>
        <w:t>requires, inter alia, that the State “prevent … acts of cruel, inhuman or degrading treatment or punishment …, when such acts are committed by or at the instigation of or with the consent or acquiescence of a public official or other person acting in an official capacity …”</w:t>
      </w:r>
    </w:p>
    <w:p w14:paraId="25B71AFA" w14:textId="77777777" w:rsidR="009145AD" w:rsidRPr="00006EB7" w:rsidRDefault="006850B8" w:rsidP="009145AD">
      <w:pPr>
        <w:ind w:left="1985" w:hanging="1265"/>
        <w:jc w:val="both"/>
        <w:rPr>
          <w:b/>
          <w:i/>
        </w:rPr>
      </w:pPr>
      <w:hyperlink r:id="rId59" w:history="1">
        <w:r w:rsidR="009145AD" w:rsidRPr="00D3187B">
          <w:rPr>
            <w:rStyle w:val="Hyperlink"/>
            <w:b/>
            <w:i/>
          </w:rPr>
          <w:t>The Convention on the Rights of the Child</w:t>
        </w:r>
      </w:hyperlink>
      <w:r w:rsidR="009145AD" w:rsidRPr="00006EB7">
        <w:rPr>
          <w:b/>
          <w:i/>
        </w:rPr>
        <w:t xml:space="preserve"> (1989)</w:t>
      </w:r>
    </w:p>
    <w:p w14:paraId="7C92AA14" w14:textId="77777777" w:rsidR="009145AD" w:rsidRDefault="009145AD" w:rsidP="009145AD">
      <w:pPr>
        <w:ind w:left="1985" w:hanging="1265"/>
        <w:jc w:val="both"/>
        <w:rPr>
          <w:i/>
          <w:u w:val="single"/>
        </w:rPr>
      </w:pPr>
    </w:p>
    <w:p w14:paraId="2193C97D" w14:textId="77777777" w:rsidR="009145AD" w:rsidRDefault="009145AD" w:rsidP="009145AD">
      <w:pPr>
        <w:ind w:left="1985" w:hanging="1265"/>
        <w:jc w:val="both"/>
        <w:rPr>
          <w:i/>
          <w:u w:val="single"/>
        </w:rPr>
      </w:pPr>
      <w:r>
        <w:rPr>
          <w:i/>
        </w:rPr>
        <w:t>Article 19</w:t>
      </w:r>
      <w:r>
        <w:rPr>
          <w:i/>
        </w:rPr>
        <w:tab/>
      </w:r>
      <w:r>
        <w:rPr>
          <w:i/>
          <w:u w:val="single"/>
        </w:rPr>
        <w:t>Protection from Abuse and Neglect</w:t>
      </w:r>
    </w:p>
    <w:p w14:paraId="3DA57C94" w14:textId="77777777" w:rsidR="009145AD" w:rsidRPr="008A5237" w:rsidRDefault="009145AD" w:rsidP="009145AD">
      <w:pPr>
        <w:ind w:left="1980" w:firstLine="5"/>
        <w:jc w:val="both"/>
        <w:rPr>
          <w:i/>
          <w:u w:val="single"/>
        </w:rPr>
      </w:pPr>
      <w:r>
        <w:rPr>
          <w:i/>
        </w:rPr>
        <w:lastRenderedPageBreak/>
        <w:t xml:space="preserve">1. </w:t>
      </w:r>
      <w:r w:rsidRPr="008A5237">
        <w:rPr>
          <w:i/>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10A90E23" w14:textId="77777777" w:rsidR="009145AD" w:rsidRPr="008A5237" w:rsidRDefault="009145AD" w:rsidP="009145AD">
      <w:pPr>
        <w:ind w:left="1980" w:firstLine="5"/>
        <w:jc w:val="both"/>
        <w:rPr>
          <w:i/>
          <w:u w:val="single"/>
        </w:rPr>
      </w:pPr>
      <w:r>
        <w:rPr>
          <w:i/>
        </w:rPr>
        <w:t xml:space="preserve">2. </w:t>
      </w:r>
      <w:r w:rsidRPr="008A5237">
        <w:rPr>
          <w:i/>
        </w:rPr>
        <w:t xml:space="preserve">Such protective measures should, as appropriate, include effective procedures for the establishment of social </w:t>
      </w:r>
      <w:proofErr w:type="spellStart"/>
      <w:r w:rsidRPr="008A5237">
        <w:rPr>
          <w:i/>
        </w:rPr>
        <w:t>programmes</w:t>
      </w:r>
      <w:proofErr w:type="spellEnd"/>
      <w:r w:rsidRPr="008A5237">
        <w:rPr>
          <w:i/>
        </w:rPr>
        <w:t xml:space="preserve">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40901C6C" w14:textId="77777777" w:rsidR="009145AD" w:rsidRDefault="009145AD" w:rsidP="009145AD">
      <w:pPr>
        <w:ind w:left="720"/>
        <w:jc w:val="both"/>
        <w:rPr>
          <w:i/>
        </w:rPr>
      </w:pPr>
    </w:p>
    <w:p w14:paraId="739F2E8D" w14:textId="77777777" w:rsidR="009145AD" w:rsidRDefault="009145AD" w:rsidP="009145AD">
      <w:pPr>
        <w:ind w:left="1985" w:hanging="1276"/>
        <w:jc w:val="both"/>
        <w:rPr>
          <w:i/>
          <w:u w:val="single"/>
        </w:rPr>
      </w:pPr>
      <w:r>
        <w:rPr>
          <w:i/>
        </w:rPr>
        <w:t>Article 24</w:t>
      </w:r>
      <w:r>
        <w:rPr>
          <w:i/>
        </w:rPr>
        <w:tab/>
      </w:r>
      <w:r>
        <w:rPr>
          <w:i/>
          <w:u w:val="single"/>
        </w:rPr>
        <w:t>Health and Human Services</w:t>
      </w:r>
    </w:p>
    <w:p w14:paraId="3CC9D6D3" w14:textId="77777777" w:rsidR="009145AD" w:rsidRPr="008A5237" w:rsidRDefault="009145AD" w:rsidP="009145AD">
      <w:pPr>
        <w:ind w:left="1985"/>
        <w:jc w:val="both"/>
        <w:rPr>
          <w:i/>
        </w:rPr>
      </w:pPr>
      <w:r>
        <w:rPr>
          <w:i/>
        </w:rPr>
        <w:t xml:space="preserve">1. </w:t>
      </w:r>
      <w:r w:rsidRPr="008A5237">
        <w:rPr>
          <w:i/>
        </w:rPr>
        <w:t>States Parties shall take all effective and appropriate measures with a view to abolishing traditional practices prejudicial to the health of children.</w:t>
      </w:r>
    </w:p>
    <w:p w14:paraId="26434362" w14:textId="77777777" w:rsidR="009145AD" w:rsidRDefault="009145AD" w:rsidP="009145AD">
      <w:pPr>
        <w:jc w:val="both"/>
        <w:rPr>
          <w:i/>
          <w:u w:val="single"/>
        </w:rPr>
      </w:pPr>
    </w:p>
    <w:p w14:paraId="7D7CBB33" w14:textId="77777777" w:rsidR="009145AD" w:rsidRDefault="009145AD" w:rsidP="009145AD">
      <w:pPr>
        <w:ind w:left="1985" w:hanging="1276"/>
        <w:jc w:val="both"/>
        <w:rPr>
          <w:i/>
          <w:u w:val="single"/>
        </w:rPr>
      </w:pPr>
      <w:r>
        <w:rPr>
          <w:i/>
        </w:rPr>
        <w:t>Article 34</w:t>
      </w:r>
      <w:r>
        <w:rPr>
          <w:i/>
        </w:rPr>
        <w:tab/>
      </w:r>
      <w:r>
        <w:rPr>
          <w:i/>
          <w:u w:val="single"/>
        </w:rPr>
        <w:t>Sexual Exploitation</w:t>
      </w:r>
    </w:p>
    <w:p w14:paraId="35268100" w14:textId="77777777" w:rsidR="009145AD" w:rsidRDefault="009145AD" w:rsidP="009145AD">
      <w:pPr>
        <w:ind w:left="1985"/>
        <w:jc w:val="both"/>
        <w:rPr>
          <w:i/>
        </w:rPr>
      </w:pPr>
      <w:r>
        <w:rPr>
          <w:i/>
        </w:rPr>
        <w:t>States Parties undertake to protect the child from all forms of sexual exploitation and sexual abuse. For these purposes, States Parties shall in particular take all appropriate, national, bilateral and multilateral measures to prevent;</w:t>
      </w:r>
    </w:p>
    <w:p w14:paraId="212F9F04" w14:textId="77777777" w:rsidR="009145AD" w:rsidRPr="00183756" w:rsidRDefault="009145AD" w:rsidP="009145AD">
      <w:pPr>
        <w:pStyle w:val="ListParagraph"/>
        <w:ind w:left="1985"/>
        <w:jc w:val="both"/>
        <w:rPr>
          <w:i/>
          <w:u w:val="single"/>
        </w:rPr>
      </w:pPr>
      <w:r>
        <w:rPr>
          <w:i/>
        </w:rPr>
        <w:t>(a) The inducement or coercion of a child to engage in any unlawful sexual activity.</w:t>
      </w:r>
    </w:p>
    <w:p w14:paraId="3AF410E7" w14:textId="77777777" w:rsidR="009145AD" w:rsidRPr="00183756" w:rsidRDefault="009145AD" w:rsidP="009145AD">
      <w:pPr>
        <w:pStyle w:val="ListParagraph"/>
        <w:ind w:left="1985"/>
        <w:jc w:val="both"/>
        <w:rPr>
          <w:i/>
          <w:u w:val="single"/>
        </w:rPr>
      </w:pPr>
      <w:r>
        <w:rPr>
          <w:i/>
        </w:rPr>
        <w:t>(b) The exploitive use of children in prostitution or other unlawful sexual practices.</w:t>
      </w:r>
    </w:p>
    <w:p w14:paraId="40394D74" w14:textId="77777777" w:rsidR="009145AD" w:rsidRPr="00D3187B" w:rsidRDefault="009145AD" w:rsidP="009145AD">
      <w:pPr>
        <w:ind w:left="1985"/>
        <w:jc w:val="both"/>
        <w:rPr>
          <w:i/>
          <w:u w:val="single"/>
        </w:rPr>
      </w:pPr>
      <w:r w:rsidRPr="00D3187B">
        <w:rPr>
          <w:i/>
        </w:rPr>
        <w:t>(c) The exploitive use of children in pornographic performances and materials.</w:t>
      </w:r>
    </w:p>
    <w:p w14:paraId="715D2551" w14:textId="77777777" w:rsidR="009145AD" w:rsidRDefault="009145AD" w:rsidP="009145AD">
      <w:pPr>
        <w:ind w:left="720"/>
        <w:jc w:val="both"/>
        <w:rPr>
          <w:i/>
          <w:u w:val="single"/>
        </w:rPr>
      </w:pPr>
    </w:p>
    <w:p w14:paraId="1D6D8DE3" w14:textId="77777777" w:rsidR="009145AD" w:rsidRDefault="009145AD" w:rsidP="009145AD">
      <w:pPr>
        <w:ind w:left="1985" w:hanging="1276"/>
        <w:jc w:val="both"/>
        <w:rPr>
          <w:i/>
          <w:u w:val="single"/>
        </w:rPr>
      </w:pPr>
      <w:r>
        <w:rPr>
          <w:i/>
        </w:rPr>
        <w:t>Article 37</w:t>
      </w:r>
      <w:r>
        <w:rPr>
          <w:i/>
        </w:rPr>
        <w:tab/>
      </w:r>
      <w:r>
        <w:rPr>
          <w:i/>
          <w:u w:val="single"/>
        </w:rPr>
        <w:t>Torture and Deprivation of Liberty</w:t>
      </w:r>
    </w:p>
    <w:p w14:paraId="0EE901E1" w14:textId="77777777" w:rsidR="009145AD" w:rsidRPr="008C4ACF" w:rsidRDefault="009145AD" w:rsidP="009145AD">
      <w:pPr>
        <w:pStyle w:val="ListParagraph"/>
        <w:ind w:left="1985"/>
        <w:jc w:val="both"/>
        <w:rPr>
          <w:i/>
          <w:u w:val="single"/>
        </w:rPr>
      </w:pPr>
      <w:r>
        <w:rPr>
          <w:i/>
        </w:rPr>
        <w:t>(a) No child shall be subjected to torture or other cruel, inhuman or degrading treatment or punishment.</w:t>
      </w:r>
    </w:p>
    <w:p w14:paraId="1BF9C1FF" w14:textId="77777777" w:rsidR="009145AD" w:rsidRDefault="009145AD" w:rsidP="009145AD">
      <w:pPr>
        <w:ind w:left="1985"/>
        <w:jc w:val="both"/>
        <w:rPr>
          <w:i/>
        </w:rPr>
      </w:pPr>
      <w:r>
        <w:rPr>
          <w:i/>
        </w:rPr>
        <w:t>(c) Every child deprived of liberty shall be treated with humanity and respect of the inherent dignity of the human person</w:t>
      </w:r>
    </w:p>
    <w:p w14:paraId="57942263" w14:textId="77777777" w:rsidR="009145AD" w:rsidRDefault="009145AD" w:rsidP="009145AD">
      <w:pPr>
        <w:jc w:val="both"/>
        <w:rPr>
          <w:i/>
        </w:rPr>
      </w:pPr>
    </w:p>
    <w:p w14:paraId="68F80621" w14:textId="77777777" w:rsidR="009145AD" w:rsidRDefault="009145AD" w:rsidP="009145AD">
      <w:pPr>
        <w:ind w:left="1985" w:hanging="1276"/>
        <w:jc w:val="both"/>
        <w:rPr>
          <w:i/>
          <w:u w:val="single"/>
        </w:rPr>
      </w:pPr>
      <w:r>
        <w:rPr>
          <w:i/>
        </w:rPr>
        <w:t>Article 39</w:t>
      </w:r>
      <w:r>
        <w:rPr>
          <w:i/>
        </w:rPr>
        <w:tab/>
      </w:r>
      <w:r>
        <w:rPr>
          <w:i/>
          <w:u w:val="single"/>
        </w:rPr>
        <w:t>Rehabilitative Care</w:t>
      </w:r>
    </w:p>
    <w:p w14:paraId="0E101BD9" w14:textId="77777777" w:rsidR="009145AD" w:rsidRDefault="009145AD" w:rsidP="009145AD">
      <w:pPr>
        <w:ind w:left="1985"/>
        <w:jc w:val="both"/>
        <w:rPr>
          <w:i/>
        </w:rPr>
      </w:pPr>
      <w:r>
        <w:rPr>
          <w:i/>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26455F96" w14:textId="77777777" w:rsidR="00506E04" w:rsidRDefault="00506E04" w:rsidP="009145AD">
      <w:pPr>
        <w:jc w:val="both"/>
        <w:rPr>
          <w:rFonts w:eastAsia="Times New Roman"/>
          <w:b/>
        </w:rPr>
      </w:pPr>
    </w:p>
    <w:p w14:paraId="4E70C6D9" w14:textId="77777777" w:rsidR="00506E04" w:rsidRDefault="00506E04" w:rsidP="009145AD">
      <w:pPr>
        <w:jc w:val="both"/>
        <w:rPr>
          <w:rFonts w:eastAsia="Times New Roman"/>
          <w:b/>
        </w:rPr>
      </w:pPr>
    </w:p>
    <w:p w14:paraId="1B0910FA" w14:textId="4C72F035" w:rsidR="009145AD" w:rsidRPr="00506E04" w:rsidRDefault="009145AD" w:rsidP="009145AD">
      <w:pPr>
        <w:jc w:val="both"/>
        <w:rPr>
          <w:rFonts w:eastAsia="Times New Roman"/>
          <w:b/>
          <w:i/>
        </w:rPr>
      </w:pPr>
      <w:r w:rsidRPr="00506E04">
        <w:rPr>
          <w:rFonts w:eastAsia="Times New Roman"/>
          <w:b/>
          <w:i/>
        </w:rPr>
        <w:lastRenderedPageBreak/>
        <w:t>Regi</w:t>
      </w:r>
      <w:r w:rsidR="00506E04">
        <w:rPr>
          <w:rFonts w:eastAsia="Times New Roman"/>
          <w:b/>
          <w:i/>
        </w:rPr>
        <w:t>onal Human Rights Instruments</w:t>
      </w:r>
    </w:p>
    <w:p w14:paraId="45DD02B0" w14:textId="77777777" w:rsidR="009145AD" w:rsidRDefault="009145AD" w:rsidP="009145AD">
      <w:pPr>
        <w:jc w:val="both"/>
        <w:rPr>
          <w:rFonts w:eastAsia="Times New Roman"/>
        </w:rPr>
      </w:pPr>
    </w:p>
    <w:p w14:paraId="4ABCF8CC" w14:textId="77777777" w:rsidR="009145AD" w:rsidRPr="00C23DC4" w:rsidRDefault="009145AD" w:rsidP="009145AD">
      <w:pPr>
        <w:jc w:val="both"/>
        <w:rPr>
          <w:i/>
        </w:rPr>
      </w:pPr>
      <w:r w:rsidRPr="00C23DC4">
        <w:rPr>
          <w:rFonts w:eastAsia="Times New Roman"/>
        </w:rPr>
        <w:t>[</w:t>
      </w:r>
      <w:r>
        <w:rPr>
          <w:rFonts w:eastAsia="Times New Roman"/>
        </w:rPr>
        <w:t>A</w:t>
      </w:r>
      <w:r w:rsidRPr="00C23DC4">
        <w:rPr>
          <w:rFonts w:eastAsia="Times New Roman"/>
        </w:rPr>
        <w:t xml:space="preserve">s listed by the UNHCR’s 1995 </w:t>
      </w:r>
      <w:hyperlink r:id="rId60" w:history="1">
        <w:r w:rsidRPr="002D5B1E">
          <w:rPr>
            <w:rStyle w:val="Hyperlink"/>
            <w:rFonts w:eastAsia="Times New Roman"/>
            <w:i/>
          </w:rPr>
          <w:t>Sexual Violence Against Refugees: Guidelines on Prevention and Response</w:t>
        </w:r>
      </w:hyperlink>
      <w:r w:rsidRPr="00C23DC4">
        <w:rPr>
          <w:rFonts w:eastAsia="Times New Roman"/>
        </w:rPr>
        <w:t>] include the following:</w:t>
      </w:r>
      <w:r w:rsidRPr="00C23DC4">
        <w:rPr>
          <w:rStyle w:val="FootnoteReference"/>
          <w:rFonts w:eastAsia="Times New Roman"/>
        </w:rPr>
        <w:footnoteReference w:id="145"/>
      </w:r>
      <w:r w:rsidRPr="00C23DC4">
        <w:rPr>
          <w:i/>
        </w:rPr>
        <w:tab/>
      </w:r>
    </w:p>
    <w:p w14:paraId="4EA1824D" w14:textId="77777777" w:rsidR="009145AD" w:rsidRDefault="009145AD" w:rsidP="009145AD">
      <w:pPr>
        <w:jc w:val="both"/>
        <w:rPr>
          <w:b/>
        </w:rPr>
      </w:pPr>
    </w:p>
    <w:p w14:paraId="251095CC" w14:textId="77777777" w:rsidR="009145AD" w:rsidRPr="00CC0CA0" w:rsidRDefault="009145AD" w:rsidP="009145AD">
      <w:pPr>
        <w:jc w:val="both"/>
        <w:rPr>
          <w:u w:val="single"/>
        </w:rPr>
      </w:pPr>
      <w:r w:rsidRPr="00CC0CA0">
        <w:rPr>
          <w:u w:val="single"/>
        </w:rPr>
        <w:t>Europe:</w:t>
      </w:r>
    </w:p>
    <w:p w14:paraId="084F7413" w14:textId="77777777" w:rsidR="009145AD" w:rsidRPr="00006EB7" w:rsidRDefault="006850B8" w:rsidP="009145AD">
      <w:pPr>
        <w:ind w:left="720"/>
        <w:jc w:val="both"/>
        <w:rPr>
          <w:b/>
          <w:i/>
        </w:rPr>
      </w:pPr>
      <w:hyperlink r:id="rId61" w:history="1">
        <w:r w:rsidR="009145AD" w:rsidRPr="00F751EA">
          <w:rPr>
            <w:rStyle w:val="Hyperlink"/>
            <w:b/>
            <w:i/>
          </w:rPr>
          <w:t>The European Convention for the Protection of Human Rights and Fundamental Freedoms</w:t>
        </w:r>
      </w:hyperlink>
      <w:r w:rsidR="009145AD" w:rsidRPr="00006EB7">
        <w:rPr>
          <w:b/>
          <w:i/>
        </w:rPr>
        <w:t xml:space="preserve"> (1950)</w:t>
      </w:r>
    </w:p>
    <w:p w14:paraId="6B24C2E2" w14:textId="77777777" w:rsidR="009145AD" w:rsidRDefault="009145AD" w:rsidP="009145AD">
      <w:pPr>
        <w:ind w:left="720"/>
        <w:jc w:val="both"/>
        <w:rPr>
          <w:i/>
          <w:u w:val="single"/>
        </w:rPr>
      </w:pPr>
    </w:p>
    <w:p w14:paraId="7C554AF7" w14:textId="77777777" w:rsidR="009145AD" w:rsidRDefault="009145AD" w:rsidP="009145AD">
      <w:pPr>
        <w:ind w:left="2160" w:hanging="1440"/>
        <w:jc w:val="both"/>
        <w:rPr>
          <w:i/>
        </w:rPr>
      </w:pPr>
      <w:r>
        <w:rPr>
          <w:i/>
        </w:rPr>
        <w:t>Article 3</w:t>
      </w:r>
      <w:r>
        <w:rPr>
          <w:i/>
        </w:rPr>
        <w:tab/>
        <w:t>No one shall be subjected to torture or to inhuman or degrading treatment of punishment.</w:t>
      </w:r>
    </w:p>
    <w:p w14:paraId="6F29D11A" w14:textId="77777777" w:rsidR="009145AD" w:rsidRDefault="009145AD" w:rsidP="009145AD">
      <w:pPr>
        <w:ind w:left="2160" w:hanging="1440"/>
        <w:jc w:val="both"/>
        <w:rPr>
          <w:i/>
        </w:rPr>
      </w:pPr>
    </w:p>
    <w:p w14:paraId="3247B786" w14:textId="77777777" w:rsidR="009145AD" w:rsidRDefault="009145AD" w:rsidP="009145AD">
      <w:pPr>
        <w:ind w:left="2160" w:hanging="1440"/>
        <w:jc w:val="both"/>
        <w:rPr>
          <w:i/>
        </w:rPr>
      </w:pPr>
      <w:r>
        <w:rPr>
          <w:i/>
        </w:rPr>
        <w:t>Article 5</w:t>
      </w:r>
      <w:r>
        <w:rPr>
          <w:i/>
        </w:rPr>
        <w:tab/>
        <w:t>1. Everyone has the right to liberty and security of person</w:t>
      </w:r>
    </w:p>
    <w:p w14:paraId="04586ADF" w14:textId="77777777" w:rsidR="009145AD" w:rsidRDefault="009145AD" w:rsidP="009145AD">
      <w:pPr>
        <w:ind w:left="2160" w:hanging="1440"/>
        <w:jc w:val="both"/>
        <w:rPr>
          <w:i/>
        </w:rPr>
      </w:pPr>
    </w:p>
    <w:p w14:paraId="4F08A2A9" w14:textId="77777777" w:rsidR="009145AD" w:rsidRPr="00CC0CA0" w:rsidRDefault="009145AD" w:rsidP="009145AD">
      <w:pPr>
        <w:jc w:val="both"/>
        <w:rPr>
          <w:u w:val="single"/>
        </w:rPr>
      </w:pPr>
      <w:r w:rsidRPr="00CC0CA0">
        <w:rPr>
          <w:u w:val="single"/>
        </w:rPr>
        <w:t>Americas:</w:t>
      </w:r>
    </w:p>
    <w:p w14:paraId="19550956" w14:textId="77777777" w:rsidR="009145AD" w:rsidRPr="00006EB7" w:rsidRDefault="006850B8" w:rsidP="009145AD">
      <w:pPr>
        <w:ind w:left="2160" w:hanging="1440"/>
        <w:jc w:val="both"/>
        <w:rPr>
          <w:b/>
          <w:i/>
        </w:rPr>
      </w:pPr>
      <w:hyperlink r:id="rId62" w:history="1">
        <w:r w:rsidR="009145AD" w:rsidRPr="00F751EA">
          <w:rPr>
            <w:rStyle w:val="Hyperlink"/>
            <w:b/>
            <w:i/>
          </w:rPr>
          <w:t>The American Convention on Human Rights</w:t>
        </w:r>
      </w:hyperlink>
      <w:r w:rsidR="009145AD" w:rsidRPr="00006EB7">
        <w:rPr>
          <w:b/>
          <w:i/>
        </w:rPr>
        <w:t xml:space="preserve"> (1969) (‘Pact of San José, Costa Rica’)</w:t>
      </w:r>
    </w:p>
    <w:p w14:paraId="6E53D6D8" w14:textId="77777777" w:rsidR="009145AD" w:rsidRDefault="009145AD" w:rsidP="009145AD">
      <w:pPr>
        <w:jc w:val="both"/>
        <w:rPr>
          <w:i/>
          <w:u w:val="single"/>
        </w:rPr>
      </w:pPr>
    </w:p>
    <w:p w14:paraId="21661BED" w14:textId="77777777" w:rsidR="009145AD" w:rsidRDefault="009145AD" w:rsidP="009145AD">
      <w:pPr>
        <w:jc w:val="both"/>
        <w:rPr>
          <w:i/>
          <w:u w:val="single"/>
        </w:rPr>
      </w:pPr>
      <w:r>
        <w:rPr>
          <w:i/>
        </w:rPr>
        <w:tab/>
        <w:t>Article 5</w:t>
      </w:r>
      <w:r>
        <w:rPr>
          <w:i/>
        </w:rPr>
        <w:tab/>
      </w:r>
      <w:r>
        <w:rPr>
          <w:i/>
          <w:u w:val="single"/>
        </w:rPr>
        <w:t>Right to Humane Treatment</w:t>
      </w:r>
    </w:p>
    <w:p w14:paraId="654A0586" w14:textId="77777777" w:rsidR="009145AD" w:rsidRDefault="009145AD" w:rsidP="009145AD">
      <w:pPr>
        <w:ind w:left="2160"/>
        <w:jc w:val="both"/>
        <w:rPr>
          <w:i/>
        </w:rPr>
      </w:pPr>
      <w:r>
        <w:rPr>
          <w:i/>
        </w:rPr>
        <w:t>1. Every person has the right to have his physical, mental, and moral integrity respected.</w:t>
      </w:r>
    </w:p>
    <w:p w14:paraId="63C2C8E2" w14:textId="77777777" w:rsidR="009145AD" w:rsidRDefault="009145AD" w:rsidP="009145AD">
      <w:pPr>
        <w:ind w:left="2160"/>
        <w:jc w:val="both"/>
        <w:rPr>
          <w:i/>
        </w:rPr>
      </w:pPr>
      <w:r>
        <w:rPr>
          <w:i/>
        </w:rPr>
        <w:t>2. No one shall be subjected to torture or to cruel, inhuman, or degrading punishment or treatment. All persons deprived of their liberty shall be treated with respect for the inherent dignity of the human person.</w:t>
      </w:r>
    </w:p>
    <w:p w14:paraId="42A172D3" w14:textId="77777777" w:rsidR="009145AD" w:rsidRDefault="009145AD" w:rsidP="009145AD">
      <w:pPr>
        <w:jc w:val="both"/>
        <w:rPr>
          <w:i/>
        </w:rPr>
      </w:pPr>
    </w:p>
    <w:p w14:paraId="46BED1A2" w14:textId="77777777" w:rsidR="009145AD" w:rsidRDefault="009145AD" w:rsidP="009145AD">
      <w:pPr>
        <w:jc w:val="both"/>
        <w:rPr>
          <w:i/>
          <w:u w:val="single"/>
        </w:rPr>
      </w:pPr>
      <w:r>
        <w:rPr>
          <w:i/>
        </w:rPr>
        <w:tab/>
        <w:t>Article 7</w:t>
      </w:r>
      <w:r>
        <w:rPr>
          <w:i/>
        </w:rPr>
        <w:tab/>
      </w:r>
      <w:r>
        <w:rPr>
          <w:i/>
          <w:u w:val="single"/>
        </w:rPr>
        <w:t>Right to Personal Liberty</w:t>
      </w:r>
    </w:p>
    <w:p w14:paraId="217D0A8C" w14:textId="77777777" w:rsidR="009145AD" w:rsidRPr="008A5237" w:rsidRDefault="009145AD" w:rsidP="009145AD">
      <w:pPr>
        <w:pStyle w:val="ListParagraph"/>
        <w:numPr>
          <w:ilvl w:val="0"/>
          <w:numId w:val="6"/>
        </w:numPr>
        <w:jc w:val="both"/>
        <w:rPr>
          <w:i/>
        </w:rPr>
      </w:pPr>
      <w:r w:rsidRPr="008A5237">
        <w:rPr>
          <w:i/>
        </w:rPr>
        <w:t>Every person has the right to personal liberty and security.</w:t>
      </w:r>
    </w:p>
    <w:p w14:paraId="550A5667" w14:textId="77777777" w:rsidR="009145AD" w:rsidRDefault="009145AD" w:rsidP="009145AD">
      <w:pPr>
        <w:jc w:val="both"/>
        <w:rPr>
          <w:i/>
        </w:rPr>
      </w:pPr>
    </w:p>
    <w:p w14:paraId="08A19A71" w14:textId="77777777" w:rsidR="009145AD" w:rsidRPr="00006EB7" w:rsidRDefault="006850B8" w:rsidP="009145AD">
      <w:pPr>
        <w:ind w:left="720"/>
        <w:jc w:val="both"/>
        <w:rPr>
          <w:b/>
          <w:i/>
        </w:rPr>
      </w:pPr>
      <w:hyperlink r:id="rId63" w:history="1">
        <w:r w:rsidR="009145AD" w:rsidRPr="00F751EA">
          <w:rPr>
            <w:rStyle w:val="Hyperlink"/>
            <w:b/>
            <w:i/>
          </w:rPr>
          <w:t>The Inter-American Convention on the Prevention, Punishment and Eradication of Violence Against Women</w:t>
        </w:r>
      </w:hyperlink>
      <w:r w:rsidR="009145AD" w:rsidRPr="00006EB7">
        <w:rPr>
          <w:b/>
          <w:i/>
        </w:rPr>
        <w:t xml:space="preserve"> (Convention of </w:t>
      </w:r>
      <w:proofErr w:type="spellStart"/>
      <w:r w:rsidR="009145AD" w:rsidRPr="00006EB7">
        <w:rPr>
          <w:b/>
          <w:i/>
        </w:rPr>
        <w:t>Belém</w:t>
      </w:r>
      <w:proofErr w:type="spellEnd"/>
      <w:r w:rsidR="009145AD" w:rsidRPr="00006EB7">
        <w:rPr>
          <w:b/>
          <w:i/>
        </w:rPr>
        <w:t xml:space="preserve"> do Para) (1994)</w:t>
      </w:r>
    </w:p>
    <w:p w14:paraId="3AAE9F8B" w14:textId="77777777" w:rsidR="009145AD" w:rsidRDefault="009145AD" w:rsidP="009145AD">
      <w:pPr>
        <w:ind w:left="720"/>
        <w:jc w:val="both"/>
        <w:rPr>
          <w:i/>
          <w:u w:val="single"/>
        </w:rPr>
      </w:pPr>
    </w:p>
    <w:p w14:paraId="582B5DB4" w14:textId="77777777" w:rsidR="009145AD" w:rsidRDefault="009145AD" w:rsidP="009145AD">
      <w:pPr>
        <w:ind w:left="2160" w:hanging="1440"/>
        <w:jc w:val="both"/>
        <w:rPr>
          <w:i/>
        </w:rPr>
      </w:pPr>
      <w:r>
        <w:rPr>
          <w:i/>
        </w:rPr>
        <w:t>Article 7</w:t>
      </w:r>
      <w:r>
        <w:rPr>
          <w:i/>
        </w:rPr>
        <w:tab/>
        <w:t>sets out State obligations in regard to the eradication of gender-based violence.</w:t>
      </w:r>
    </w:p>
    <w:p w14:paraId="12B6A3CD" w14:textId="77777777" w:rsidR="009145AD" w:rsidRDefault="009145AD" w:rsidP="009145AD">
      <w:pPr>
        <w:ind w:left="2160" w:hanging="1440"/>
        <w:jc w:val="both"/>
        <w:rPr>
          <w:i/>
        </w:rPr>
      </w:pPr>
    </w:p>
    <w:p w14:paraId="03B6A80C" w14:textId="77777777" w:rsidR="009145AD" w:rsidRDefault="009145AD" w:rsidP="009145AD">
      <w:pPr>
        <w:ind w:left="2160" w:hanging="1440"/>
        <w:jc w:val="both"/>
        <w:rPr>
          <w:i/>
        </w:rPr>
      </w:pPr>
      <w:r>
        <w:rPr>
          <w:i/>
        </w:rPr>
        <w:t>Article 8</w:t>
      </w:r>
      <w:r>
        <w:rPr>
          <w:i/>
        </w:rPr>
        <w:tab/>
        <w:t>sets out additional obligations regarding education and the development of a mass consciousness in relation to violence against women.</w:t>
      </w:r>
    </w:p>
    <w:p w14:paraId="11598D28" w14:textId="77777777" w:rsidR="009145AD" w:rsidRDefault="009145AD" w:rsidP="009145AD">
      <w:pPr>
        <w:ind w:left="2160" w:hanging="1440"/>
        <w:jc w:val="both"/>
        <w:rPr>
          <w:i/>
        </w:rPr>
      </w:pPr>
    </w:p>
    <w:p w14:paraId="3389053C" w14:textId="77777777" w:rsidR="009145AD" w:rsidRDefault="009145AD" w:rsidP="009145AD">
      <w:pPr>
        <w:ind w:left="2160" w:hanging="1440"/>
        <w:jc w:val="both"/>
        <w:rPr>
          <w:i/>
        </w:rPr>
      </w:pPr>
      <w:r>
        <w:rPr>
          <w:i/>
        </w:rPr>
        <w:t>Article 10</w:t>
      </w:r>
      <w:r>
        <w:rPr>
          <w:i/>
        </w:rPr>
        <w:tab/>
        <w:t>obliges the States parties to include in their national reports to the Inter-American Commission of Women information on measures adopted to prevent and prohibit violence against women and to assist women affected by violence, as well as any difficulties they observe in applying those measures, and the factors that contribute to violence against women.</w:t>
      </w:r>
    </w:p>
    <w:p w14:paraId="2A9A9023" w14:textId="77777777" w:rsidR="009145AD" w:rsidRDefault="009145AD" w:rsidP="009145AD">
      <w:pPr>
        <w:ind w:left="2160" w:hanging="1440"/>
        <w:jc w:val="both"/>
        <w:rPr>
          <w:i/>
        </w:rPr>
      </w:pPr>
    </w:p>
    <w:p w14:paraId="0698512E" w14:textId="77777777" w:rsidR="009145AD" w:rsidRDefault="009145AD" w:rsidP="009145AD">
      <w:pPr>
        <w:ind w:left="2160" w:hanging="1440"/>
        <w:jc w:val="both"/>
        <w:rPr>
          <w:i/>
        </w:rPr>
      </w:pPr>
      <w:r>
        <w:rPr>
          <w:i/>
        </w:rPr>
        <w:lastRenderedPageBreak/>
        <w:t>Article 12</w:t>
      </w:r>
      <w:r>
        <w:rPr>
          <w:i/>
        </w:rPr>
        <w:tab/>
        <w:t>provides for an individual right of petition and a right for non-governmental organizations to lodge complaints with the Inter-American Commission of Human Rights.</w:t>
      </w:r>
    </w:p>
    <w:p w14:paraId="1C6F099C" w14:textId="77777777" w:rsidR="009145AD" w:rsidRDefault="009145AD" w:rsidP="009145AD">
      <w:pPr>
        <w:ind w:left="2160" w:hanging="1440"/>
        <w:jc w:val="both"/>
        <w:rPr>
          <w:i/>
        </w:rPr>
      </w:pPr>
    </w:p>
    <w:p w14:paraId="6AD06C7A" w14:textId="77777777" w:rsidR="009145AD" w:rsidRPr="00CC0CA0" w:rsidRDefault="009145AD" w:rsidP="009145AD">
      <w:pPr>
        <w:jc w:val="both"/>
        <w:rPr>
          <w:u w:val="single"/>
        </w:rPr>
      </w:pPr>
      <w:r w:rsidRPr="00CC0CA0">
        <w:rPr>
          <w:u w:val="single"/>
        </w:rPr>
        <w:t>Africa:</w:t>
      </w:r>
    </w:p>
    <w:p w14:paraId="58DE771C" w14:textId="77777777" w:rsidR="009145AD" w:rsidRPr="00006EB7" w:rsidRDefault="006850B8" w:rsidP="009145AD">
      <w:pPr>
        <w:ind w:left="2160" w:hanging="1440"/>
        <w:jc w:val="both"/>
        <w:rPr>
          <w:b/>
          <w:i/>
        </w:rPr>
      </w:pPr>
      <w:hyperlink r:id="rId64" w:history="1">
        <w:r w:rsidR="009145AD" w:rsidRPr="00F751EA">
          <w:rPr>
            <w:rStyle w:val="Hyperlink"/>
            <w:b/>
            <w:i/>
          </w:rPr>
          <w:t>The African Charter on Human and Peoples’ Rights</w:t>
        </w:r>
      </w:hyperlink>
      <w:r w:rsidR="009145AD" w:rsidRPr="00006EB7">
        <w:rPr>
          <w:b/>
          <w:i/>
        </w:rPr>
        <w:t xml:space="preserve"> (1981)</w:t>
      </w:r>
    </w:p>
    <w:p w14:paraId="698C5180" w14:textId="77777777" w:rsidR="009145AD" w:rsidRDefault="009145AD" w:rsidP="009145AD">
      <w:pPr>
        <w:ind w:left="2160" w:hanging="1440"/>
        <w:jc w:val="both"/>
        <w:rPr>
          <w:i/>
          <w:u w:val="single"/>
        </w:rPr>
      </w:pPr>
    </w:p>
    <w:p w14:paraId="471F7DA8" w14:textId="77777777" w:rsidR="009145AD" w:rsidRDefault="009145AD" w:rsidP="009145AD">
      <w:pPr>
        <w:ind w:left="2160" w:hanging="1440"/>
        <w:jc w:val="both"/>
        <w:rPr>
          <w:i/>
        </w:rPr>
      </w:pPr>
      <w:r>
        <w:rPr>
          <w:i/>
        </w:rPr>
        <w:t>Article 4</w:t>
      </w:r>
      <w:r>
        <w:rPr>
          <w:i/>
        </w:rPr>
        <w:tab/>
        <w:t>Human beings are inviolable. Every human being shall be entitled to respect for his life and the integrity of his person. No one may be arbitrarily deprived of this right.</w:t>
      </w:r>
    </w:p>
    <w:p w14:paraId="1E246DED" w14:textId="77777777" w:rsidR="009145AD" w:rsidRDefault="009145AD" w:rsidP="009145AD">
      <w:pPr>
        <w:ind w:left="2160" w:hanging="1440"/>
        <w:jc w:val="both"/>
        <w:rPr>
          <w:i/>
        </w:rPr>
      </w:pPr>
    </w:p>
    <w:p w14:paraId="7699D30B" w14:textId="77777777" w:rsidR="009145AD" w:rsidRDefault="009145AD" w:rsidP="009145AD">
      <w:pPr>
        <w:ind w:left="2160" w:hanging="1440"/>
        <w:jc w:val="both"/>
        <w:rPr>
          <w:i/>
        </w:rPr>
      </w:pPr>
      <w:r>
        <w:rPr>
          <w:i/>
        </w:rPr>
        <w:t>Article 5</w:t>
      </w:r>
      <w:r>
        <w:rPr>
          <w:i/>
        </w:rPr>
        <w:tab/>
        <w:t>Every individual shall have the right to the respect of the dignity inherent in a human being and to the recognition of his legal status. All forms of exploitation and degradation of man particularly slavery, slave trade, torture, cruel, inhuman or degrading punishment and treatment shall be prohibited.</w:t>
      </w:r>
    </w:p>
    <w:p w14:paraId="064244CF" w14:textId="77777777" w:rsidR="009145AD" w:rsidRDefault="009145AD" w:rsidP="009145AD">
      <w:pPr>
        <w:ind w:left="2160" w:hanging="1440"/>
        <w:jc w:val="both"/>
        <w:rPr>
          <w:i/>
        </w:rPr>
      </w:pPr>
    </w:p>
    <w:p w14:paraId="37567DC2" w14:textId="77777777" w:rsidR="009145AD" w:rsidRPr="00006EB7" w:rsidRDefault="009145AD" w:rsidP="009145AD">
      <w:pPr>
        <w:ind w:left="2160" w:hanging="1440"/>
        <w:jc w:val="both"/>
        <w:rPr>
          <w:i/>
        </w:rPr>
      </w:pPr>
      <w:r>
        <w:rPr>
          <w:i/>
        </w:rPr>
        <w:t>Article 6</w:t>
      </w:r>
      <w:r>
        <w:rPr>
          <w:i/>
        </w:rPr>
        <w:tab/>
        <w:t>Every individual shall have the right to liberty and the security of his person</w:t>
      </w:r>
    </w:p>
    <w:p w14:paraId="43B4E8C7" w14:textId="77777777" w:rsidR="009145AD" w:rsidRDefault="009145AD" w:rsidP="009145AD">
      <w:pPr>
        <w:contextualSpacing/>
        <w:jc w:val="both"/>
        <w:rPr>
          <w:rFonts w:cstheme="minorHAnsi"/>
          <w:u w:val="single"/>
        </w:rPr>
      </w:pPr>
    </w:p>
    <w:p w14:paraId="0E52F137" w14:textId="77777777" w:rsidR="009145AD" w:rsidRDefault="009145AD" w:rsidP="009145AD">
      <w:pPr>
        <w:contextualSpacing/>
        <w:jc w:val="both"/>
        <w:rPr>
          <w:rFonts w:cstheme="minorHAnsi"/>
          <w:u w:val="single"/>
        </w:rPr>
      </w:pPr>
    </w:p>
    <w:p w14:paraId="1EFC7312" w14:textId="1AEE4657" w:rsidR="009145AD" w:rsidRPr="00506E04" w:rsidRDefault="009145AD" w:rsidP="009145AD">
      <w:pPr>
        <w:jc w:val="both"/>
        <w:rPr>
          <w:rFonts w:eastAsia="Times New Roman"/>
          <w:b/>
          <w:i/>
        </w:rPr>
      </w:pPr>
      <w:r w:rsidRPr="00506E04">
        <w:rPr>
          <w:rFonts w:eastAsia="Times New Roman"/>
          <w:b/>
          <w:i/>
        </w:rPr>
        <w:t>International Humanitarian Law Instrume</w:t>
      </w:r>
      <w:r w:rsidR="00506E04">
        <w:rPr>
          <w:rFonts w:eastAsia="Times New Roman"/>
          <w:b/>
          <w:i/>
        </w:rPr>
        <w:t>nts – International Armed Conflicts</w:t>
      </w:r>
    </w:p>
    <w:p w14:paraId="55D733D5" w14:textId="77777777" w:rsidR="009145AD" w:rsidRDefault="009145AD" w:rsidP="009145AD">
      <w:pPr>
        <w:jc w:val="both"/>
        <w:rPr>
          <w:rFonts w:eastAsia="Times New Roman"/>
          <w:b/>
        </w:rPr>
      </w:pPr>
    </w:p>
    <w:p w14:paraId="3BEC585B" w14:textId="77777777" w:rsidR="009145AD" w:rsidRPr="00C23DC4" w:rsidRDefault="009145AD" w:rsidP="009145AD">
      <w:pPr>
        <w:jc w:val="both"/>
        <w:rPr>
          <w:rFonts w:eastAsia="Times New Roman"/>
        </w:rPr>
      </w:pPr>
      <w:r w:rsidRPr="00C23DC4">
        <w:rPr>
          <w:rFonts w:eastAsia="Times New Roman"/>
        </w:rPr>
        <w:t xml:space="preserve">[As listed by the UNHCR’s 1995 </w:t>
      </w:r>
      <w:hyperlink r:id="rId65" w:history="1">
        <w:r w:rsidRPr="003C7F73">
          <w:rPr>
            <w:rStyle w:val="Hyperlink"/>
            <w:rFonts w:eastAsia="Times New Roman"/>
            <w:i/>
          </w:rPr>
          <w:t>Sexual Violence Against Refugees: Guidelines on Prevention and Response</w:t>
        </w:r>
      </w:hyperlink>
      <w:r w:rsidRPr="00C23DC4">
        <w:rPr>
          <w:rFonts w:eastAsia="Times New Roman"/>
        </w:rPr>
        <w:t>] include the following:</w:t>
      </w:r>
      <w:r w:rsidRPr="00C23DC4">
        <w:rPr>
          <w:rStyle w:val="FootnoteReference"/>
          <w:rFonts w:eastAsia="Times New Roman"/>
        </w:rPr>
        <w:footnoteReference w:id="146"/>
      </w:r>
    </w:p>
    <w:p w14:paraId="25C9399E" w14:textId="77777777" w:rsidR="009145AD" w:rsidRPr="000B66D8" w:rsidRDefault="009145AD" w:rsidP="009145AD">
      <w:pPr>
        <w:jc w:val="both"/>
        <w:rPr>
          <w:b/>
        </w:rPr>
      </w:pPr>
    </w:p>
    <w:p w14:paraId="33B43A11" w14:textId="77777777" w:rsidR="009145AD" w:rsidRDefault="006850B8" w:rsidP="009145AD">
      <w:pPr>
        <w:ind w:left="720"/>
        <w:jc w:val="both"/>
        <w:rPr>
          <w:b/>
          <w:i/>
        </w:rPr>
      </w:pPr>
      <w:hyperlink r:id="rId66" w:history="1">
        <w:r w:rsidR="009145AD" w:rsidRPr="00F751EA">
          <w:rPr>
            <w:rStyle w:val="Hyperlink"/>
            <w:b/>
            <w:i/>
          </w:rPr>
          <w:t>The Geneva Convention Relative to the Protection of Civilian Persons in Time of War</w:t>
        </w:r>
      </w:hyperlink>
      <w:r w:rsidR="009145AD">
        <w:rPr>
          <w:b/>
          <w:i/>
        </w:rPr>
        <w:t xml:space="preserve"> (The Fourth Geneva Convention) (1949)</w:t>
      </w:r>
    </w:p>
    <w:p w14:paraId="24246596" w14:textId="77777777" w:rsidR="009145AD" w:rsidRDefault="009145AD" w:rsidP="009145AD">
      <w:pPr>
        <w:ind w:left="720"/>
        <w:jc w:val="both"/>
        <w:rPr>
          <w:b/>
          <w:i/>
        </w:rPr>
      </w:pPr>
    </w:p>
    <w:p w14:paraId="2359E2F1" w14:textId="77777777" w:rsidR="009145AD" w:rsidRDefault="009145AD" w:rsidP="009145AD">
      <w:pPr>
        <w:ind w:left="2160" w:hanging="1440"/>
        <w:jc w:val="both"/>
        <w:rPr>
          <w:i/>
        </w:rPr>
      </w:pPr>
      <w:r>
        <w:rPr>
          <w:i/>
        </w:rPr>
        <w:t>Article 27</w:t>
      </w:r>
      <w:r>
        <w:rPr>
          <w:i/>
        </w:rPr>
        <w:tab/>
        <w:t xml:space="preserve">[Protected persons] … shall at all times be humanely </w:t>
      </w:r>
      <w:proofErr w:type="gramStart"/>
      <w:r>
        <w:rPr>
          <w:i/>
        </w:rPr>
        <w:t>treated, and</w:t>
      </w:r>
      <w:proofErr w:type="gramEnd"/>
      <w:r>
        <w:rPr>
          <w:i/>
        </w:rPr>
        <w:t xml:space="preserve"> shall be protected especially against all acts of violence or threats thereof and against insults and public curiosity. Women shall be especially protected against any attack on their </w:t>
      </w:r>
      <w:proofErr w:type="spellStart"/>
      <w:r>
        <w:rPr>
          <w:i/>
        </w:rPr>
        <w:t>honour</w:t>
      </w:r>
      <w:proofErr w:type="spellEnd"/>
      <w:r>
        <w:rPr>
          <w:i/>
        </w:rPr>
        <w:t>, in particular against rape, enforced prostitution, or any form of indecent assault.</w:t>
      </w:r>
    </w:p>
    <w:p w14:paraId="052D808C" w14:textId="77777777" w:rsidR="009145AD" w:rsidRDefault="009145AD" w:rsidP="00506E04">
      <w:pPr>
        <w:jc w:val="both"/>
        <w:rPr>
          <w:i/>
        </w:rPr>
      </w:pPr>
    </w:p>
    <w:p w14:paraId="3DA91CE1" w14:textId="77777777" w:rsidR="009145AD" w:rsidRDefault="006850B8" w:rsidP="009145AD">
      <w:pPr>
        <w:ind w:left="2160" w:hanging="1440"/>
        <w:jc w:val="both"/>
        <w:rPr>
          <w:b/>
          <w:i/>
        </w:rPr>
      </w:pPr>
      <w:hyperlink r:id="rId67" w:history="1">
        <w:r w:rsidR="009145AD" w:rsidRPr="00F751EA">
          <w:rPr>
            <w:rStyle w:val="Hyperlink"/>
            <w:b/>
            <w:i/>
          </w:rPr>
          <w:t>Protocol I Relating to the Protection of Victims of International Armed Conflicts</w:t>
        </w:r>
      </w:hyperlink>
      <w:r w:rsidR="009145AD">
        <w:rPr>
          <w:b/>
          <w:i/>
        </w:rPr>
        <w:t xml:space="preserve"> </w:t>
      </w:r>
    </w:p>
    <w:p w14:paraId="1BC5A90D" w14:textId="77777777" w:rsidR="009145AD" w:rsidRDefault="009145AD" w:rsidP="009145AD">
      <w:pPr>
        <w:ind w:left="2160" w:hanging="1440"/>
        <w:jc w:val="both"/>
        <w:rPr>
          <w:b/>
          <w:i/>
        </w:rPr>
      </w:pPr>
      <w:r>
        <w:rPr>
          <w:b/>
          <w:i/>
        </w:rPr>
        <w:t>(1977)</w:t>
      </w:r>
    </w:p>
    <w:p w14:paraId="08F30BE0" w14:textId="77777777" w:rsidR="009145AD" w:rsidRDefault="009145AD" w:rsidP="009145AD">
      <w:pPr>
        <w:ind w:left="2160" w:hanging="1440"/>
        <w:jc w:val="both"/>
        <w:rPr>
          <w:b/>
          <w:i/>
        </w:rPr>
      </w:pPr>
    </w:p>
    <w:p w14:paraId="6F1B5408" w14:textId="77777777" w:rsidR="009145AD" w:rsidRDefault="009145AD" w:rsidP="009145AD">
      <w:pPr>
        <w:ind w:left="2160" w:hanging="1440"/>
        <w:jc w:val="both"/>
        <w:rPr>
          <w:i/>
        </w:rPr>
      </w:pPr>
      <w:r>
        <w:rPr>
          <w:i/>
        </w:rPr>
        <w:t>Article 51.2</w:t>
      </w:r>
      <w:r>
        <w:rPr>
          <w:i/>
        </w:rPr>
        <w:tab/>
        <w:t>The civilian population as such, as well as individual civilians, shall not be the object of attack. Acts or threats of violence the primary purpose of which is to spread terror among the civilian population are prohibited.</w:t>
      </w:r>
    </w:p>
    <w:p w14:paraId="0673B7F0" w14:textId="77777777" w:rsidR="009145AD" w:rsidRDefault="009145AD" w:rsidP="009145AD">
      <w:pPr>
        <w:ind w:left="2160" w:hanging="1440"/>
        <w:jc w:val="both"/>
        <w:rPr>
          <w:i/>
        </w:rPr>
      </w:pPr>
    </w:p>
    <w:p w14:paraId="20641D93" w14:textId="77777777" w:rsidR="009145AD" w:rsidRDefault="009145AD" w:rsidP="009145AD">
      <w:pPr>
        <w:ind w:left="2160" w:hanging="1440"/>
        <w:jc w:val="both"/>
        <w:rPr>
          <w:i/>
          <w:u w:val="single"/>
        </w:rPr>
      </w:pPr>
      <w:r>
        <w:rPr>
          <w:i/>
        </w:rPr>
        <w:t>Article 75.2</w:t>
      </w:r>
      <w:r>
        <w:rPr>
          <w:i/>
        </w:rPr>
        <w:tab/>
      </w:r>
      <w:r>
        <w:rPr>
          <w:i/>
          <w:u w:val="single"/>
        </w:rPr>
        <w:t>Fundamental Guarantees</w:t>
      </w:r>
    </w:p>
    <w:p w14:paraId="3BCF4A66" w14:textId="77777777" w:rsidR="009145AD" w:rsidRDefault="009145AD" w:rsidP="009145AD">
      <w:pPr>
        <w:ind w:left="2160" w:hanging="1440"/>
        <w:jc w:val="both"/>
        <w:rPr>
          <w:i/>
        </w:rPr>
      </w:pPr>
      <w:r>
        <w:rPr>
          <w:i/>
        </w:rPr>
        <w:lastRenderedPageBreak/>
        <w:tab/>
        <w:t>The following acts are and shall remain prohibited at any time and in any place whatsoever, whether committed by civilian or by military agents:</w:t>
      </w:r>
    </w:p>
    <w:p w14:paraId="1A65F529" w14:textId="77777777" w:rsidR="009145AD" w:rsidRPr="000B66D8" w:rsidRDefault="009145AD" w:rsidP="009145AD">
      <w:pPr>
        <w:pStyle w:val="ListParagraph"/>
        <w:numPr>
          <w:ilvl w:val="0"/>
          <w:numId w:val="7"/>
        </w:numPr>
        <w:jc w:val="both"/>
        <w:rPr>
          <w:i/>
          <w:u w:val="single"/>
        </w:rPr>
      </w:pPr>
      <w:r>
        <w:rPr>
          <w:i/>
        </w:rPr>
        <w:t>violence to the life, health, or physical or mental well-being of persons, in particular:</w:t>
      </w:r>
    </w:p>
    <w:p w14:paraId="547AF205" w14:textId="77777777" w:rsidR="009145AD" w:rsidRDefault="009145AD" w:rsidP="009145AD">
      <w:pPr>
        <w:ind w:left="2160"/>
        <w:jc w:val="both"/>
        <w:rPr>
          <w:i/>
        </w:rPr>
      </w:pPr>
      <w:r>
        <w:rPr>
          <w:i/>
        </w:rPr>
        <w:t>(</w:t>
      </w:r>
      <w:proofErr w:type="spellStart"/>
      <w:r>
        <w:rPr>
          <w:i/>
        </w:rPr>
        <w:t>i</w:t>
      </w:r>
      <w:proofErr w:type="spellEnd"/>
      <w:r>
        <w:rPr>
          <w:i/>
        </w:rPr>
        <w:t>) murder,</w:t>
      </w:r>
    </w:p>
    <w:p w14:paraId="0BA398A4" w14:textId="77777777" w:rsidR="009145AD" w:rsidRDefault="009145AD" w:rsidP="009145AD">
      <w:pPr>
        <w:ind w:left="2160"/>
        <w:jc w:val="both"/>
        <w:rPr>
          <w:i/>
        </w:rPr>
      </w:pPr>
      <w:r>
        <w:rPr>
          <w:i/>
        </w:rPr>
        <w:t>(ii) torture of all kinds, whether physical or mental,</w:t>
      </w:r>
    </w:p>
    <w:p w14:paraId="1E23717F" w14:textId="77777777" w:rsidR="009145AD" w:rsidRDefault="009145AD" w:rsidP="009145AD">
      <w:pPr>
        <w:ind w:left="2160"/>
        <w:jc w:val="both"/>
        <w:rPr>
          <w:i/>
        </w:rPr>
      </w:pPr>
      <w:r>
        <w:rPr>
          <w:i/>
        </w:rPr>
        <w:t>(iii) corporal punishment; and</w:t>
      </w:r>
    </w:p>
    <w:p w14:paraId="50C5C52A" w14:textId="77777777" w:rsidR="009145AD" w:rsidRDefault="009145AD" w:rsidP="009145AD">
      <w:pPr>
        <w:ind w:left="2160"/>
        <w:jc w:val="both"/>
        <w:rPr>
          <w:i/>
        </w:rPr>
      </w:pPr>
      <w:r>
        <w:rPr>
          <w:i/>
        </w:rPr>
        <w:t>(iv) mutilation;</w:t>
      </w:r>
    </w:p>
    <w:p w14:paraId="4E29C6A8" w14:textId="77777777" w:rsidR="009145AD" w:rsidRDefault="009145AD" w:rsidP="009145AD">
      <w:pPr>
        <w:pStyle w:val="ListParagraph"/>
        <w:numPr>
          <w:ilvl w:val="0"/>
          <w:numId w:val="7"/>
        </w:numPr>
        <w:jc w:val="both"/>
        <w:rPr>
          <w:i/>
        </w:rPr>
      </w:pPr>
      <w:r>
        <w:rPr>
          <w:i/>
        </w:rPr>
        <w:t>outrages upon personal dignity, in particular humiliating and degrading treatment, enforced prostitution and any form of indecent assault …</w:t>
      </w:r>
    </w:p>
    <w:p w14:paraId="33B6F22D" w14:textId="77777777" w:rsidR="009145AD" w:rsidRDefault="009145AD" w:rsidP="009145AD">
      <w:pPr>
        <w:pStyle w:val="ListParagraph"/>
        <w:numPr>
          <w:ilvl w:val="0"/>
          <w:numId w:val="9"/>
        </w:numPr>
        <w:jc w:val="both"/>
        <w:rPr>
          <w:i/>
        </w:rPr>
      </w:pPr>
      <w:r w:rsidRPr="000B66D8">
        <w:rPr>
          <w:i/>
        </w:rPr>
        <w:t xml:space="preserve">threats to commit any of the </w:t>
      </w:r>
      <w:r>
        <w:rPr>
          <w:i/>
        </w:rPr>
        <w:t>foregoing acts.</w:t>
      </w:r>
    </w:p>
    <w:p w14:paraId="0C756558" w14:textId="77777777" w:rsidR="009145AD" w:rsidRDefault="009145AD" w:rsidP="009145AD">
      <w:pPr>
        <w:jc w:val="both"/>
        <w:rPr>
          <w:i/>
        </w:rPr>
      </w:pPr>
    </w:p>
    <w:p w14:paraId="0EBD8EE7" w14:textId="77777777" w:rsidR="009145AD" w:rsidRDefault="009145AD" w:rsidP="009145AD">
      <w:pPr>
        <w:ind w:firstLine="720"/>
        <w:jc w:val="both"/>
        <w:rPr>
          <w:i/>
          <w:u w:val="single"/>
        </w:rPr>
      </w:pPr>
      <w:r>
        <w:rPr>
          <w:i/>
        </w:rPr>
        <w:t>Article 76</w:t>
      </w:r>
      <w:r>
        <w:rPr>
          <w:i/>
        </w:rPr>
        <w:tab/>
      </w:r>
      <w:r>
        <w:rPr>
          <w:i/>
          <w:u w:val="single"/>
        </w:rPr>
        <w:t>Protection of women</w:t>
      </w:r>
    </w:p>
    <w:p w14:paraId="191FF4A9" w14:textId="77777777" w:rsidR="009145AD" w:rsidRDefault="009145AD" w:rsidP="009145AD">
      <w:pPr>
        <w:ind w:left="2160"/>
        <w:jc w:val="both"/>
        <w:rPr>
          <w:i/>
        </w:rPr>
      </w:pPr>
      <w:r>
        <w:rPr>
          <w:i/>
        </w:rPr>
        <w:t>1. Women shall be the subject of special respect and shall be protected in particular against rape, forced prostitution and any other form of indecent assault.</w:t>
      </w:r>
    </w:p>
    <w:p w14:paraId="79F9A878" w14:textId="77777777" w:rsidR="009145AD" w:rsidRDefault="009145AD" w:rsidP="009145AD">
      <w:pPr>
        <w:jc w:val="both"/>
        <w:rPr>
          <w:i/>
        </w:rPr>
      </w:pPr>
    </w:p>
    <w:p w14:paraId="79C102D2" w14:textId="77777777" w:rsidR="009145AD" w:rsidRDefault="009145AD" w:rsidP="009145AD">
      <w:pPr>
        <w:jc w:val="both"/>
        <w:rPr>
          <w:i/>
          <w:u w:val="single"/>
        </w:rPr>
      </w:pPr>
      <w:r>
        <w:rPr>
          <w:i/>
        </w:rPr>
        <w:tab/>
        <w:t>Article 77</w:t>
      </w:r>
      <w:r>
        <w:rPr>
          <w:i/>
        </w:rPr>
        <w:tab/>
      </w:r>
      <w:r>
        <w:rPr>
          <w:i/>
          <w:u w:val="single"/>
        </w:rPr>
        <w:t>Protection of children</w:t>
      </w:r>
    </w:p>
    <w:p w14:paraId="7C961C9C" w14:textId="77777777" w:rsidR="009145AD" w:rsidRDefault="009145AD" w:rsidP="009145AD">
      <w:pPr>
        <w:ind w:left="2160"/>
        <w:jc w:val="both"/>
        <w:rPr>
          <w:i/>
        </w:rPr>
      </w:pPr>
      <w:r>
        <w:rPr>
          <w:i/>
        </w:rPr>
        <w:t>1. Children shall be the object of special respect and shall be protected against any form of indecent assault.</w:t>
      </w:r>
    </w:p>
    <w:p w14:paraId="25D48349" w14:textId="77777777" w:rsidR="009145AD" w:rsidRDefault="009145AD" w:rsidP="009145AD">
      <w:pPr>
        <w:jc w:val="both"/>
        <w:rPr>
          <w:i/>
        </w:rPr>
      </w:pPr>
    </w:p>
    <w:p w14:paraId="64BD4FAC" w14:textId="77777777" w:rsidR="009145AD" w:rsidRDefault="009145AD" w:rsidP="009145AD">
      <w:pPr>
        <w:jc w:val="both"/>
        <w:rPr>
          <w:i/>
        </w:rPr>
      </w:pPr>
    </w:p>
    <w:p w14:paraId="4DA6769D" w14:textId="77777777" w:rsidR="009145AD" w:rsidRDefault="009145AD" w:rsidP="009145AD">
      <w:pPr>
        <w:jc w:val="both"/>
        <w:rPr>
          <w:i/>
        </w:rPr>
      </w:pPr>
    </w:p>
    <w:p w14:paraId="3BB2E9E1" w14:textId="0FA4C602" w:rsidR="00506E04" w:rsidRPr="00506E04" w:rsidRDefault="00506E04" w:rsidP="00506E04">
      <w:pPr>
        <w:jc w:val="both"/>
        <w:rPr>
          <w:rFonts w:eastAsia="Times New Roman"/>
          <w:b/>
          <w:i/>
        </w:rPr>
      </w:pPr>
      <w:r w:rsidRPr="00506E04">
        <w:rPr>
          <w:rFonts w:eastAsia="Times New Roman"/>
          <w:b/>
          <w:i/>
        </w:rPr>
        <w:t>International Humanitarian Law Instrume</w:t>
      </w:r>
      <w:r>
        <w:rPr>
          <w:rFonts w:eastAsia="Times New Roman"/>
          <w:b/>
          <w:i/>
        </w:rPr>
        <w:t>nts – Non-International Armed Conflicts</w:t>
      </w:r>
    </w:p>
    <w:p w14:paraId="62870C9B" w14:textId="77777777" w:rsidR="00506E04" w:rsidRDefault="00506E04" w:rsidP="009145AD">
      <w:pPr>
        <w:jc w:val="both"/>
        <w:rPr>
          <w:b/>
          <w:u w:val="single"/>
        </w:rPr>
      </w:pPr>
    </w:p>
    <w:p w14:paraId="71FB7697" w14:textId="52A90DC8" w:rsidR="00506E04" w:rsidRPr="00506E04" w:rsidRDefault="00506E04" w:rsidP="009145AD">
      <w:pPr>
        <w:jc w:val="both"/>
        <w:rPr>
          <w:rFonts w:eastAsia="Times New Roman"/>
        </w:rPr>
      </w:pPr>
      <w:r w:rsidRPr="00C23DC4">
        <w:rPr>
          <w:rFonts w:eastAsia="Times New Roman"/>
        </w:rPr>
        <w:t xml:space="preserve">[As listed by the UNHCR’s 1995 </w:t>
      </w:r>
      <w:hyperlink r:id="rId68" w:history="1">
        <w:r w:rsidRPr="003C7F73">
          <w:rPr>
            <w:rStyle w:val="Hyperlink"/>
            <w:rFonts w:eastAsia="Times New Roman"/>
            <w:i/>
          </w:rPr>
          <w:t>Sexual Violence Against Refugees: Guidelines on Prevention and Response</w:t>
        </w:r>
      </w:hyperlink>
      <w:r w:rsidRPr="00C23DC4">
        <w:rPr>
          <w:rFonts w:eastAsia="Times New Roman"/>
        </w:rPr>
        <w:t>] include the following:</w:t>
      </w:r>
      <w:r w:rsidRPr="00C23DC4">
        <w:rPr>
          <w:rStyle w:val="FootnoteReference"/>
          <w:rFonts w:eastAsia="Times New Roman"/>
        </w:rPr>
        <w:footnoteReference w:id="147"/>
      </w:r>
    </w:p>
    <w:p w14:paraId="466A128B" w14:textId="77777777" w:rsidR="009145AD" w:rsidRDefault="009145AD" w:rsidP="009145AD">
      <w:pPr>
        <w:jc w:val="both"/>
        <w:rPr>
          <w:b/>
        </w:rPr>
      </w:pPr>
    </w:p>
    <w:p w14:paraId="6E5643B9" w14:textId="77777777" w:rsidR="009145AD" w:rsidRDefault="006850B8" w:rsidP="009145AD">
      <w:pPr>
        <w:ind w:left="720"/>
        <w:jc w:val="both"/>
        <w:rPr>
          <w:b/>
          <w:i/>
        </w:rPr>
      </w:pPr>
      <w:hyperlink r:id="rId69" w:history="1">
        <w:r w:rsidR="009145AD" w:rsidRPr="009270A3">
          <w:rPr>
            <w:rStyle w:val="Hyperlink"/>
            <w:b/>
            <w:i/>
          </w:rPr>
          <w:t>The Geneva Convention for the Amelioration of the Condition of the Wounded and Sick in Armed Forces in the Field</w:t>
        </w:r>
      </w:hyperlink>
      <w:r w:rsidR="009145AD">
        <w:rPr>
          <w:b/>
          <w:i/>
        </w:rPr>
        <w:t xml:space="preserve"> (1949) (The First Geneva Convention)</w:t>
      </w:r>
    </w:p>
    <w:p w14:paraId="7E70F941" w14:textId="77777777" w:rsidR="009145AD" w:rsidRDefault="009145AD" w:rsidP="009145AD">
      <w:pPr>
        <w:jc w:val="both"/>
        <w:rPr>
          <w:b/>
          <w:i/>
        </w:rPr>
      </w:pPr>
      <w:r>
        <w:rPr>
          <w:b/>
          <w:i/>
        </w:rPr>
        <w:tab/>
      </w:r>
    </w:p>
    <w:p w14:paraId="4F1725ED" w14:textId="77777777" w:rsidR="009145AD" w:rsidRDefault="009145AD" w:rsidP="009145AD">
      <w:pPr>
        <w:ind w:left="2160" w:hanging="1440"/>
        <w:jc w:val="both"/>
        <w:rPr>
          <w:i/>
        </w:rPr>
      </w:pPr>
      <w:r>
        <w:rPr>
          <w:i/>
        </w:rPr>
        <w:t>Article 3</w:t>
      </w:r>
      <w:r>
        <w:rPr>
          <w:i/>
        </w:rPr>
        <w:tab/>
        <w:t>… the following acts are and shall remain prohibited at any time and in any place whatsoever with respect to [persons taking no active part in the hostilities …]:</w:t>
      </w:r>
    </w:p>
    <w:p w14:paraId="4616E3EB" w14:textId="77777777" w:rsidR="009145AD" w:rsidRDefault="009145AD" w:rsidP="009145AD">
      <w:pPr>
        <w:ind w:left="2160"/>
        <w:jc w:val="both"/>
        <w:rPr>
          <w:i/>
        </w:rPr>
      </w:pPr>
      <w:r>
        <w:rPr>
          <w:i/>
        </w:rPr>
        <w:t xml:space="preserve">(a) </w:t>
      </w:r>
      <w:r w:rsidRPr="008A327E">
        <w:rPr>
          <w:i/>
        </w:rPr>
        <w:t>violence to life and person, in particular … mutilation, cruel treatment a</w:t>
      </w:r>
      <w:r>
        <w:rPr>
          <w:i/>
        </w:rPr>
        <w:t>nd torture; …</w:t>
      </w:r>
    </w:p>
    <w:p w14:paraId="77327AA5" w14:textId="77777777" w:rsidR="009145AD" w:rsidRDefault="009145AD" w:rsidP="009145AD">
      <w:pPr>
        <w:ind w:left="2160"/>
        <w:jc w:val="both"/>
        <w:rPr>
          <w:i/>
        </w:rPr>
      </w:pPr>
      <w:r>
        <w:rPr>
          <w:i/>
        </w:rPr>
        <w:t>(c) outrages upon personal dignity, in particular, humiliating and degrading treatment; …</w:t>
      </w:r>
    </w:p>
    <w:p w14:paraId="2A31C343" w14:textId="77777777" w:rsidR="00506E04" w:rsidRDefault="00506E04" w:rsidP="00506E04">
      <w:pPr>
        <w:jc w:val="both"/>
        <w:rPr>
          <w:i/>
        </w:rPr>
      </w:pPr>
    </w:p>
    <w:p w14:paraId="3F4CFF96" w14:textId="77777777" w:rsidR="00506E04" w:rsidRDefault="00506E04" w:rsidP="00506E04">
      <w:pPr>
        <w:jc w:val="both"/>
        <w:rPr>
          <w:i/>
        </w:rPr>
      </w:pPr>
    </w:p>
    <w:p w14:paraId="07F5F490" w14:textId="77777777" w:rsidR="00506E04" w:rsidRDefault="00506E04" w:rsidP="00506E04">
      <w:pPr>
        <w:jc w:val="both"/>
        <w:rPr>
          <w:i/>
        </w:rPr>
      </w:pPr>
    </w:p>
    <w:p w14:paraId="01B3EE57" w14:textId="77777777" w:rsidR="00506E04" w:rsidRDefault="00506E04" w:rsidP="00506E04">
      <w:pPr>
        <w:jc w:val="both"/>
        <w:rPr>
          <w:i/>
        </w:rPr>
      </w:pPr>
    </w:p>
    <w:p w14:paraId="669808B2" w14:textId="77777777" w:rsidR="009145AD" w:rsidRDefault="006850B8" w:rsidP="009145AD">
      <w:pPr>
        <w:ind w:left="720"/>
        <w:jc w:val="both"/>
        <w:rPr>
          <w:b/>
          <w:i/>
        </w:rPr>
      </w:pPr>
      <w:hyperlink r:id="rId70" w:history="1">
        <w:r w:rsidR="009145AD" w:rsidRPr="009270A3">
          <w:rPr>
            <w:rStyle w:val="Hyperlink"/>
            <w:b/>
            <w:i/>
          </w:rPr>
          <w:t>Protocol II Relating to the Protection of Victims of Non-International Armed Conflicts</w:t>
        </w:r>
      </w:hyperlink>
      <w:r w:rsidR="009145AD">
        <w:rPr>
          <w:b/>
          <w:i/>
        </w:rPr>
        <w:t xml:space="preserve"> (1977)</w:t>
      </w:r>
    </w:p>
    <w:p w14:paraId="71927F22" w14:textId="77777777" w:rsidR="009145AD" w:rsidRDefault="009145AD" w:rsidP="009145AD">
      <w:pPr>
        <w:ind w:left="720"/>
        <w:jc w:val="both"/>
        <w:rPr>
          <w:i/>
        </w:rPr>
      </w:pPr>
    </w:p>
    <w:p w14:paraId="1C243FD4" w14:textId="77777777" w:rsidR="009145AD" w:rsidRDefault="009145AD" w:rsidP="009145AD">
      <w:pPr>
        <w:ind w:left="720"/>
        <w:jc w:val="both"/>
        <w:rPr>
          <w:i/>
          <w:u w:val="single"/>
        </w:rPr>
      </w:pPr>
      <w:r>
        <w:rPr>
          <w:i/>
        </w:rPr>
        <w:t>Article 4</w:t>
      </w:r>
      <w:r>
        <w:rPr>
          <w:i/>
        </w:rPr>
        <w:tab/>
      </w:r>
      <w:r>
        <w:rPr>
          <w:i/>
          <w:u w:val="single"/>
        </w:rPr>
        <w:t>Fundamental guarantees</w:t>
      </w:r>
    </w:p>
    <w:p w14:paraId="35B160E3" w14:textId="77777777" w:rsidR="009145AD" w:rsidRDefault="009145AD" w:rsidP="009145AD">
      <w:pPr>
        <w:ind w:left="2160"/>
        <w:jc w:val="both"/>
        <w:rPr>
          <w:i/>
        </w:rPr>
      </w:pPr>
      <w:r>
        <w:rPr>
          <w:i/>
        </w:rPr>
        <w:t>2. … the following acts against [all persons who do not take a direct part in or who have ceased to take part in hostilities] are and shall remain prohibited at any time and in any place whatsoever:</w:t>
      </w:r>
    </w:p>
    <w:p w14:paraId="70DEB922" w14:textId="77777777" w:rsidR="009145AD" w:rsidRDefault="009145AD" w:rsidP="009145AD">
      <w:pPr>
        <w:ind w:left="2160"/>
        <w:jc w:val="both"/>
        <w:rPr>
          <w:i/>
        </w:rPr>
      </w:pPr>
      <w:r>
        <w:rPr>
          <w:i/>
        </w:rPr>
        <w:t>(a) violence to the life, health and physical or mental well-being of persons, in particular murder as well as cruel treatment such as torture, mutilation or any form of corporal punishment; …</w:t>
      </w:r>
    </w:p>
    <w:p w14:paraId="2B7130EF" w14:textId="77777777" w:rsidR="009145AD" w:rsidRDefault="009145AD" w:rsidP="009145AD">
      <w:pPr>
        <w:ind w:left="2160"/>
        <w:jc w:val="both"/>
        <w:rPr>
          <w:i/>
        </w:rPr>
      </w:pPr>
      <w:r>
        <w:rPr>
          <w:i/>
        </w:rPr>
        <w:t>(e) outrages upon personal dignity, in particular humiliating and degrading treatment, rape, enforced prostitution and any form of indecent assault; …</w:t>
      </w:r>
    </w:p>
    <w:p w14:paraId="306F03BD" w14:textId="77777777" w:rsidR="009145AD" w:rsidRDefault="009145AD" w:rsidP="009145AD">
      <w:pPr>
        <w:ind w:left="2160"/>
        <w:jc w:val="both"/>
        <w:rPr>
          <w:i/>
        </w:rPr>
      </w:pPr>
      <w:r>
        <w:rPr>
          <w:i/>
        </w:rPr>
        <w:t>(h) threats to commit any of the foregoing acts.</w:t>
      </w:r>
    </w:p>
    <w:p w14:paraId="511ADC03" w14:textId="77777777" w:rsidR="009145AD" w:rsidRPr="004C37A8" w:rsidRDefault="009145AD" w:rsidP="004C37A8">
      <w:pPr>
        <w:pStyle w:val="FootnoteText"/>
        <w:rPr>
          <w:rFonts w:cs="Times New Roman"/>
        </w:rPr>
      </w:pPr>
    </w:p>
    <w:sectPr w:rsidR="009145AD" w:rsidRPr="004C37A8" w:rsidSect="00563A8E">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B4FB" w14:textId="77777777" w:rsidR="006850B8" w:rsidRDefault="006850B8" w:rsidP="00CC30FC">
      <w:r>
        <w:separator/>
      </w:r>
    </w:p>
  </w:endnote>
  <w:endnote w:type="continuationSeparator" w:id="0">
    <w:p w14:paraId="46E4A108" w14:textId="77777777" w:rsidR="006850B8" w:rsidRDefault="006850B8" w:rsidP="00CC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846166"/>
      <w:docPartObj>
        <w:docPartGallery w:val="Page Numbers (Bottom of Page)"/>
        <w:docPartUnique/>
      </w:docPartObj>
    </w:sdtPr>
    <w:sdtEndPr>
      <w:rPr>
        <w:spacing w:val="60"/>
        <w:sz w:val="20"/>
        <w:szCs w:val="20"/>
      </w:rPr>
    </w:sdtEndPr>
    <w:sdtContent>
      <w:p w14:paraId="4A9CD963" w14:textId="49212A04" w:rsidR="00DB5CC7" w:rsidRPr="00A83C10" w:rsidRDefault="00DB5CC7" w:rsidP="003058B4">
        <w:pPr>
          <w:pStyle w:val="Footer"/>
          <w:pBdr>
            <w:top w:val="single" w:sz="4" w:space="1" w:color="D9D9D9" w:themeColor="background1" w:themeShade="D9"/>
          </w:pBdr>
          <w:jc w:val="center"/>
          <w:rPr>
            <w:b/>
            <w:bCs/>
            <w:sz w:val="20"/>
            <w:szCs w:val="20"/>
          </w:rPr>
        </w:pPr>
        <w:r w:rsidRPr="00A83C10">
          <w:rPr>
            <w:sz w:val="20"/>
            <w:szCs w:val="20"/>
          </w:rPr>
          <w:fldChar w:fldCharType="begin"/>
        </w:r>
        <w:r w:rsidRPr="00A83C10">
          <w:rPr>
            <w:sz w:val="20"/>
            <w:szCs w:val="20"/>
          </w:rPr>
          <w:instrText xml:space="preserve"> PAGE   \* MERGEFORMAT </w:instrText>
        </w:r>
        <w:r w:rsidRPr="00A83C10">
          <w:rPr>
            <w:sz w:val="20"/>
            <w:szCs w:val="20"/>
          </w:rPr>
          <w:fldChar w:fldCharType="separate"/>
        </w:r>
        <w:r w:rsidR="00E736A8" w:rsidRPr="00E736A8">
          <w:rPr>
            <w:b/>
            <w:bCs/>
            <w:noProof/>
            <w:sz w:val="20"/>
            <w:szCs w:val="20"/>
          </w:rPr>
          <w:t>35</w:t>
        </w:r>
        <w:r w:rsidRPr="00A83C10">
          <w:rPr>
            <w:b/>
            <w:bCs/>
            <w:noProof/>
            <w:sz w:val="20"/>
            <w:szCs w:val="20"/>
          </w:rPr>
          <w:fldChar w:fldCharType="end"/>
        </w:r>
        <w:r w:rsidRPr="00A83C10">
          <w:rPr>
            <w:b/>
            <w:bCs/>
            <w:sz w:val="20"/>
            <w:szCs w:val="20"/>
          </w:rPr>
          <w:t xml:space="preserve"> | </w:t>
        </w:r>
        <w:proofErr w:type="spellStart"/>
        <w:r w:rsidRPr="00A83C10">
          <w:rPr>
            <w:spacing w:val="60"/>
            <w:sz w:val="20"/>
            <w:szCs w:val="20"/>
          </w:rPr>
          <w:t>IRiS</w:t>
        </w:r>
        <w:proofErr w:type="spellEnd"/>
        <w:r w:rsidRPr="00A83C10">
          <w:rPr>
            <w:spacing w:val="60"/>
            <w:sz w:val="20"/>
            <w:szCs w:val="20"/>
          </w:rPr>
          <w:t xml:space="preserve"> Working Paper Series No.28/2019</w:t>
        </w:r>
      </w:p>
    </w:sdtContent>
  </w:sdt>
  <w:p w14:paraId="69136AC4" w14:textId="77777777" w:rsidR="00DB5CC7" w:rsidRPr="00A83C10" w:rsidRDefault="00DB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F762" w14:textId="77777777" w:rsidR="006850B8" w:rsidRDefault="006850B8" w:rsidP="00CC30FC">
      <w:r>
        <w:separator/>
      </w:r>
    </w:p>
  </w:footnote>
  <w:footnote w:type="continuationSeparator" w:id="0">
    <w:p w14:paraId="3C315D22" w14:textId="77777777" w:rsidR="006850B8" w:rsidRDefault="006850B8" w:rsidP="00CC30FC">
      <w:r>
        <w:continuationSeparator/>
      </w:r>
    </w:p>
  </w:footnote>
  <w:footnote w:id="1">
    <w:p w14:paraId="41B5A806" w14:textId="77777777" w:rsidR="00DB5CC7" w:rsidRDefault="00DB5CC7" w:rsidP="00C1042E">
      <w:pPr>
        <w:pStyle w:val="FootnoteText"/>
      </w:pPr>
      <w:r w:rsidRPr="002C41C0">
        <w:rPr>
          <w:rStyle w:val="FootnoteReference"/>
          <w:rFonts w:ascii="Times New Roman" w:hAnsi="Times New Roman" w:cs="Times New Roman"/>
          <w:sz w:val="22"/>
          <w:szCs w:val="22"/>
        </w:rPr>
        <w:footnoteRef/>
      </w:r>
      <w:r>
        <w:t xml:space="preserve"> </w:t>
      </w:r>
      <w:r w:rsidRPr="008F72C4">
        <w:rPr>
          <w:rFonts w:ascii="Times New Roman" w:eastAsia="Times New Roman" w:hAnsi="Times New Roman" w:cs="Times New Roman"/>
          <w:sz w:val="22"/>
          <w:szCs w:val="22"/>
        </w:rPr>
        <w:t xml:space="preserve">Michelle Hynes and Barbara Lopes Cardozo, ‘Observations </w:t>
      </w:r>
      <w:proofErr w:type="gramStart"/>
      <w:r w:rsidRPr="008F72C4">
        <w:rPr>
          <w:rFonts w:ascii="Times New Roman" w:eastAsia="Times New Roman" w:hAnsi="Times New Roman" w:cs="Times New Roman"/>
          <w:sz w:val="22"/>
          <w:szCs w:val="22"/>
        </w:rPr>
        <w:t>From</w:t>
      </w:r>
      <w:proofErr w:type="gramEnd"/>
      <w:r w:rsidRPr="008F72C4">
        <w:rPr>
          <w:rFonts w:ascii="Times New Roman" w:eastAsia="Times New Roman" w:hAnsi="Times New Roman" w:cs="Times New Roman"/>
          <w:sz w:val="22"/>
          <w:szCs w:val="22"/>
        </w:rPr>
        <w:t xml:space="preserve"> the CDC – Sexual Violence Against Refugee Women’ (2000) 9(8) </w:t>
      </w:r>
      <w:r w:rsidRPr="008F72C4">
        <w:rPr>
          <w:rFonts w:ascii="Times New Roman" w:eastAsia="Times New Roman" w:hAnsi="Times New Roman" w:cs="Times New Roman"/>
          <w:i/>
          <w:sz w:val="22"/>
          <w:szCs w:val="22"/>
        </w:rPr>
        <w:t>Journal of Women’s Health &amp; Gender-Based Medicine</w:t>
      </w:r>
      <w:r w:rsidRPr="008F72C4">
        <w:rPr>
          <w:rFonts w:ascii="Times New Roman" w:eastAsia="Times New Roman" w:hAnsi="Times New Roman" w:cs="Times New Roman"/>
          <w:sz w:val="22"/>
          <w:szCs w:val="22"/>
        </w:rPr>
        <w:t xml:space="preserve"> 819-823 at 819.</w:t>
      </w:r>
    </w:p>
  </w:footnote>
  <w:footnote w:id="2">
    <w:p w14:paraId="70FBB536"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Ibid.</w:t>
      </w:r>
    </w:p>
  </w:footnote>
  <w:footnote w:id="3">
    <w:p w14:paraId="0363B9F4"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M </w:t>
      </w:r>
      <w:r w:rsidRPr="008F72C4">
        <w:rPr>
          <w:rFonts w:ascii="Times New Roman" w:eastAsia="Times New Roman" w:hAnsi="Times New Roman" w:cs="Times New Roman"/>
          <w:sz w:val="22"/>
          <w:szCs w:val="22"/>
        </w:rPr>
        <w:t xml:space="preserve">Marsh, S </w:t>
      </w:r>
      <w:proofErr w:type="spellStart"/>
      <w:r w:rsidRPr="008F72C4">
        <w:rPr>
          <w:rFonts w:ascii="Times New Roman" w:eastAsia="Times New Roman" w:hAnsi="Times New Roman" w:cs="Times New Roman"/>
          <w:sz w:val="22"/>
          <w:szCs w:val="22"/>
        </w:rPr>
        <w:t>Purdin</w:t>
      </w:r>
      <w:proofErr w:type="spellEnd"/>
      <w:r w:rsidRPr="008F72C4">
        <w:rPr>
          <w:rFonts w:ascii="Times New Roman" w:eastAsia="Times New Roman" w:hAnsi="Times New Roman" w:cs="Times New Roman"/>
          <w:sz w:val="22"/>
          <w:szCs w:val="22"/>
        </w:rPr>
        <w:t xml:space="preserve"> and S </w:t>
      </w:r>
      <w:proofErr w:type="spellStart"/>
      <w:r w:rsidRPr="008F72C4">
        <w:rPr>
          <w:rFonts w:ascii="Times New Roman" w:eastAsia="Times New Roman" w:hAnsi="Times New Roman" w:cs="Times New Roman"/>
          <w:sz w:val="22"/>
          <w:szCs w:val="22"/>
        </w:rPr>
        <w:t>Navani</w:t>
      </w:r>
      <w:proofErr w:type="spellEnd"/>
      <w:r w:rsidRPr="008F72C4">
        <w:rPr>
          <w:rFonts w:ascii="Times New Roman" w:eastAsia="Times New Roman" w:hAnsi="Times New Roman" w:cs="Times New Roman"/>
          <w:sz w:val="22"/>
          <w:szCs w:val="22"/>
        </w:rPr>
        <w:t xml:space="preserve">, ‘Addressing Sexual Violence in Humanitarian Emergencies’ (2006) 1(2) </w:t>
      </w:r>
      <w:r w:rsidRPr="008F72C4">
        <w:rPr>
          <w:rFonts w:ascii="Times New Roman" w:eastAsia="Times New Roman" w:hAnsi="Times New Roman" w:cs="Times New Roman"/>
          <w:i/>
          <w:sz w:val="22"/>
          <w:szCs w:val="22"/>
        </w:rPr>
        <w:t xml:space="preserve">Global Public Health </w:t>
      </w:r>
      <w:r w:rsidRPr="008F72C4">
        <w:rPr>
          <w:rFonts w:ascii="Times New Roman" w:eastAsia="Times New Roman" w:hAnsi="Times New Roman" w:cs="Times New Roman"/>
          <w:sz w:val="22"/>
          <w:szCs w:val="22"/>
        </w:rPr>
        <w:t xml:space="preserve">133-146 at </w:t>
      </w:r>
      <w:r w:rsidRPr="008F72C4">
        <w:rPr>
          <w:rFonts w:ascii="Times New Roman" w:hAnsi="Times New Roman" w:cs="Times New Roman"/>
          <w:sz w:val="22"/>
          <w:szCs w:val="22"/>
        </w:rPr>
        <w:t>139.</w:t>
      </w:r>
    </w:p>
  </w:footnote>
  <w:footnote w:id="4">
    <w:p w14:paraId="23E17752" w14:textId="77777777" w:rsidR="00DB5CC7" w:rsidRPr="008F72C4" w:rsidRDefault="00DB5CC7" w:rsidP="00C1042E">
      <w:pPr>
        <w:pStyle w:val="FootnoteText"/>
        <w:rPr>
          <w:rFonts w:ascii="Times New Roman" w:hAnsi="Times New Roman" w:cs="Times New Roman"/>
          <w:sz w:val="22"/>
          <w:szCs w:val="22"/>
        </w:rPr>
      </w:pPr>
      <w:r w:rsidRPr="00F74AD7">
        <w:rPr>
          <w:rStyle w:val="FootnoteReference"/>
          <w:rFonts w:ascii="Times New Roman" w:hAnsi="Times New Roman" w:cs="Times New Roman"/>
          <w:sz w:val="22"/>
          <w:szCs w:val="22"/>
        </w:rPr>
        <w:footnoteRef/>
      </w:r>
      <w:r w:rsidRPr="00F74AD7">
        <w:rPr>
          <w:rFonts w:ascii="Times New Roman" w:hAnsi="Times New Roman" w:cs="Times New Roman"/>
          <w:sz w:val="22"/>
          <w:szCs w:val="22"/>
        </w:rPr>
        <w:t xml:space="preserve"> </w:t>
      </w:r>
      <w:r w:rsidRPr="00F74AD7">
        <w:rPr>
          <w:rFonts w:ascii="Times New Roman" w:eastAsia="Times New Roman" w:hAnsi="Times New Roman" w:cs="Times New Roman"/>
          <w:sz w:val="22"/>
          <w:szCs w:val="22"/>
        </w:rPr>
        <w:t xml:space="preserve">Lisa Davis, ‘ISIL, the Syrian Conflict, Sexual Violence, and the Way Forward: Syrian Women’s Inclusion in the Peace Processes’ (2016) 48(4) </w:t>
      </w:r>
      <w:r w:rsidRPr="00F74AD7">
        <w:rPr>
          <w:rFonts w:ascii="Times New Roman" w:eastAsia="Times New Roman" w:hAnsi="Times New Roman" w:cs="Times New Roman"/>
          <w:i/>
          <w:sz w:val="22"/>
          <w:szCs w:val="22"/>
        </w:rPr>
        <w:t xml:space="preserve">New York University Journal of International Law and Politics </w:t>
      </w:r>
      <w:r w:rsidRPr="00F74AD7">
        <w:rPr>
          <w:rFonts w:ascii="Times New Roman" w:eastAsia="Times New Roman" w:hAnsi="Times New Roman" w:cs="Times New Roman"/>
          <w:sz w:val="22"/>
          <w:szCs w:val="22"/>
        </w:rPr>
        <w:t xml:space="preserve">1157-1190 at </w:t>
      </w:r>
      <w:r w:rsidRPr="00F74AD7">
        <w:rPr>
          <w:rFonts w:ascii="Times New Roman" w:hAnsi="Times New Roman" w:cs="Times New Roman"/>
          <w:sz w:val="22"/>
          <w:szCs w:val="22"/>
        </w:rPr>
        <w:t>1173.</w:t>
      </w:r>
    </w:p>
  </w:footnote>
  <w:footnote w:id="5">
    <w:p w14:paraId="1BAB48AD" w14:textId="1B641365" w:rsidR="00DB5CC7" w:rsidRDefault="00DB5CC7" w:rsidP="00C1042E">
      <w:pPr>
        <w:pStyle w:val="FootnoteText"/>
      </w:pPr>
      <w:r w:rsidRPr="002C41C0">
        <w:rPr>
          <w:rStyle w:val="FootnoteReference"/>
          <w:rFonts w:ascii="Times New Roman" w:hAnsi="Times New Roman" w:cs="Times New Roman"/>
          <w:sz w:val="22"/>
          <w:szCs w:val="22"/>
        </w:rPr>
        <w:footnoteRef/>
      </w:r>
      <w:r>
        <w:t xml:space="preserve"> </w:t>
      </w:r>
      <w:r w:rsidRPr="008F72C4">
        <w:rPr>
          <w:rFonts w:ascii="Times New Roman" w:eastAsia="Times New Roman" w:hAnsi="Times New Roman" w:cs="Times New Roman"/>
          <w:sz w:val="22"/>
          <w:szCs w:val="22"/>
        </w:rPr>
        <w:t>Hynes and Cardozo</w:t>
      </w:r>
      <w:r>
        <w:rPr>
          <w:rFonts w:ascii="Times New Roman" w:eastAsia="Times New Roman" w:hAnsi="Times New Roman" w:cs="Times New Roman"/>
          <w:sz w:val="22"/>
          <w:szCs w:val="22"/>
        </w:rPr>
        <w:t xml:space="preserve"> (n 1) </w:t>
      </w:r>
      <w:r w:rsidRPr="008F72C4">
        <w:rPr>
          <w:rFonts w:ascii="Times New Roman" w:eastAsia="Times New Roman" w:hAnsi="Times New Roman" w:cs="Times New Roman"/>
          <w:sz w:val="22"/>
          <w:szCs w:val="22"/>
        </w:rPr>
        <w:t>at 819.</w:t>
      </w:r>
    </w:p>
  </w:footnote>
  <w:footnote w:id="6">
    <w:p w14:paraId="150FDE0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Eileen </w:t>
      </w:r>
      <w:proofErr w:type="spellStart"/>
      <w:r w:rsidRPr="008F72C4">
        <w:rPr>
          <w:rFonts w:ascii="Times New Roman" w:hAnsi="Times New Roman" w:cs="Times New Roman"/>
          <w:sz w:val="22"/>
          <w:szCs w:val="22"/>
        </w:rPr>
        <w:t>Pittaway</w:t>
      </w:r>
      <w:proofErr w:type="spellEnd"/>
      <w:r w:rsidRPr="008F72C4">
        <w:rPr>
          <w:rFonts w:ascii="Times New Roman" w:hAnsi="Times New Roman" w:cs="Times New Roman"/>
          <w:sz w:val="22"/>
          <w:szCs w:val="22"/>
        </w:rPr>
        <w:t xml:space="preserve"> and Linda </w:t>
      </w:r>
      <w:proofErr w:type="spellStart"/>
      <w:r w:rsidRPr="008F72C4">
        <w:rPr>
          <w:rFonts w:ascii="Times New Roman" w:hAnsi="Times New Roman" w:cs="Times New Roman"/>
          <w:sz w:val="22"/>
          <w:szCs w:val="22"/>
        </w:rPr>
        <w:t>Bartolomei</w:t>
      </w:r>
      <w:proofErr w:type="spellEnd"/>
      <w:r w:rsidRPr="008F72C4">
        <w:rPr>
          <w:rFonts w:ascii="Times New Roman" w:hAnsi="Times New Roman" w:cs="Times New Roman"/>
          <w:sz w:val="22"/>
          <w:szCs w:val="22"/>
        </w:rPr>
        <w:t xml:space="preserve">, ‘Enhancing the Protection of Women and Girls Through the Global Compact on Refugees’ (2018) 57 </w:t>
      </w:r>
      <w:r w:rsidRPr="008F72C4">
        <w:rPr>
          <w:rFonts w:ascii="Times New Roman" w:hAnsi="Times New Roman" w:cs="Times New Roman"/>
          <w:i/>
          <w:sz w:val="22"/>
          <w:szCs w:val="22"/>
        </w:rPr>
        <w:t xml:space="preserve">Forced Migration Review </w:t>
      </w:r>
      <w:r>
        <w:rPr>
          <w:rFonts w:ascii="Times New Roman" w:hAnsi="Times New Roman" w:cs="Times New Roman"/>
          <w:sz w:val="22"/>
          <w:szCs w:val="22"/>
        </w:rPr>
        <w:t>77-79 at 77</w:t>
      </w:r>
      <w:r w:rsidRPr="008F72C4">
        <w:rPr>
          <w:rFonts w:ascii="Times New Roman" w:hAnsi="Times New Roman" w:cs="Times New Roman"/>
          <w:sz w:val="22"/>
          <w:szCs w:val="22"/>
        </w:rPr>
        <w:t>.</w:t>
      </w:r>
    </w:p>
  </w:footnote>
  <w:footnote w:id="7">
    <w:p w14:paraId="1CC68452" w14:textId="77777777" w:rsidR="00DB5CC7" w:rsidRDefault="00DB5CC7" w:rsidP="00C1042E">
      <w:pPr>
        <w:pStyle w:val="FootnoteText"/>
      </w:pPr>
      <w:r>
        <w:rPr>
          <w:rStyle w:val="FootnoteReference"/>
        </w:rPr>
        <w:footnoteRef/>
      </w:r>
      <w:r>
        <w:t xml:space="preserve"> </w:t>
      </w:r>
      <w:proofErr w:type="spellStart"/>
      <w:r w:rsidRPr="008F72C4">
        <w:rPr>
          <w:rFonts w:ascii="Times New Roman" w:hAnsi="Times New Roman" w:cs="Times New Roman"/>
          <w:sz w:val="22"/>
          <w:szCs w:val="22"/>
        </w:rPr>
        <w:t>Ghida</w:t>
      </w:r>
      <w:proofErr w:type="spellEnd"/>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Anani</w:t>
      </w:r>
      <w:proofErr w:type="spellEnd"/>
      <w:r w:rsidRPr="008F72C4">
        <w:rPr>
          <w:rFonts w:ascii="Times New Roman" w:hAnsi="Times New Roman" w:cs="Times New Roman"/>
          <w:sz w:val="22"/>
          <w:szCs w:val="22"/>
        </w:rPr>
        <w:t xml:space="preserve">, ‘Dimensions of Gender-Based Violence Against Syrian Refugees in Lebanon’ (2013) 44 </w:t>
      </w:r>
      <w:r w:rsidRPr="008F72C4">
        <w:rPr>
          <w:rFonts w:ascii="Times New Roman" w:hAnsi="Times New Roman" w:cs="Times New Roman"/>
          <w:i/>
          <w:sz w:val="22"/>
          <w:szCs w:val="22"/>
        </w:rPr>
        <w:t xml:space="preserve">Forced Migration Review </w:t>
      </w:r>
      <w:r w:rsidRPr="008F72C4">
        <w:rPr>
          <w:rFonts w:ascii="Times New Roman" w:hAnsi="Times New Roman" w:cs="Times New Roman"/>
          <w:sz w:val="22"/>
          <w:szCs w:val="22"/>
        </w:rPr>
        <w:t>75-78 at 75.</w:t>
      </w:r>
    </w:p>
  </w:footnote>
  <w:footnote w:id="8">
    <w:p w14:paraId="06CF1157" w14:textId="28E3D165"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Hynes and Cardozo </w:t>
      </w:r>
      <w:r>
        <w:rPr>
          <w:rFonts w:ascii="Times New Roman" w:eastAsia="Times New Roman" w:hAnsi="Times New Roman" w:cs="Times New Roman"/>
          <w:sz w:val="22"/>
          <w:szCs w:val="22"/>
        </w:rPr>
        <w:t xml:space="preserve">(n 1)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820.</w:t>
      </w:r>
    </w:p>
  </w:footnote>
  <w:footnote w:id="9">
    <w:p w14:paraId="50D8D806" w14:textId="54D4AF9D"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Pittaway</w:t>
      </w:r>
      <w:proofErr w:type="spellEnd"/>
      <w:r w:rsidRPr="008F72C4">
        <w:rPr>
          <w:rFonts w:ascii="Times New Roman" w:hAnsi="Times New Roman" w:cs="Times New Roman"/>
          <w:sz w:val="22"/>
          <w:szCs w:val="22"/>
        </w:rPr>
        <w:t xml:space="preserve"> and </w:t>
      </w:r>
      <w:proofErr w:type="spellStart"/>
      <w:r w:rsidRPr="008F72C4">
        <w:rPr>
          <w:rFonts w:ascii="Times New Roman" w:hAnsi="Times New Roman" w:cs="Times New Roman"/>
          <w:sz w:val="22"/>
          <w:szCs w:val="22"/>
        </w:rPr>
        <w:t>Bartolomei</w:t>
      </w:r>
      <w:proofErr w:type="spellEnd"/>
      <w:r>
        <w:rPr>
          <w:rFonts w:ascii="Times New Roman" w:hAnsi="Times New Roman" w:cs="Times New Roman"/>
          <w:sz w:val="22"/>
          <w:szCs w:val="22"/>
        </w:rPr>
        <w:t xml:space="preserve"> (n 6) </w:t>
      </w:r>
      <w:r w:rsidRPr="008F72C4">
        <w:rPr>
          <w:rFonts w:ascii="Times New Roman" w:hAnsi="Times New Roman" w:cs="Times New Roman"/>
          <w:sz w:val="22"/>
          <w:szCs w:val="22"/>
        </w:rPr>
        <w:t>at 77-78.</w:t>
      </w:r>
    </w:p>
  </w:footnote>
  <w:footnote w:id="10">
    <w:p w14:paraId="29E43878" w14:textId="11EF065B"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Marsh, </w:t>
      </w:r>
      <w:proofErr w:type="spellStart"/>
      <w:r w:rsidRPr="008F72C4">
        <w:rPr>
          <w:rFonts w:ascii="Times New Roman" w:eastAsia="Times New Roman" w:hAnsi="Times New Roman" w:cs="Times New Roman"/>
          <w:sz w:val="22"/>
          <w:szCs w:val="22"/>
        </w:rPr>
        <w:t>Purdin</w:t>
      </w:r>
      <w:proofErr w:type="spellEnd"/>
      <w:r w:rsidRPr="008F72C4">
        <w:rPr>
          <w:rFonts w:ascii="Times New Roman" w:eastAsia="Times New Roman" w:hAnsi="Times New Roman" w:cs="Times New Roman"/>
          <w:sz w:val="22"/>
          <w:szCs w:val="22"/>
        </w:rPr>
        <w:t xml:space="preserve"> and </w:t>
      </w:r>
      <w:proofErr w:type="spellStart"/>
      <w:r w:rsidRPr="008F72C4">
        <w:rPr>
          <w:rFonts w:ascii="Times New Roman" w:eastAsia="Times New Roman" w:hAnsi="Times New Roman" w:cs="Times New Roman"/>
          <w:sz w:val="22"/>
          <w:szCs w:val="22"/>
        </w:rPr>
        <w:t>Navani</w:t>
      </w:r>
      <w:proofErr w:type="spellEnd"/>
      <w:r>
        <w:rPr>
          <w:rFonts w:ascii="Times New Roman" w:eastAsia="Times New Roman" w:hAnsi="Times New Roman" w:cs="Times New Roman"/>
          <w:sz w:val="22"/>
          <w:szCs w:val="22"/>
        </w:rPr>
        <w:t xml:space="preserve"> (n 3)</w:t>
      </w:r>
      <w:r w:rsidRPr="008F72C4">
        <w:rPr>
          <w:rFonts w:ascii="Times New Roman" w:eastAsia="Times New Roman" w:hAnsi="Times New Roman" w:cs="Times New Roman"/>
          <w:sz w:val="22"/>
          <w:szCs w:val="22"/>
        </w:rPr>
        <w:t xml:space="preserve"> at 133.</w:t>
      </w:r>
    </w:p>
  </w:footnote>
  <w:footnote w:id="11">
    <w:p w14:paraId="335728B7"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K </w:t>
      </w:r>
      <w:r w:rsidRPr="008F72C4">
        <w:rPr>
          <w:rFonts w:ascii="Times New Roman" w:hAnsi="Times New Roman" w:cs="Times New Roman"/>
          <w:sz w:val="22"/>
          <w:szCs w:val="22"/>
          <w:lang w:val="en-AU"/>
        </w:rPr>
        <w:t xml:space="preserve">Basile and L Saltzman, </w:t>
      </w:r>
      <w:r w:rsidRPr="008F72C4">
        <w:rPr>
          <w:rFonts w:ascii="Times New Roman" w:hAnsi="Times New Roman" w:cs="Times New Roman"/>
          <w:i/>
          <w:sz w:val="22"/>
          <w:szCs w:val="22"/>
          <w:lang w:val="en-AU"/>
        </w:rPr>
        <w:t>Sexual Violence Surveillance: Uniform Definitions and Recommended Data Elements</w:t>
      </w:r>
      <w:r w:rsidRPr="008F72C4">
        <w:rPr>
          <w:rFonts w:ascii="Times New Roman" w:hAnsi="Times New Roman" w:cs="Times New Roman"/>
          <w:sz w:val="22"/>
          <w:szCs w:val="22"/>
          <w:lang w:val="en-AU"/>
        </w:rPr>
        <w:t xml:space="preserve"> (</w:t>
      </w:r>
      <w:r>
        <w:rPr>
          <w:rFonts w:ascii="Times New Roman" w:hAnsi="Times New Roman" w:cs="Times New Roman"/>
          <w:sz w:val="22"/>
          <w:szCs w:val="22"/>
          <w:lang w:val="en-AU"/>
        </w:rPr>
        <w:t xml:space="preserve">Atlanta: </w:t>
      </w:r>
      <w:proofErr w:type="spellStart"/>
      <w:r w:rsidRPr="008F72C4">
        <w:rPr>
          <w:rFonts w:ascii="Times New Roman" w:hAnsi="Times New Roman" w:cs="Times New Roman"/>
          <w:sz w:val="22"/>
          <w:szCs w:val="22"/>
          <w:lang w:val="en-AU"/>
        </w:rPr>
        <w:t>Centers</w:t>
      </w:r>
      <w:proofErr w:type="spellEnd"/>
      <w:r w:rsidRPr="008F72C4">
        <w:rPr>
          <w:rFonts w:ascii="Times New Roman" w:hAnsi="Times New Roman" w:cs="Times New Roman"/>
          <w:sz w:val="22"/>
          <w:szCs w:val="22"/>
          <w:lang w:val="en-AU"/>
        </w:rPr>
        <w:t xml:space="preserve"> for Disease Control and Prevention – National </w:t>
      </w:r>
      <w:proofErr w:type="spellStart"/>
      <w:r w:rsidRPr="008F72C4">
        <w:rPr>
          <w:rFonts w:ascii="Times New Roman" w:hAnsi="Times New Roman" w:cs="Times New Roman"/>
          <w:sz w:val="22"/>
          <w:szCs w:val="22"/>
          <w:lang w:val="en-AU"/>
        </w:rPr>
        <w:t>Center</w:t>
      </w:r>
      <w:proofErr w:type="spellEnd"/>
      <w:r w:rsidRPr="008F72C4">
        <w:rPr>
          <w:rFonts w:ascii="Times New Roman" w:hAnsi="Times New Roman" w:cs="Times New Roman"/>
          <w:sz w:val="22"/>
          <w:szCs w:val="22"/>
          <w:lang w:val="en-AU"/>
        </w:rPr>
        <w:t xml:space="preserve"> for Injury Prevention and Control, 2002).</w:t>
      </w:r>
    </w:p>
  </w:footnote>
  <w:footnote w:id="12">
    <w:p w14:paraId="31C1B525" w14:textId="713AE0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t>
      </w:r>
      <w:r>
        <w:rPr>
          <w:rFonts w:ascii="Times New Roman" w:hAnsi="Times New Roman" w:cs="Times New Roman"/>
          <w:sz w:val="22"/>
          <w:szCs w:val="22"/>
        </w:rPr>
        <w:t xml:space="preserve">United Nations Secretary-General, </w:t>
      </w:r>
      <w:r>
        <w:rPr>
          <w:rFonts w:ascii="Times New Roman" w:hAnsi="Times New Roman" w:cs="Times New Roman"/>
          <w:i/>
          <w:sz w:val="22"/>
          <w:szCs w:val="22"/>
        </w:rPr>
        <w:t xml:space="preserve">Secretary’s Bulletin: Special Measures for Protection from Sexual </w:t>
      </w:r>
      <w:r w:rsidRPr="00395641">
        <w:rPr>
          <w:rFonts w:ascii="Times New Roman" w:hAnsi="Times New Roman" w:cs="Times New Roman"/>
          <w:i/>
          <w:sz w:val="22"/>
          <w:szCs w:val="22"/>
        </w:rPr>
        <w:t>Exploitation and Sexual Abuse</w:t>
      </w:r>
      <w:r w:rsidRPr="00395641">
        <w:rPr>
          <w:rFonts w:ascii="Times New Roman" w:hAnsi="Times New Roman" w:cs="Times New Roman"/>
          <w:sz w:val="22"/>
          <w:szCs w:val="22"/>
        </w:rPr>
        <w:t>, UN Doc ST/SGB/2003/13 (9 October 2003) at 1.</w:t>
      </w:r>
    </w:p>
  </w:footnote>
  <w:footnote w:id="13">
    <w:p w14:paraId="6F4F1CE9"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t>
      </w:r>
      <w:r>
        <w:rPr>
          <w:rFonts w:ascii="Times New Roman" w:hAnsi="Times New Roman" w:cs="Times New Roman"/>
          <w:sz w:val="22"/>
          <w:szCs w:val="22"/>
        </w:rPr>
        <w:t>Ibid at 1</w:t>
      </w:r>
      <w:r w:rsidRPr="00395641">
        <w:rPr>
          <w:rFonts w:ascii="Times New Roman" w:hAnsi="Times New Roman" w:cs="Times New Roman"/>
          <w:sz w:val="22"/>
          <w:szCs w:val="22"/>
        </w:rPr>
        <w:t>.</w:t>
      </w:r>
    </w:p>
  </w:footnote>
  <w:footnote w:id="14">
    <w:p w14:paraId="491519FE" w14:textId="648A36AE"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Davis </w:t>
      </w:r>
      <w:r>
        <w:rPr>
          <w:rFonts w:ascii="Times New Roman" w:eastAsia="Times New Roman" w:hAnsi="Times New Roman" w:cs="Times New Roman"/>
          <w:sz w:val="22"/>
          <w:szCs w:val="22"/>
        </w:rPr>
        <w:t xml:space="preserve">(n 4) </w:t>
      </w:r>
      <w:r w:rsidRPr="008F72C4">
        <w:rPr>
          <w:rFonts w:ascii="Times New Roman" w:eastAsia="Times New Roman" w:hAnsi="Times New Roman" w:cs="Times New Roman"/>
          <w:sz w:val="22"/>
          <w:szCs w:val="22"/>
        </w:rPr>
        <w:t>at 1173.</w:t>
      </w:r>
    </w:p>
  </w:footnote>
  <w:footnote w:id="15">
    <w:p w14:paraId="49930F26"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CJ </w:t>
      </w:r>
      <w:r w:rsidRPr="008F72C4">
        <w:rPr>
          <w:rFonts w:ascii="Times New Roman" w:eastAsia="Times New Roman" w:hAnsi="Times New Roman" w:cs="Times New Roman"/>
          <w:sz w:val="22"/>
          <w:szCs w:val="22"/>
        </w:rPr>
        <w:t>Fowler, J Dugan-</w:t>
      </w:r>
      <w:proofErr w:type="spellStart"/>
      <w:r w:rsidRPr="008F72C4">
        <w:rPr>
          <w:rFonts w:ascii="Times New Roman" w:eastAsia="Times New Roman" w:hAnsi="Times New Roman" w:cs="Times New Roman"/>
          <w:sz w:val="22"/>
          <w:szCs w:val="22"/>
        </w:rPr>
        <w:t>Mair</w:t>
      </w:r>
      <w:proofErr w:type="spellEnd"/>
      <w:r w:rsidRPr="008F72C4">
        <w:rPr>
          <w:rFonts w:ascii="Times New Roman" w:eastAsia="Times New Roman" w:hAnsi="Times New Roman" w:cs="Times New Roman"/>
          <w:sz w:val="22"/>
          <w:szCs w:val="22"/>
        </w:rPr>
        <w:t xml:space="preserve"> and PA Bolton, ‘Assessing the Opportunity for Sexual Violence Against Women and Children in Refugee Camps’ (2000) </w:t>
      </w:r>
      <w:r w:rsidRPr="008F72C4">
        <w:rPr>
          <w:rFonts w:ascii="Times New Roman" w:eastAsia="Times New Roman" w:hAnsi="Times New Roman" w:cs="Times New Roman"/>
          <w:i/>
          <w:sz w:val="22"/>
          <w:szCs w:val="22"/>
        </w:rPr>
        <w:t xml:space="preserve">Journal of Humanitarian Assistance </w:t>
      </w:r>
      <w:r w:rsidRPr="008F72C4">
        <w:rPr>
          <w:rFonts w:ascii="Times New Roman" w:eastAsia="Times New Roman" w:hAnsi="Times New Roman" w:cs="Times New Roman"/>
          <w:sz w:val="22"/>
          <w:szCs w:val="22"/>
        </w:rPr>
        <w:t>1-10 at 1.</w:t>
      </w:r>
    </w:p>
  </w:footnote>
  <w:footnote w:id="16">
    <w:p w14:paraId="29B8F188"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Sylvia Yazid and Agatha </w:t>
      </w:r>
      <w:proofErr w:type="spellStart"/>
      <w:r w:rsidRPr="008F72C4">
        <w:rPr>
          <w:rFonts w:ascii="Times New Roman" w:hAnsi="Times New Roman" w:cs="Times New Roman"/>
          <w:sz w:val="22"/>
          <w:szCs w:val="22"/>
        </w:rPr>
        <w:t>Natania</w:t>
      </w:r>
      <w:proofErr w:type="spellEnd"/>
      <w:r w:rsidRPr="008F72C4">
        <w:rPr>
          <w:rFonts w:ascii="Times New Roman" w:hAnsi="Times New Roman" w:cs="Times New Roman"/>
          <w:sz w:val="22"/>
          <w:szCs w:val="22"/>
        </w:rPr>
        <w:t xml:space="preserve">, ‘Women Refugees: An Imbalance of Protecting and Being Protected’ (2017) 13(1) </w:t>
      </w:r>
      <w:r w:rsidRPr="008F72C4">
        <w:rPr>
          <w:rFonts w:ascii="Times New Roman" w:hAnsi="Times New Roman" w:cs="Times New Roman"/>
          <w:i/>
          <w:sz w:val="22"/>
          <w:szCs w:val="22"/>
        </w:rPr>
        <w:t xml:space="preserve">Journal of Human Security </w:t>
      </w:r>
      <w:r w:rsidRPr="008F72C4">
        <w:rPr>
          <w:rFonts w:ascii="Times New Roman" w:hAnsi="Times New Roman" w:cs="Times New Roman"/>
          <w:sz w:val="22"/>
          <w:szCs w:val="22"/>
        </w:rPr>
        <w:t>34-42 at 34.</w:t>
      </w:r>
    </w:p>
  </w:footnote>
  <w:footnote w:id="17">
    <w:p w14:paraId="3716C83F"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i/>
          <w:sz w:val="22"/>
          <w:szCs w:val="22"/>
        </w:rPr>
        <w:t xml:space="preserve">Prosecutor v Jean-Paul </w:t>
      </w:r>
      <w:proofErr w:type="spellStart"/>
      <w:r>
        <w:rPr>
          <w:rFonts w:ascii="Times New Roman" w:hAnsi="Times New Roman" w:cs="Times New Roman"/>
          <w:i/>
          <w:sz w:val="22"/>
          <w:szCs w:val="22"/>
        </w:rPr>
        <w:t>Akayesu</w:t>
      </w:r>
      <w:proofErr w:type="spellEnd"/>
      <w:r>
        <w:rPr>
          <w:rFonts w:ascii="Times New Roman" w:hAnsi="Times New Roman" w:cs="Times New Roman"/>
          <w:sz w:val="22"/>
          <w:szCs w:val="22"/>
        </w:rPr>
        <w:t>, Trial Chamber I, Case No ICTR-96-4-T, 2 September 1998, [598].</w:t>
      </w:r>
    </w:p>
  </w:footnote>
  <w:footnote w:id="18">
    <w:p w14:paraId="000CEA90"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Alice Farmer</w:t>
      </w:r>
      <w:r>
        <w:rPr>
          <w:rFonts w:ascii="Times New Roman" w:hAnsi="Times New Roman" w:cs="Times New Roman"/>
          <w:sz w:val="22"/>
          <w:szCs w:val="22"/>
        </w:rPr>
        <w:t>,</w:t>
      </w:r>
      <w:r w:rsidRPr="008F72C4">
        <w:rPr>
          <w:rFonts w:ascii="Times New Roman" w:hAnsi="Times New Roman" w:cs="Times New Roman"/>
          <w:sz w:val="22"/>
          <w:szCs w:val="22"/>
        </w:rPr>
        <w:t xml:space="preserve"> ‘Refugee Responses, State-Behavior, and Accountability for Human Rights Violations: A Case Study of Sexual Violence in Guinea’s Refugee Camps’ (2006) 9 </w:t>
      </w:r>
      <w:r w:rsidRPr="008F72C4">
        <w:rPr>
          <w:rFonts w:ascii="Times New Roman" w:hAnsi="Times New Roman" w:cs="Times New Roman"/>
          <w:i/>
          <w:sz w:val="22"/>
          <w:szCs w:val="22"/>
        </w:rPr>
        <w:t xml:space="preserve">Yale Human Rights &amp; Development Law Journal </w:t>
      </w:r>
      <w:r w:rsidRPr="008F72C4">
        <w:rPr>
          <w:rFonts w:ascii="Times New Roman" w:hAnsi="Times New Roman" w:cs="Times New Roman"/>
          <w:sz w:val="22"/>
          <w:szCs w:val="22"/>
        </w:rPr>
        <w:t>44-84 at 45.</w:t>
      </w:r>
    </w:p>
  </w:footnote>
  <w:footnote w:id="19">
    <w:p w14:paraId="0A8F4958"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Ines </w:t>
      </w:r>
      <w:proofErr w:type="spellStart"/>
      <w:r w:rsidRPr="008F72C4">
        <w:rPr>
          <w:rFonts w:ascii="Times New Roman" w:hAnsi="Times New Roman" w:cs="Times New Roman"/>
          <w:sz w:val="22"/>
          <w:szCs w:val="22"/>
        </w:rPr>
        <w:t>Keygnaert</w:t>
      </w:r>
      <w:proofErr w:type="spellEnd"/>
      <w:r w:rsidRPr="008F72C4">
        <w:rPr>
          <w:rFonts w:ascii="Times New Roman" w:hAnsi="Times New Roman" w:cs="Times New Roman"/>
          <w:sz w:val="22"/>
          <w:szCs w:val="22"/>
        </w:rPr>
        <w:t xml:space="preserve">, Nicole </w:t>
      </w:r>
      <w:proofErr w:type="spellStart"/>
      <w:r w:rsidRPr="008F72C4">
        <w:rPr>
          <w:rFonts w:ascii="Times New Roman" w:hAnsi="Times New Roman" w:cs="Times New Roman"/>
          <w:sz w:val="22"/>
          <w:szCs w:val="22"/>
        </w:rPr>
        <w:t>Vettenburg</w:t>
      </w:r>
      <w:proofErr w:type="spellEnd"/>
      <w:r w:rsidRPr="008F72C4">
        <w:rPr>
          <w:rFonts w:ascii="Times New Roman" w:hAnsi="Times New Roman" w:cs="Times New Roman"/>
          <w:sz w:val="22"/>
          <w:szCs w:val="22"/>
        </w:rPr>
        <w:t xml:space="preserve"> and Marleen </w:t>
      </w:r>
      <w:proofErr w:type="spellStart"/>
      <w:r w:rsidRPr="008F72C4">
        <w:rPr>
          <w:rFonts w:ascii="Times New Roman" w:hAnsi="Times New Roman" w:cs="Times New Roman"/>
          <w:sz w:val="22"/>
          <w:szCs w:val="22"/>
        </w:rPr>
        <w:t>Temmerman</w:t>
      </w:r>
      <w:proofErr w:type="spellEnd"/>
      <w:r w:rsidRPr="008F72C4">
        <w:rPr>
          <w:rFonts w:ascii="Times New Roman" w:hAnsi="Times New Roman" w:cs="Times New Roman"/>
          <w:sz w:val="22"/>
          <w:szCs w:val="22"/>
        </w:rPr>
        <w:t xml:space="preserve">, ‘Hidden Violence is Silent Rape: Sexual and Gender-Based Violence in Refugees, Asylum Seekers and Undocumented Migrants in Belgium and the Netherlands’ (2012) 14(5) </w:t>
      </w:r>
      <w:r w:rsidRPr="008F72C4">
        <w:rPr>
          <w:rFonts w:ascii="Times New Roman" w:hAnsi="Times New Roman" w:cs="Times New Roman"/>
          <w:i/>
          <w:sz w:val="22"/>
          <w:szCs w:val="22"/>
        </w:rPr>
        <w:t xml:space="preserve">Culture, Health &amp; Sexuality </w:t>
      </w:r>
      <w:r>
        <w:rPr>
          <w:rFonts w:ascii="Times New Roman" w:hAnsi="Times New Roman" w:cs="Times New Roman"/>
          <w:sz w:val="22"/>
          <w:szCs w:val="22"/>
        </w:rPr>
        <w:t>505-520 at 505</w:t>
      </w:r>
      <w:r w:rsidRPr="008F72C4">
        <w:rPr>
          <w:rFonts w:ascii="Times New Roman" w:hAnsi="Times New Roman" w:cs="Times New Roman"/>
          <w:sz w:val="22"/>
          <w:szCs w:val="22"/>
        </w:rPr>
        <w:t>.</w:t>
      </w:r>
    </w:p>
  </w:footnote>
  <w:footnote w:id="20">
    <w:p w14:paraId="35FD5CD5" w14:textId="77777777" w:rsidR="00DB5CC7" w:rsidRPr="00074B1E" w:rsidRDefault="00DB5CC7" w:rsidP="00C1042E">
      <w:pPr>
        <w:pStyle w:val="FootnoteText"/>
      </w:pPr>
      <w:r w:rsidRPr="00C2426D">
        <w:rPr>
          <w:rStyle w:val="FootnoteReference"/>
          <w:rFonts w:ascii="Times New Roman" w:hAnsi="Times New Roman" w:cs="Times New Roman"/>
          <w:sz w:val="22"/>
          <w:szCs w:val="22"/>
        </w:rPr>
        <w:footnoteRef/>
      </w:r>
      <w:r>
        <w:t xml:space="preserve"> </w:t>
      </w:r>
      <w:r>
        <w:rPr>
          <w:rFonts w:ascii="Times New Roman" w:hAnsi="Times New Roman" w:cs="Times New Roman"/>
          <w:i/>
          <w:sz w:val="22"/>
          <w:szCs w:val="22"/>
        </w:rPr>
        <w:t>Special Measures for Protection from Sexual Exploitation and Abuse: A New Approach – Report of the Secretary-General</w:t>
      </w:r>
      <w:r>
        <w:rPr>
          <w:rFonts w:ascii="Times New Roman" w:hAnsi="Times New Roman" w:cs="Times New Roman"/>
          <w:sz w:val="22"/>
          <w:szCs w:val="22"/>
        </w:rPr>
        <w:t>, UN GAOR, 71</w:t>
      </w:r>
      <w:r w:rsidRPr="00074B1E">
        <w:rPr>
          <w:rFonts w:ascii="Times New Roman" w:hAnsi="Times New Roman" w:cs="Times New Roman"/>
          <w:sz w:val="22"/>
          <w:szCs w:val="22"/>
          <w:vertAlign w:val="superscript"/>
        </w:rPr>
        <w:t>st</w:t>
      </w:r>
      <w:r>
        <w:rPr>
          <w:rFonts w:ascii="Times New Roman" w:hAnsi="Times New Roman" w:cs="Times New Roman"/>
          <w:sz w:val="22"/>
          <w:szCs w:val="22"/>
        </w:rPr>
        <w:t xml:space="preserve"> </w:t>
      </w:r>
      <w:proofErr w:type="spellStart"/>
      <w:r>
        <w:rPr>
          <w:rFonts w:ascii="Times New Roman" w:hAnsi="Times New Roman" w:cs="Times New Roman"/>
          <w:sz w:val="22"/>
          <w:szCs w:val="22"/>
        </w:rPr>
        <w:t>sess</w:t>
      </w:r>
      <w:proofErr w:type="spellEnd"/>
      <w:r>
        <w:rPr>
          <w:rFonts w:ascii="Times New Roman" w:hAnsi="Times New Roman" w:cs="Times New Roman"/>
          <w:sz w:val="22"/>
          <w:szCs w:val="22"/>
        </w:rPr>
        <w:t>, UN Doc A/71/818 (28 February 2017).</w:t>
      </w:r>
    </w:p>
  </w:footnote>
  <w:footnote w:id="21">
    <w:p w14:paraId="53DF30C9" w14:textId="043BFDF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Times New Roman" w:hAnsi="Times New Roman" w:cs="Times New Roman"/>
          <w:sz w:val="22"/>
          <w:szCs w:val="22"/>
        </w:rPr>
        <w:t xml:space="preserve">Marsh, </w:t>
      </w:r>
      <w:proofErr w:type="spellStart"/>
      <w:r>
        <w:rPr>
          <w:rFonts w:ascii="Times New Roman" w:eastAsia="Times New Roman" w:hAnsi="Times New Roman" w:cs="Times New Roman"/>
          <w:sz w:val="22"/>
          <w:szCs w:val="22"/>
        </w:rPr>
        <w:t>Purdin</w:t>
      </w:r>
      <w:proofErr w:type="spellEnd"/>
      <w:r>
        <w:rPr>
          <w:rFonts w:ascii="Times New Roman" w:eastAsia="Times New Roman" w:hAnsi="Times New Roman" w:cs="Times New Roman"/>
          <w:sz w:val="22"/>
          <w:szCs w:val="22"/>
        </w:rPr>
        <w:t xml:space="preserve"> and </w:t>
      </w:r>
      <w:proofErr w:type="spellStart"/>
      <w:r w:rsidRPr="008F72C4">
        <w:rPr>
          <w:rFonts w:ascii="Times New Roman" w:eastAsia="Times New Roman" w:hAnsi="Times New Roman" w:cs="Times New Roman"/>
          <w:sz w:val="22"/>
          <w:szCs w:val="22"/>
        </w:rPr>
        <w:t>Navani</w:t>
      </w:r>
      <w:proofErr w:type="spellEnd"/>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 3)</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134.</w:t>
      </w:r>
    </w:p>
  </w:footnote>
  <w:footnote w:id="22">
    <w:p w14:paraId="345F7BB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Victoria Canning, ‘International Conflict, Sexual Violence and Asylum Policy: Merseyside as a Case Study’ (2014) 34 </w:t>
      </w:r>
      <w:r w:rsidRPr="008F72C4">
        <w:rPr>
          <w:rFonts w:ascii="Times New Roman" w:hAnsi="Times New Roman" w:cs="Times New Roman"/>
          <w:i/>
          <w:sz w:val="22"/>
          <w:szCs w:val="22"/>
        </w:rPr>
        <w:t>Critical Social Policy</w:t>
      </w:r>
      <w:r>
        <w:rPr>
          <w:rFonts w:ascii="Times New Roman" w:hAnsi="Times New Roman" w:cs="Times New Roman"/>
          <w:sz w:val="22"/>
          <w:szCs w:val="22"/>
        </w:rPr>
        <w:t xml:space="preserve"> 23-45 at</w:t>
      </w:r>
      <w:r w:rsidRPr="008F72C4">
        <w:rPr>
          <w:rFonts w:ascii="Times New Roman" w:hAnsi="Times New Roman" w:cs="Times New Roman"/>
          <w:sz w:val="22"/>
          <w:szCs w:val="22"/>
        </w:rPr>
        <w:t xml:space="preserve"> 24</w:t>
      </w:r>
      <w:r>
        <w:rPr>
          <w:rFonts w:ascii="Times New Roman" w:hAnsi="Times New Roman" w:cs="Times New Roman"/>
          <w:sz w:val="22"/>
          <w:szCs w:val="22"/>
        </w:rPr>
        <w:t>.</w:t>
      </w:r>
    </w:p>
  </w:footnote>
  <w:footnote w:id="23">
    <w:p w14:paraId="4E1AF101" w14:textId="3FEE435F" w:rsidR="00DB5CC7" w:rsidRDefault="00DB5CC7" w:rsidP="00C1042E">
      <w:pPr>
        <w:pStyle w:val="FootnoteText"/>
      </w:pPr>
      <w:r w:rsidRPr="002925D2">
        <w:rPr>
          <w:rStyle w:val="FootnoteReference"/>
          <w:rFonts w:ascii="Times New Roman" w:hAnsi="Times New Roman" w:cs="Times New Roman"/>
          <w:sz w:val="22"/>
          <w:szCs w:val="22"/>
        </w:rPr>
        <w:footnoteRef/>
      </w:r>
      <w:r>
        <w:t xml:space="preserve"> </w:t>
      </w:r>
      <w:r>
        <w:rPr>
          <w:rFonts w:ascii="Times New Roman" w:eastAsia="Times New Roman" w:hAnsi="Times New Roman" w:cs="Times New Roman"/>
          <w:sz w:val="22"/>
          <w:szCs w:val="22"/>
        </w:rPr>
        <w:t xml:space="preserve">Marsh, </w:t>
      </w:r>
      <w:proofErr w:type="spellStart"/>
      <w:r>
        <w:rPr>
          <w:rFonts w:ascii="Times New Roman" w:eastAsia="Times New Roman" w:hAnsi="Times New Roman" w:cs="Times New Roman"/>
          <w:sz w:val="22"/>
          <w:szCs w:val="22"/>
        </w:rPr>
        <w:t>Purdin</w:t>
      </w:r>
      <w:proofErr w:type="spellEnd"/>
      <w:r>
        <w:rPr>
          <w:rFonts w:ascii="Times New Roman" w:eastAsia="Times New Roman" w:hAnsi="Times New Roman" w:cs="Times New Roman"/>
          <w:sz w:val="22"/>
          <w:szCs w:val="22"/>
        </w:rPr>
        <w:t xml:space="preserve"> and </w:t>
      </w:r>
      <w:proofErr w:type="spellStart"/>
      <w:r w:rsidRPr="008F72C4">
        <w:rPr>
          <w:rFonts w:ascii="Times New Roman" w:eastAsia="Times New Roman" w:hAnsi="Times New Roman" w:cs="Times New Roman"/>
          <w:sz w:val="22"/>
          <w:szCs w:val="22"/>
        </w:rPr>
        <w:t>Navani</w:t>
      </w:r>
      <w:proofErr w:type="spellEnd"/>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 3)</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135.</w:t>
      </w:r>
    </w:p>
  </w:footnote>
  <w:footnote w:id="24">
    <w:p w14:paraId="7A9C8A0D"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134.</w:t>
      </w:r>
    </w:p>
  </w:footnote>
  <w:footnote w:id="25">
    <w:p w14:paraId="62691AFE"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135.</w:t>
      </w:r>
    </w:p>
  </w:footnote>
  <w:footnote w:id="26">
    <w:p w14:paraId="753D6F4B"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w:t>
      </w:r>
    </w:p>
  </w:footnote>
  <w:footnote w:id="27">
    <w:p w14:paraId="50E37519"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bookmarkStart w:id="4" w:name="_Hlk525560432"/>
      <w:proofErr w:type="spellStart"/>
      <w:r w:rsidRPr="008F72C4">
        <w:rPr>
          <w:rFonts w:ascii="Times New Roman" w:hAnsi="Times New Roman" w:cs="Times New Roman"/>
          <w:sz w:val="22"/>
          <w:szCs w:val="22"/>
        </w:rPr>
        <w:t>Margareth</w:t>
      </w:r>
      <w:proofErr w:type="spellEnd"/>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Etienne</w:t>
      </w:r>
      <w:bookmarkEnd w:id="4"/>
      <w:r w:rsidRPr="008F72C4">
        <w:rPr>
          <w:rFonts w:ascii="Times New Roman" w:eastAsia="Times New Roman" w:hAnsi="Times New Roman" w:cs="Times New Roman"/>
          <w:sz w:val="22"/>
          <w:szCs w:val="22"/>
        </w:rPr>
        <w:t xml:space="preserve">, ‘Addressing Gender-Based Violence in an International Context’ (1995) 18 </w:t>
      </w:r>
      <w:r w:rsidRPr="008F72C4">
        <w:rPr>
          <w:rFonts w:ascii="Times New Roman" w:eastAsia="Times New Roman" w:hAnsi="Times New Roman" w:cs="Times New Roman"/>
          <w:i/>
          <w:sz w:val="22"/>
          <w:szCs w:val="22"/>
        </w:rPr>
        <w:t xml:space="preserve">Harvard Women’s Law Journal </w:t>
      </w:r>
      <w:r w:rsidRPr="008F72C4">
        <w:rPr>
          <w:rFonts w:ascii="Times New Roman" w:eastAsia="Times New Roman" w:hAnsi="Times New Roman" w:cs="Times New Roman"/>
          <w:sz w:val="22"/>
          <w:szCs w:val="22"/>
        </w:rPr>
        <w:t xml:space="preserve">139-170 at </w:t>
      </w:r>
      <w:r w:rsidRPr="008F72C4">
        <w:rPr>
          <w:rFonts w:ascii="Times New Roman" w:hAnsi="Times New Roman" w:cs="Times New Roman"/>
          <w:sz w:val="22"/>
          <w:szCs w:val="22"/>
        </w:rPr>
        <w:t>158.</w:t>
      </w:r>
    </w:p>
  </w:footnote>
  <w:footnote w:id="28">
    <w:p w14:paraId="41102CCE"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Anne </w:t>
      </w:r>
      <w:proofErr w:type="spellStart"/>
      <w:r w:rsidRPr="008F72C4">
        <w:rPr>
          <w:rFonts w:ascii="Times New Roman" w:hAnsi="Times New Roman" w:cs="Times New Roman"/>
          <w:sz w:val="22"/>
          <w:szCs w:val="22"/>
        </w:rPr>
        <w:t>Lise</w:t>
      </w:r>
      <w:proofErr w:type="spellEnd"/>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Purkey</w:t>
      </w:r>
      <w:proofErr w:type="spellEnd"/>
      <w:r w:rsidRPr="008F72C4">
        <w:rPr>
          <w:rFonts w:ascii="Times New Roman" w:hAnsi="Times New Roman" w:cs="Times New Roman"/>
          <w:sz w:val="22"/>
          <w:szCs w:val="22"/>
        </w:rPr>
        <w:t xml:space="preserve">, ‘Whose Right to What Justice – The Administration of Justice in Refugee Camps’ (2011) 17 </w:t>
      </w:r>
      <w:r w:rsidRPr="008F72C4">
        <w:rPr>
          <w:rFonts w:ascii="Times New Roman" w:hAnsi="Times New Roman" w:cs="Times New Roman"/>
          <w:i/>
          <w:sz w:val="22"/>
          <w:szCs w:val="22"/>
        </w:rPr>
        <w:t xml:space="preserve">New England Journal of International and Comparative Law </w:t>
      </w:r>
      <w:r w:rsidRPr="008F72C4">
        <w:rPr>
          <w:rFonts w:ascii="Times New Roman" w:hAnsi="Times New Roman" w:cs="Times New Roman"/>
          <w:sz w:val="22"/>
          <w:szCs w:val="22"/>
        </w:rPr>
        <w:t>121-157 at 134.</w:t>
      </w:r>
    </w:p>
  </w:footnote>
  <w:footnote w:id="29">
    <w:p w14:paraId="2493A3D1"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Malinda M </w:t>
      </w:r>
      <w:proofErr w:type="spellStart"/>
      <w:r w:rsidRPr="008F72C4">
        <w:rPr>
          <w:rFonts w:ascii="Times New Roman" w:hAnsi="Times New Roman" w:cs="Times New Roman"/>
          <w:sz w:val="22"/>
          <w:szCs w:val="22"/>
        </w:rPr>
        <w:t>Schmiechen</w:t>
      </w:r>
      <w:proofErr w:type="spellEnd"/>
      <w:r w:rsidRPr="008F72C4">
        <w:rPr>
          <w:rFonts w:ascii="Times New Roman" w:hAnsi="Times New Roman" w:cs="Times New Roman"/>
          <w:sz w:val="22"/>
          <w:szCs w:val="22"/>
        </w:rPr>
        <w:t xml:space="preserve">, ‘Parallel Lives, Uneven Justice: An Analysis of Rights, Protection and Redress for Refugee and Internally Displaced Women in Camps’ (2003) 22(2) </w:t>
      </w:r>
      <w:r w:rsidRPr="008F72C4">
        <w:rPr>
          <w:rFonts w:ascii="Times New Roman" w:hAnsi="Times New Roman" w:cs="Times New Roman"/>
          <w:i/>
          <w:sz w:val="22"/>
          <w:szCs w:val="22"/>
        </w:rPr>
        <w:t xml:space="preserve">Saint Louis University Public Law Review </w:t>
      </w:r>
      <w:r w:rsidRPr="008F72C4">
        <w:rPr>
          <w:rFonts w:ascii="Times New Roman" w:hAnsi="Times New Roman" w:cs="Times New Roman"/>
          <w:sz w:val="22"/>
          <w:szCs w:val="22"/>
        </w:rPr>
        <w:t>473-520 at 484</w:t>
      </w:r>
      <w:r>
        <w:rPr>
          <w:rFonts w:ascii="Times New Roman" w:hAnsi="Times New Roman" w:cs="Times New Roman"/>
          <w:sz w:val="22"/>
          <w:szCs w:val="22"/>
        </w:rPr>
        <w:t>.</w:t>
      </w:r>
    </w:p>
  </w:footnote>
  <w:footnote w:id="30">
    <w:p w14:paraId="4F005F9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484</w:t>
      </w:r>
      <w:r>
        <w:rPr>
          <w:rFonts w:ascii="Times New Roman" w:hAnsi="Times New Roman" w:cs="Times New Roman"/>
          <w:sz w:val="22"/>
          <w:szCs w:val="22"/>
        </w:rPr>
        <w:t>.</w:t>
      </w:r>
    </w:p>
  </w:footnote>
  <w:footnote w:id="31">
    <w:p w14:paraId="5C61104E" w14:textId="0E77361D"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Purkey</w:t>
      </w:r>
      <w:proofErr w:type="spellEnd"/>
      <w:r w:rsidRPr="008F72C4">
        <w:rPr>
          <w:rFonts w:ascii="Times New Roman" w:hAnsi="Times New Roman" w:cs="Times New Roman"/>
          <w:sz w:val="22"/>
          <w:szCs w:val="22"/>
        </w:rPr>
        <w:t xml:space="preserve"> </w:t>
      </w:r>
      <w:r>
        <w:rPr>
          <w:rFonts w:ascii="Times New Roman" w:hAnsi="Times New Roman" w:cs="Times New Roman"/>
          <w:sz w:val="22"/>
          <w:szCs w:val="22"/>
        </w:rPr>
        <w:t xml:space="preserve">(n 28) at </w:t>
      </w:r>
      <w:r w:rsidRPr="008F72C4">
        <w:rPr>
          <w:rFonts w:ascii="Times New Roman" w:hAnsi="Times New Roman" w:cs="Times New Roman"/>
          <w:sz w:val="22"/>
          <w:szCs w:val="22"/>
        </w:rPr>
        <w:t>135.</w:t>
      </w:r>
    </w:p>
  </w:footnote>
  <w:footnote w:id="32">
    <w:p w14:paraId="12BB6D5C" w14:textId="21D6F73F" w:rsidR="00DB5CC7" w:rsidRDefault="00DB5CC7" w:rsidP="00C1042E">
      <w:pPr>
        <w:pStyle w:val="FootnoteText"/>
      </w:pPr>
      <w:r w:rsidRPr="002778FE">
        <w:rPr>
          <w:rStyle w:val="FootnoteReference"/>
          <w:rFonts w:ascii="Times New Roman" w:hAnsi="Times New Roman" w:cs="Times New Roman"/>
          <w:sz w:val="22"/>
          <w:szCs w:val="22"/>
        </w:rPr>
        <w:footnoteRef/>
      </w:r>
      <w:r>
        <w:t xml:space="preserve"> </w:t>
      </w:r>
      <w:proofErr w:type="spellStart"/>
      <w:r w:rsidRPr="008F72C4">
        <w:rPr>
          <w:rFonts w:ascii="Times New Roman" w:hAnsi="Times New Roman" w:cs="Times New Roman"/>
          <w:sz w:val="22"/>
          <w:szCs w:val="22"/>
        </w:rPr>
        <w:t>Schmiechen</w:t>
      </w:r>
      <w:proofErr w:type="spellEnd"/>
      <w:r w:rsidRPr="008F72C4">
        <w:rPr>
          <w:rFonts w:ascii="Times New Roman" w:hAnsi="Times New Roman" w:cs="Times New Roman"/>
          <w:sz w:val="22"/>
          <w:szCs w:val="22"/>
        </w:rPr>
        <w:t xml:space="preserve"> </w:t>
      </w:r>
      <w:r>
        <w:rPr>
          <w:rFonts w:ascii="Times New Roman" w:hAnsi="Times New Roman" w:cs="Times New Roman"/>
          <w:sz w:val="22"/>
          <w:szCs w:val="22"/>
        </w:rPr>
        <w:t xml:space="preserve">(n 29) </w:t>
      </w:r>
      <w:r w:rsidRPr="008F72C4">
        <w:rPr>
          <w:rFonts w:ascii="Times New Roman" w:hAnsi="Times New Roman" w:cs="Times New Roman"/>
          <w:sz w:val="22"/>
          <w:szCs w:val="22"/>
        </w:rPr>
        <w:t>at 489.</w:t>
      </w:r>
    </w:p>
  </w:footnote>
  <w:footnote w:id="33">
    <w:p w14:paraId="3B5F20EA"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484</w:t>
      </w:r>
      <w:r>
        <w:rPr>
          <w:rFonts w:ascii="Times New Roman" w:hAnsi="Times New Roman" w:cs="Times New Roman"/>
          <w:sz w:val="22"/>
          <w:szCs w:val="22"/>
        </w:rPr>
        <w:t>.</w:t>
      </w:r>
    </w:p>
  </w:footnote>
  <w:footnote w:id="34">
    <w:p w14:paraId="4B7E7737" w14:textId="4B307DFE" w:rsidR="00DB5CC7" w:rsidRPr="008F72C4" w:rsidRDefault="00DB5CC7" w:rsidP="00C1042E">
      <w:pPr>
        <w:pStyle w:val="FootnoteText"/>
        <w:rPr>
          <w:rFonts w:ascii="Times New Roman" w:hAnsi="Times New Roman" w:cs="Times New Roman"/>
          <w:sz w:val="22"/>
          <w:szCs w:val="22"/>
          <w:lang w:val="en-AU"/>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proofErr w:type="spellStart"/>
      <w:r w:rsidRPr="00FF0D6B">
        <w:rPr>
          <w:rFonts w:ascii="Times New Roman" w:hAnsi="Times New Roman" w:cs="Times New Roman"/>
          <w:sz w:val="22"/>
          <w:szCs w:val="22"/>
        </w:rPr>
        <w:t>Purkey</w:t>
      </w:r>
      <w:proofErr w:type="spellEnd"/>
      <w:r>
        <w:rPr>
          <w:rFonts w:ascii="Times New Roman" w:hAnsi="Times New Roman" w:cs="Times New Roman"/>
          <w:sz w:val="22"/>
          <w:szCs w:val="22"/>
        </w:rPr>
        <w:t xml:space="preserve"> (n 28)</w:t>
      </w:r>
      <w:r w:rsidRPr="00FF0D6B">
        <w:rPr>
          <w:rFonts w:ascii="Times New Roman" w:hAnsi="Times New Roman" w:cs="Times New Roman"/>
          <w:sz w:val="22"/>
          <w:szCs w:val="22"/>
        </w:rPr>
        <w:t xml:space="preserve"> at 135.</w:t>
      </w:r>
    </w:p>
  </w:footnote>
  <w:footnote w:id="35">
    <w:p w14:paraId="4DB05A63" w14:textId="2173EA8F"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 xml:space="preserve">(n 27)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140.</w:t>
      </w:r>
    </w:p>
  </w:footnote>
  <w:footnote w:id="36">
    <w:p w14:paraId="018866E7"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eastAsia="Times New Roman" w:hAnsi="Times New Roman" w:cs="Times New Roman"/>
          <w:sz w:val="22"/>
          <w:szCs w:val="22"/>
        </w:rPr>
        <w:t xml:space="preserve"> at 143.</w:t>
      </w:r>
    </w:p>
  </w:footnote>
  <w:footnote w:id="37">
    <w:p w14:paraId="68E064B6"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143-144.</w:t>
      </w:r>
    </w:p>
  </w:footnote>
  <w:footnote w:id="38">
    <w:p w14:paraId="03848E30"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146.</w:t>
      </w:r>
    </w:p>
  </w:footnote>
  <w:footnote w:id="39">
    <w:p w14:paraId="0F4F6DE1"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hAnsi="Times New Roman" w:cs="Times New Roman"/>
          <w:i/>
          <w:sz w:val="22"/>
          <w:szCs w:val="22"/>
        </w:rPr>
        <w:t>Declaration on the Elimination of Violence Against Women</w:t>
      </w:r>
      <w:r w:rsidRPr="008F72C4">
        <w:rPr>
          <w:rFonts w:ascii="Times New Roman" w:hAnsi="Times New Roman" w:cs="Times New Roman"/>
          <w:sz w:val="22"/>
          <w:szCs w:val="22"/>
        </w:rPr>
        <w:t>, GA Res 48/104, UN GAOR, 48</w:t>
      </w:r>
      <w:r w:rsidRPr="008F72C4">
        <w:rPr>
          <w:rFonts w:ascii="Times New Roman" w:hAnsi="Times New Roman" w:cs="Times New Roman"/>
          <w:sz w:val="22"/>
          <w:szCs w:val="22"/>
          <w:vertAlign w:val="superscript"/>
        </w:rPr>
        <w:t>th</w:t>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sess</w:t>
      </w:r>
      <w:proofErr w:type="spellEnd"/>
      <w:r w:rsidRPr="008F72C4">
        <w:rPr>
          <w:rFonts w:ascii="Times New Roman" w:hAnsi="Times New Roman" w:cs="Times New Roman"/>
          <w:sz w:val="22"/>
          <w:szCs w:val="22"/>
        </w:rPr>
        <w:t>, 85</w:t>
      </w:r>
      <w:r w:rsidRPr="008F72C4">
        <w:rPr>
          <w:rFonts w:ascii="Times New Roman" w:hAnsi="Times New Roman" w:cs="Times New Roman"/>
          <w:sz w:val="22"/>
          <w:szCs w:val="22"/>
          <w:vertAlign w:val="superscript"/>
        </w:rPr>
        <w:t>th</w:t>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plen</w:t>
      </w:r>
      <w:proofErr w:type="spellEnd"/>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mt</w:t>
      </w:r>
      <w:proofErr w:type="spellEnd"/>
      <w:r w:rsidRPr="008F72C4">
        <w:rPr>
          <w:rFonts w:ascii="Times New Roman" w:hAnsi="Times New Roman" w:cs="Times New Roman"/>
          <w:sz w:val="22"/>
          <w:szCs w:val="22"/>
        </w:rPr>
        <w:t>, UN Doc A/RES/48/104.</w:t>
      </w:r>
    </w:p>
  </w:footnote>
  <w:footnote w:id="40">
    <w:p w14:paraId="75370B2E" w14:textId="756D1B6C"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 xml:space="preserve">(n 27)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151.</w:t>
      </w:r>
    </w:p>
  </w:footnote>
  <w:footnote w:id="41">
    <w:p w14:paraId="5BB4D7A0"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146.</w:t>
      </w:r>
    </w:p>
  </w:footnote>
  <w:footnote w:id="42">
    <w:p w14:paraId="43C0EEF7" w14:textId="77777777" w:rsidR="00DB5CC7" w:rsidRPr="008C42CA" w:rsidRDefault="00DB5CC7" w:rsidP="00C1042E">
      <w:pPr>
        <w:pStyle w:val="FootnoteText"/>
      </w:pPr>
      <w:r w:rsidRPr="007C0BA9">
        <w:rPr>
          <w:rStyle w:val="FootnoteReference"/>
          <w:rFonts w:ascii="Times New Roman" w:hAnsi="Times New Roman" w:cs="Times New Roman"/>
          <w:sz w:val="22"/>
          <w:szCs w:val="22"/>
        </w:rPr>
        <w:footnoteRef/>
      </w:r>
      <w:r w:rsidRPr="007C0BA9">
        <w:rPr>
          <w:rStyle w:val="FootnoteReference"/>
          <w:rFonts w:ascii="Times New Roman" w:hAnsi="Times New Roman" w:cs="Times New Roman"/>
          <w:sz w:val="22"/>
          <w:szCs w:val="22"/>
        </w:rPr>
        <w:t xml:space="preserve"> </w:t>
      </w:r>
      <w:r>
        <w:rPr>
          <w:rFonts w:ascii="Times New Roman" w:hAnsi="Times New Roman" w:cs="Times New Roman"/>
          <w:i/>
          <w:sz w:val="22"/>
          <w:szCs w:val="22"/>
        </w:rPr>
        <w:t>Convention on the Elimination of All Forms of Discrimination Against Women</w:t>
      </w:r>
      <w:r>
        <w:rPr>
          <w:rFonts w:ascii="Times New Roman" w:hAnsi="Times New Roman" w:cs="Times New Roman"/>
          <w:sz w:val="22"/>
          <w:szCs w:val="22"/>
        </w:rPr>
        <w:t>, opened for signature 18 December 1979, 1249 UNTS 13 (entered into force 3 September 1981) art 1.</w:t>
      </w:r>
    </w:p>
  </w:footnote>
  <w:footnote w:id="43">
    <w:p w14:paraId="5B9C4B67" w14:textId="2C22F944"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For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 xml:space="preserve">(n 27)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148.</w:t>
      </w:r>
    </w:p>
  </w:footnote>
  <w:footnote w:id="44">
    <w:p w14:paraId="160587CF" w14:textId="1D1BD69F"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Schmiechen</w:t>
      </w:r>
      <w:proofErr w:type="spellEnd"/>
      <w:r w:rsidRPr="008F72C4">
        <w:rPr>
          <w:rFonts w:ascii="Times New Roman" w:hAnsi="Times New Roman" w:cs="Times New Roman"/>
          <w:sz w:val="22"/>
          <w:szCs w:val="22"/>
        </w:rPr>
        <w:t xml:space="preserve"> </w:t>
      </w:r>
      <w:r>
        <w:rPr>
          <w:rFonts w:ascii="Times New Roman" w:hAnsi="Times New Roman" w:cs="Times New Roman"/>
          <w:sz w:val="22"/>
          <w:szCs w:val="22"/>
        </w:rPr>
        <w:t>(n 29) at 497.</w:t>
      </w:r>
    </w:p>
  </w:footnote>
  <w:footnote w:id="45">
    <w:p w14:paraId="6D37DE6C"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Ibid at </w:t>
      </w:r>
      <w:r w:rsidRPr="008F72C4">
        <w:rPr>
          <w:rFonts w:ascii="Times New Roman" w:hAnsi="Times New Roman" w:cs="Times New Roman"/>
          <w:sz w:val="22"/>
          <w:szCs w:val="22"/>
        </w:rPr>
        <w:t>498.</w:t>
      </w:r>
    </w:p>
  </w:footnote>
  <w:footnote w:id="46">
    <w:p w14:paraId="135CC75A" w14:textId="7629BC39"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(n 27)</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160.</w:t>
      </w:r>
    </w:p>
  </w:footnote>
  <w:footnote w:id="47">
    <w:p w14:paraId="695893BF" w14:textId="3BFC8AD7" w:rsidR="00DB5CC7" w:rsidRPr="008A5F9C" w:rsidRDefault="00DB5CC7" w:rsidP="00C1042E">
      <w:pPr>
        <w:pStyle w:val="FootnoteText"/>
        <w:rPr>
          <w:rFonts w:cs="Times New Roman"/>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United Nations High Commissioner for Refugees, ‘UNHCR, Sexual Violence Against Refugees: Guidelines on Prevention and Response (Extracts)’ (1995) 7(4) </w:t>
      </w:r>
      <w:r w:rsidRPr="008F72C4">
        <w:rPr>
          <w:rFonts w:ascii="Times New Roman" w:eastAsia="Times New Roman" w:hAnsi="Times New Roman" w:cs="Times New Roman"/>
          <w:i/>
          <w:sz w:val="22"/>
          <w:szCs w:val="22"/>
        </w:rPr>
        <w:t xml:space="preserve">International Journal of Refugee Law </w:t>
      </w:r>
      <w:r w:rsidRPr="008F72C4">
        <w:rPr>
          <w:rFonts w:ascii="Times New Roman" w:eastAsia="Times New Roman" w:hAnsi="Times New Roman" w:cs="Times New Roman"/>
          <w:sz w:val="22"/>
          <w:szCs w:val="22"/>
        </w:rPr>
        <w:t xml:space="preserve">720-755 at </w:t>
      </w:r>
      <w:r w:rsidRPr="008F72C4">
        <w:rPr>
          <w:rFonts w:ascii="Times New Roman" w:hAnsi="Times New Roman" w:cs="Times New Roman"/>
          <w:sz w:val="22"/>
          <w:szCs w:val="22"/>
        </w:rPr>
        <w:t>747-748.</w:t>
      </w:r>
      <w:r>
        <w:rPr>
          <w:rFonts w:ascii="Times New Roman" w:hAnsi="Times New Roman" w:cs="Times New Roman"/>
          <w:sz w:val="22"/>
          <w:szCs w:val="22"/>
        </w:rPr>
        <w:t xml:space="preserve"> </w:t>
      </w:r>
      <w:r w:rsidRPr="008E6BA1">
        <w:rPr>
          <w:rFonts w:ascii="Times New Roman" w:eastAsia="Times New Roman" w:hAnsi="Times New Roman" w:cs="Times New Roman"/>
          <w:sz w:val="22"/>
          <w:szCs w:val="22"/>
        </w:rPr>
        <w:t xml:space="preserve">See: United Nations High Commissioner for Refugees, </w:t>
      </w:r>
      <w:r w:rsidRPr="008E6BA1">
        <w:rPr>
          <w:rFonts w:ascii="Times New Roman" w:eastAsia="Times New Roman" w:hAnsi="Times New Roman" w:cs="Times New Roman"/>
          <w:i/>
          <w:sz w:val="22"/>
          <w:szCs w:val="22"/>
        </w:rPr>
        <w:t>Sexual Violence Against Refugees: Guidelines on Prevention and Response</w:t>
      </w:r>
      <w:r w:rsidRPr="008E6BA1">
        <w:rPr>
          <w:rFonts w:ascii="Times New Roman" w:eastAsia="Times New Roman" w:hAnsi="Times New Roman" w:cs="Times New Roman"/>
          <w:sz w:val="22"/>
          <w:szCs w:val="22"/>
        </w:rPr>
        <w:t xml:space="preserve"> (Geneva: United Nations High Commissioner for Refugees, 1995).</w:t>
      </w:r>
    </w:p>
  </w:footnote>
  <w:footnote w:id="48">
    <w:p w14:paraId="0628EE3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bookmarkStart w:id="5" w:name="_Hlk520146261"/>
      <w:r>
        <w:rPr>
          <w:rFonts w:ascii="Times New Roman" w:eastAsia="Times New Roman" w:hAnsi="Times New Roman" w:cs="Times New Roman"/>
          <w:sz w:val="22"/>
          <w:szCs w:val="22"/>
        </w:rPr>
        <w:t>Ibid.</w:t>
      </w:r>
      <w:bookmarkEnd w:id="5"/>
    </w:p>
  </w:footnote>
  <w:footnote w:id="49">
    <w:p w14:paraId="6B486A8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Committee on the Elimination of Discrimination Against Women</w:t>
      </w:r>
      <w:r>
        <w:rPr>
          <w:rFonts w:ascii="Times New Roman" w:hAnsi="Times New Roman" w:cs="Times New Roman"/>
          <w:sz w:val="22"/>
          <w:szCs w:val="22"/>
        </w:rPr>
        <w:t>,</w:t>
      </w:r>
      <w:r w:rsidRPr="008F72C4">
        <w:rPr>
          <w:rFonts w:ascii="Times New Roman" w:hAnsi="Times New Roman" w:cs="Times New Roman"/>
          <w:sz w:val="22"/>
          <w:szCs w:val="22"/>
        </w:rPr>
        <w:t xml:space="preserve"> ‘General Recommendation No. 35 on Gender-Based Violence Against Women, Updating General Recommendation No. 19’ (2017) 6(2) </w:t>
      </w:r>
      <w:r w:rsidRPr="008F72C4">
        <w:rPr>
          <w:rFonts w:ascii="Times New Roman" w:hAnsi="Times New Roman" w:cs="Times New Roman"/>
          <w:i/>
          <w:sz w:val="22"/>
          <w:szCs w:val="22"/>
        </w:rPr>
        <w:t xml:space="preserve">International Human Rights Law Review </w:t>
      </w:r>
      <w:r w:rsidRPr="008F72C4">
        <w:rPr>
          <w:rFonts w:ascii="Times New Roman" w:hAnsi="Times New Roman" w:cs="Times New Roman"/>
          <w:sz w:val="22"/>
          <w:szCs w:val="22"/>
        </w:rPr>
        <w:t>279-306 at 280.</w:t>
      </w:r>
    </w:p>
  </w:footnote>
  <w:footnote w:id="50">
    <w:p w14:paraId="542CC5F7"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 at 283</w:t>
      </w:r>
      <w:r w:rsidRPr="008F72C4">
        <w:rPr>
          <w:rFonts w:ascii="Times New Roman" w:hAnsi="Times New Roman" w:cs="Times New Roman"/>
          <w:sz w:val="22"/>
          <w:szCs w:val="22"/>
        </w:rPr>
        <w:t>.</w:t>
      </w:r>
    </w:p>
  </w:footnote>
  <w:footnote w:id="51">
    <w:p w14:paraId="54B382A6"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w:t>
      </w:r>
    </w:p>
  </w:footnote>
  <w:footnote w:id="52">
    <w:p w14:paraId="05A8060E" w14:textId="77777777" w:rsidR="00DB5CC7" w:rsidRDefault="00DB5CC7" w:rsidP="00C1042E">
      <w:pPr>
        <w:pStyle w:val="FootnoteText"/>
      </w:pPr>
      <w:r w:rsidRPr="000B08C8">
        <w:rPr>
          <w:rStyle w:val="FootnoteReference"/>
          <w:rFonts w:ascii="Times New Roman" w:hAnsi="Times New Roman" w:cs="Times New Roman"/>
          <w:sz w:val="22"/>
          <w:szCs w:val="22"/>
        </w:rPr>
        <w:footnoteRef/>
      </w:r>
      <w:r w:rsidRPr="000B08C8">
        <w:rPr>
          <w:rStyle w:val="FootnoteReference"/>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286.</w:t>
      </w:r>
    </w:p>
  </w:footnote>
  <w:footnote w:id="53">
    <w:p w14:paraId="19FD0235"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p>
  </w:footnote>
  <w:footnote w:id="54">
    <w:p w14:paraId="1A4A6ACC"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p>
  </w:footnote>
  <w:footnote w:id="55">
    <w:p w14:paraId="33EFC8C9"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288.</w:t>
      </w:r>
    </w:p>
  </w:footnote>
  <w:footnote w:id="56">
    <w:p w14:paraId="10F69519" w14:textId="0017EE7F"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(n 27)</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156-157</w:t>
      </w:r>
      <w:r>
        <w:rPr>
          <w:rFonts w:ascii="Times New Roman" w:hAnsi="Times New Roman" w:cs="Times New Roman"/>
          <w:sz w:val="22"/>
          <w:szCs w:val="22"/>
        </w:rPr>
        <w:t>.</w:t>
      </w:r>
    </w:p>
  </w:footnote>
  <w:footnote w:id="57">
    <w:p w14:paraId="5EC29DE5"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157.</w:t>
      </w:r>
    </w:p>
  </w:footnote>
  <w:footnote w:id="58">
    <w:p w14:paraId="6B3054C6" w14:textId="7C93B2B2"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Committee on the Elimination of Discrimination Against Women</w:t>
      </w:r>
      <w:r>
        <w:rPr>
          <w:rFonts w:ascii="Times New Roman" w:hAnsi="Times New Roman" w:cs="Times New Roman"/>
          <w:sz w:val="22"/>
          <w:szCs w:val="22"/>
        </w:rPr>
        <w:t xml:space="preserve"> (n 49)</w:t>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8F72C4">
        <w:rPr>
          <w:rFonts w:ascii="Times New Roman" w:hAnsi="Times New Roman" w:cs="Times New Roman"/>
          <w:sz w:val="22"/>
          <w:szCs w:val="22"/>
        </w:rPr>
        <w:t>286-287.</w:t>
      </w:r>
    </w:p>
  </w:footnote>
  <w:footnote w:id="59">
    <w:p w14:paraId="38311010"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287.</w:t>
      </w:r>
    </w:p>
  </w:footnote>
  <w:footnote w:id="60">
    <w:p w14:paraId="4D421173" w14:textId="40796711"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United Nations High Commissioner for Refugees, ‘UNHCR, Sexual Violence Against Refugees</w:t>
      </w:r>
      <w:r>
        <w:rPr>
          <w:rFonts w:ascii="Times New Roman" w:eastAsia="Times New Roman" w:hAnsi="Times New Roman" w:cs="Times New Roman"/>
          <w:sz w:val="22"/>
          <w:szCs w:val="22"/>
        </w:rPr>
        <w:t>’ (n 47)</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743.</w:t>
      </w:r>
    </w:p>
  </w:footnote>
  <w:footnote w:id="61">
    <w:p w14:paraId="7AA4483C"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Elizabeth-Merry Condon, ‘The Incoherent International Jurisprudence of Rape’ (2007) 3 </w:t>
      </w:r>
      <w:r w:rsidRPr="008F72C4">
        <w:rPr>
          <w:rFonts w:ascii="Times New Roman" w:hAnsi="Times New Roman" w:cs="Times New Roman"/>
          <w:i/>
          <w:sz w:val="22"/>
          <w:szCs w:val="22"/>
        </w:rPr>
        <w:t xml:space="preserve">Eyes on the ICC </w:t>
      </w:r>
      <w:r w:rsidRPr="008F72C4">
        <w:rPr>
          <w:rFonts w:ascii="Times New Roman" w:hAnsi="Times New Roman" w:cs="Times New Roman"/>
          <w:sz w:val="22"/>
          <w:szCs w:val="22"/>
        </w:rPr>
        <w:t>23-32 at 23</w:t>
      </w:r>
      <w:r>
        <w:rPr>
          <w:rFonts w:ascii="Times New Roman" w:hAnsi="Times New Roman" w:cs="Times New Roman"/>
          <w:sz w:val="22"/>
          <w:szCs w:val="22"/>
        </w:rPr>
        <w:t>.</w:t>
      </w:r>
    </w:p>
  </w:footnote>
  <w:footnote w:id="62">
    <w:p w14:paraId="0B740F60" w14:textId="51C49C85"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bookmarkStart w:id="6" w:name="_Hlk520062805"/>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 xml:space="preserve">(n 27) </w:t>
      </w:r>
      <w:r w:rsidRPr="008F72C4">
        <w:rPr>
          <w:rFonts w:ascii="Times New Roman" w:eastAsia="Times New Roman" w:hAnsi="Times New Roman" w:cs="Times New Roman"/>
          <w:sz w:val="22"/>
          <w:szCs w:val="22"/>
        </w:rPr>
        <w:t xml:space="preserve">at </w:t>
      </w:r>
      <w:bookmarkEnd w:id="6"/>
      <w:r w:rsidRPr="008F72C4">
        <w:rPr>
          <w:rFonts w:ascii="Times New Roman" w:hAnsi="Times New Roman" w:cs="Times New Roman"/>
          <w:sz w:val="22"/>
          <w:szCs w:val="22"/>
        </w:rPr>
        <w:t>157-158.</w:t>
      </w:r>
    </w:p>
  </w:footnote>
  <w:footnote w:id="63">
    <w:p w14:paraId="7E7E86CD"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i/>
          <w:sz w:val="22"/>
          <w:szCs w:val="22"/>
        </w:rPr>
        <w:t xml:space="preserve">Prosecutor v Jean-Paul </w:t>
      </w:r>
      <w:proofErr w:type="spellStart"/>
      <w:r>
        <w:rPr>
          <w:rFonts w:ascii="Times New Roman" w:hAnsi="Times New Roman" w:cs="Times New Roman"/>
          <w:i/>
          <w:sz w:val="22"/>
          <w:szCs w:val="22"/>
        </w:rPr>
        <w:t>Akayesu</w:t>
      </w:r>
      <w:proofErr w:type="spellEnd"/>
      <w:r>
        <w:rPr>
          <w:rFonts w:ascii="Times New Roman" w:hAnsi="Times New Roman" w:cs="Times New Roman"/>
          <w:sz w:val="22"/>
          <w:szCs w:val="22"/>
        </w:rPr>
        <w:t>, Trial Chamber I, Case No ICTR-96-4-T, 2 September 1998.</w:t>
      </w:r>
    </w:p>
  </w:footnote>
  <w:footnote w:id="64">
    <w:p w14:paraId="570657C3" w14:textId="15E4C9CA"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Schmiechen</w:t>
      </w:r>
      <w:proofErr w:type="spellEnd"/>
      <w:r w:rsidRPr="008F72C4">
        <w:rPr>
          <w:rFonts w:ascii="Times New Roman" w:hAnsi="Times New Roman" w:cs="Times New Roman"/>
          <w:sz w:val="22"/>
          <w:szCs w:val="22"/>
        </w:rPr>
        <w:t xml:space="preserve"> </w:t>
      </w:r>
      <w:r>
        <w:rPr>
          <w:rFonts w:ascii="Times New Roman" w:hAnsi="Times New Roman" w:cs="Times New Roman"/>
          <w:sz w:val="22"/>
          <w:szCs w:val="22"/>
        </w:rPr>
        <w:t>(n 29)</w:t>
      </w:r>
      <w:r w:rsidRPr="008F72C4">
        <w:rPr>
          <w:rFonts w:ascii="Times New Roman" w:hAnsi="Times New Roman" w:cs="Times New Roman"/>
          <w:sz w:val="22"/>
          <w:szCs w:val="22"/>
        </w:rPr>
        <w:t xml:space="preserve"> at 483.</w:t>
      </w:r>
    </w:p>
  </w:footnote>
  <w:footnote w:id="65">
    <w:p w14:paraId="2961C642"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511.</w:t>
      </w:r>
    </w:p>
  </w:footnote>
  <w:footnote w:id="66">
    <w:p w14:paraId="26FF9377"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Valerie </w:t>
      </w:r>
      <w:proofErr w:type="spellStart"/>
      <w:r w:rsidRPr="008F72C4">
        <w:rPr>
          <w:rFonts w:ascii="Times New Roman" w:hAnsi="Times New Roman" w:cs="Times New Roman"/>
          <w:sz w:val="22"/>
          <w:szCs w:val="22"/>
        </w:rPr>
        <w:t>Oosterveld</w:t>
      </w:r>
      <w:proofErr w:type="spellEnd"/>
      <w:r w:rsidRPr="008F72C4">
        <w:rPr>
          <w:rFonts w:ascii="Times New Roman" w:hAnsi="Times New Roman" w:cs="Times New Roman"/>
          <w:sz w:val="22"/>
          <w:szCs w:val="22"/>
        </w:rPr>
        <w:t xml:space="preserve">, ‘The ICC Policy Paper on Sexual and Gender-Based Crimes: A Crucial Step for International Criminal Law’ (2018) 24(3) </w:t>
      </w:r>
      <w:r w:rsidRPr="008F72C4">
        <w:rPr>
          <w:rFonts w:ascii="Times New Roman" w:hAnsi="Times New Roman" w:cs="Times New Roman"/>
          <w:i/>
          <w:sz w:val="22"/>
          <w:szCs w:val="22"/>
        </w:rPr>
        <w:t xml:space="preserve">William &amp; Mary Journal of Women and the Law </w:t>
      </w:r>
      <w:r w:rsidRPr="008F72C4">
        <w:rPr>
          <w:rFonts w:ascii="Times New Roman" w:hAnsi="Times New Roman" w:cs="Times New Roman"/>
          <w:sz w:val="22"/>
          <w:szCs w:val="22"/>
        </w:rPr>
        <w:t>443-458 at 443.</w:t>
      </w:r>
    </w:p>
  </w:footnote>
  <w:footnote w:id="67">
    <w:p w14:paraId="35C90CA1" w14:textId="693C42A1"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Condon </w:t>
      </w:r>
      <w:r>
        <w:rPr>
          <w:rFonts w:ascii="Times New Roman" w:hAnsi="Times New Roman" w:cs="Times New Roman"/>
          <w:sz w:val="22"/>
          <w:szCs w:val="22"/>
        </w:rPr>
        <w:t xml:space="preserve">(n 61) </w:t>
      </w:r>
      <w:r w:rsidRPr="008F72C4">
        <w:rPr>
          <w:rFonts w:ascii="Times New Roman" w:hAnsi="Times New Roman" w:cs="Times New Roman"/>
          <w:sz w:val="22"/>
          <w:szCs w:val="22"/>
        </w:rPr>
        <w:t>at 23.</w:t>
      </w:r>
    </w:p>
  </w:footnote>
  <w:footnote w:id="68">
    <w:p w14:paraId="7CF65281"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w:t>
      </w:r>
    </w:p>
  </w:footnote>
  <w:footnote w:id="69">
    <w:p w14:paraId="10C80CC9" w14:textId="517437C1"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Oosterveld</w:t>
      </w:r>
      <w:proofErr w:type="spellEnd"/>
      <w:r w:rsidRPr="008F72C4">
        <w:rPr>
          <w:rFonts w:ascii="Times New Roman" w:hAnsi="Times New Roman" w:cs="Times New Roman"/>
          <w:sz w:val="22"/>
          <w:szCs w:val="22"/>
        </w:rPr>
        <w:t xml:space="preserve"> </w:t>
      </w:r>
      <w:r>
        <w:rPr>
          <w:rFonts w:ascii="Times New Roman" w:hAnsi="Times New Roman" w:cs="Times New Roman"/>
          <w:sz w:val="22"/>
          <w:szCs w:val="22"/>
        </w:rPr>
        <w:t xml:space="preserve">(n 66) at </w:t>
      </w:r>
      <w:r w:rsidRPr="008F72C4">
        <w:rPr>
          <w:rFonts w:ascii="Times New Roman" w:hAnsi="Times New Roman" w:cs="Times New Roman"/>
          <w:sz w:val="22"/>
          <w:szCs w:val="22"/>
        </w:rPr>
        <w:t>450-451.</w:t>
      </w:r>
    </w:p>
  </w:footnote>
  <w:footnote w:id="70">
    <w:p w14:paraId="659F407A"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This ICC trial of Dominic </w:t>
      </w:r>
      <w:proofErr w:type="spellStart"/>
      <w:r>
        <w:rPr>
          <w:rFonts w:ascii="Times New Roman" w:hAnsi="Times New Roman" w:cs="Times New Roman"/>
          <w:sz w:val="22"/>
          <w:szCs w:val="22"/>
        </w:rPr>
        <w:t>Ongwen</w:t>
      </w:r>
      <w:proofErr w:type="spellEnd"/>
      <w:r>
        <w:rPr>
          <w:rFonts w:ascii="Times New Roman" w:hAnsi="Times New Roman" w:cs="Times New Roman"/>
          <w:sz w:val="22"/>
          <w:szCs w:val="22"/>
        </w:rPr>
        <w:t xml:space="preserve">, alleged Brigade Commander of the </w:t>
      </w:r>
      <w:proofErr w:type="spellStart"/>
      <w:r>
        <w:rPr>
          <w:rFonts w:ascii="Times New Roman" w:hAnsi="Times New Roman" w:cs="Times New Roman"/>
          <w:sz w:val="22"/>
          <w:szCs w:val="22"/>
        </w:rPr>
        <w:t>Sinia</w:t>
      </w:r>
      <w:proofErr w:type="spellEnd"/>
      <w:r>
        <w:rPr>
          <w:rFonts w:ascii="Times New Roman" w:hAnsi="Times New Roman" w:cs="Times New Roman"/>
          <w:sz w:val="22"/>
          <w:szCs w:val="22"/>
        </w:rPr>
        <w:t xml:space="preserve"> Brigade of the Lord’s Resistance Army, began on 6 December 2016. The Prosecution has completed its presentation of evidence, and the Legal Representatives of Victims also called witnesses to appear before the Chamber. The trial resumed on 18 September 2018 with the opening statements of the </w:t>
      </w:r>
      <w:proofErr w:type="spellStart"/>
      <w:r>
        <w:rPr>
          <w:rFonts w:ascii="Times New Roman" w:hAnsi="Times New Roman" w:cs="Times New Roman"/>
          <w:sz w:val="22"/>
          <w:szCs w:val="22"/>
        </w:rPr>
        <w:t>Defence</w:t>
      </w:r>
      <w:proofErr w:type="spellEnd"/>
      <w:r>
        <w:rPr>
          <w:rFonts w:ascii="Times New Roman" w:hAnsi="Times New Roman" w:cs="Times New Roman"/>
          <w:sz w:val="22"/>
          <w:szCs w:val="22"/>
        </w:rPr>
        <w:t xml:space="preserve">. See: </w:t>
      </w:r>
      <w:hyperlink r:id="rId1" w:history="1">
        <w:r w:rsidRPr="00522F25">
          <w:rPr>
            <w:rStyle w:val="Hyperlink"/>
            <w:rFonts w:ascii="Times New Roman" w:hAnsi="Times New Roman" w:cs="Times New Roman"/>
            <w:sz w:val="22"/>
            <w:szCs w:val="22"/>
          </w:rPr>
          <w:t>https://www.icc-cpi.int/uganda/ongwen</w:t>
        </w:r>
      </w:hyperlink>
      <w:r>
        <w:rPr>
          <w:rFonts w:ascii="Times New Roman" w:hAnsi="Times New Roman" w:cs="Times New Roman"/>
          <w:sz w:val="22"/>
          <w:szCs w:val="22"/>
        </w:rPr>
        <w:t xml:space="preserve"> </w:t>
      </w:r>
    </w:p>
  </w:footnote>
  <w:footnote w:id="71">
    <w:p w14:paraId="297970C6" w14:textId="768D2146"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sidRPr="008F72C4">
        <w:rPr>
          <w:rFonts w:ascii="Times New Roman" w:hAnsi="Times New Roman" w:cs="Times New Roman"/>
          <w:sz w:val="22"/>
          <w:szCs w:val="22"/>
        </w:rPr>
        <w:t>Oosterveld</w:t>
      </w:r>
      <w:proofErr w:type="spellEnd"/>
      <w:r w:rsidRPr="008F72C4">
        <w:rPr>
          <w:rFonts w:ascii="Times New Roman" w:hAnsi="Times New Roman" w:cs="Times New Roman"/>
          <w:sz w:val="22"/>
          <w:szCs w:val="22"/>
        </w:rPr>
        <w:t xml:space="preserve"> </w:t>
      </w:r>
      <w:r>
        <w:rPr>
          <w:rFonts w:ascii="Times New Roman" w:hAnsi="Times New Roman" w:cs="Times New Roman"/>
          <w:sz w:val="22"/>
          <w:szCs w:val="22"/>
        </w:rPr>
        <w:t>(n 66)</w:t>
      </w:r>
      <w:r w:rsidRPr="008F72C4">
        <w:rPr>
          <w:rFonts w:ascii="Times New Roman" w:hAnsi="Times New Roman" w:cs="Times New Roman"/>
          <w:sz w:val="22"/>
          <w:szCs w:val="22"/>
        </w:rPr>
        <w:t xml:space="preserve"> </w:t>
      </w:r>
      <w:r>
        <w:rPr>
          <w:rFonts w:ascii="Times New Roman" w:hAnsi="Times New Roman" w:cs="Times New Roman"/>
          <w:sz w:val="22"/>
          <w:szCs w:val="22"/>
        </w:rPr>
        <w:t>at 451</w:t>
      </w:r>
      <w:r w:rsidRPr="008F72C4">
        <w:rPr>
          <w:rFonts w:ascii="Times New Roman" w:hAnsi="Times New Roman" w:cs="Times New Roman"/>
          <w:sz w:val="22"/>
          <w:szCs w:val="22"/>
        </w:rPr>
        <w:t>.</w:t>
      </w:r>
    </w:p>
  </w:footnote>
  <w:footnote w:id="72">
    <w:p w14:paraId="32E81759" w14:textId="77777777" w:rsidR="00DB5CC7" w:rsidRPr="000342E2" w:rsidRDefault="00DB5CC7" w:rsidP="00C1042E">
      <w:pPr>
        <w:pStyle w:val="FootnoteText"/>
      </w:pPr>
      <w:r w:rsidRPr="00B85BA6">
        <w:rPr>
          <w:rStyle w:val="FootnoteReference"/>
          <w:rFonts w:ascii="Times New Roman" w:hAnsi="Times New Roman" w:cs="Times New Roman"/>
          <w:sz w:val="22"/>
          <w:szCs w:val="22"/>
        </w:rPr>
        <w:footnoteRef/>
      </w:r>
      <w:r w:rsidRPr="00B85BA6">
        <w:rPr>
          <w:rStyle w:val="FootnoteReference"/>
          <w:rFonts w:ascii="Times New Roman" w:hAnsi="Times New Roman" w:cs="Times New Roman"/>
          <w:sz w:val="22"/>
          <w:szCs w:val="22"/>
        </w:rPr>
        <w:t xml:space="preserve"> </w:t>
      </w:r>
      <w:r>
        <w:rPr>
          <w:rFonts w:ascii="Times New Roman" w:hAnsi="Times New Roman" w:cs="Times New Roman"/>
          <w:i/>
          <w:sz w:val="22"/>
          <w:szCs w:val="22"/>
        </w:rPr>
        <w:t>Convention Relating to the Status of Refugees</w:t>
      </w:r>
      <w:r>
        <w:rPr>
          <w:rFonts w:ascii="Times New Roman" w:hAnsi="Times New Roman" w:cs="Times New Roman"/>
          <w:sz w:val="22"/>
          <w:szCs w:val="22"/>
        </w:rPr>
        <w:t>, opened for signature 28 July 1951, 189 UNTS 137 (entered into force 22 April 1954) art 1</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2).</w:t>
      </w:r>
    </w:p>
  </w:footnote>
  <w:footnote w:id="73">
    <w:p w14:paraId="0CD48CBF" w14:textId="552AE1CE"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Etienne </w:t>
      </w:r>
      <w:r>
        <w:rPr>
          <w:rFonts w:ascii="Times New Roman" w:eastAsia="Times New Roman" w:hAnsi="Times New Roman" w:cs="Times New Roman"/>
          <w:sz w:val="22"/>
          <w:szCs w:val="22"/>
        </w:rPr>
        <w:t>(n 27)</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155.</w:t>
      </w:r>
    </w:p>
  </w:footnote>
  <w:footnote w:id="74">
    <w:p w14:paraId="512845F1" w14:textId="5C59E871"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Farmer (n 18)</w:t>
      </w:r>
      <w:r w:rsidRPr="008F72C4">
        <w:rPr>
          <w:rFonts w:ascii="Times New Roman" w:hAnsi="Times New Roman" w:cs="Times New Roman"/>
          <w:sz w:val="22"/>
          <w:szCs w:val="22"/>
        </w:rPr>
        <w:t xml:space="preserve"> at 63-64.</w:t>
      </w:r>
    </w:p>
  </w:footnote>
  <w:footnote w:id="75">
    <w:p w14:paraId="110FFE21"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Ibid </w:t>
      </w:r>
      <w:r w:rsidRPr="008F72C4">
        <w:rPr>
          <w:rFonts w:ascii="Times New Roman" w:hAnsi="Times New Roman" w:cs="Times New Roman"/>
          <w:sz w:val="22"/>
          <w:szCs w:val="22"/>
        </w:rPr>
        <w:t>at 65.</w:t>
      </w:r>
    </w:p>
  </w:footnote>
  <w:footnote w:id="76">
    <w:p w14:paraId="2D94E7B8" w14:textId="5DDD11FD"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Canning </w:t>
      </w:r>
      <w:r>
        <w:rPr>
          <w:rFonts w:ascii="Times New Roman" w:hAnsi="Times New Roman" w:cs="Times New Roman"/>
          <w:sz w:val="22"/>
          <w:szCs w:val="22"/>
        </w:rPr>
        <w:t>(n 22)</w:t>
      </w:r>
      <w:r w:rsidRPr="008F72C4">
        <w:rPr>
          <w:rFonts w:ascii="Times New Roman" w:hAnsi="Times New Roman" w:cs="Times New Roman"/>
          <w:sz w:val="22"/>
          <w:szCs w:val="22"/>
        </w:rPr>
        <w:t xml:space="preserve"> at 26-27.</w:t>
      </w:r>
    </w:p>
  </w:footnote>
  <w:footnote w:id="77">
    <w:p w14:paraId="448A4C5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Ibid</w:t>
      </w:r>
      <w:r w:rsidRPr="008F72C4">
        <w:rPr>
          <w:rFonts w:ascii="Times New Roman" w:hAnsi="Times New Roman" w:cs="Times New Roman"/>
          <w:sz w:val="22"/>
          <w:szCs w:val="22"/>
        </w:rPr>
        <w:t xml:space="preserve"> at 27.</w:t>
      </w:r>
    </w:p>
  </w:footnote>
  <w:footnote w:id="78">
    <w:p w14:paraId="08A099C7"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United Nations High Commissioner for Refugees</w:t>
      </w:r>
      <w:r>
        <w:rPr>
          <w:rFonts w:ascii="Times New Roman" w:hAnsi="Times New Roman" w:cs="Times New Roman"/>
          <w:sz w:val="22"/>
          <w:szCs w:val="22"/>
          <w:lang w:val="en-AU"/>
        </w:rPr>
        <w:t>,</w:t>
      </w:r>
      <w:r w:rsidRPr="008F72C4">
        <w:rPr>
          <w:rFonts w:ascii="Times New Roman" w:hAnsi="Times New Roman" w:cs="Times New Roman"/>
          <w:sz w:val="22"/>
          <w:szCs w:val="22"/>
          <w:lang w:val="en-AU"/>
        </w:rPr>
        <w:t xml:space="preserve"> </w:t>
      </w:r>
      <w:r w:rsidRPr="008F72C4">
        <w:rPr>
          <w:rFonts w:ascii="Times New Roman" w:hAnsi="Times New Roman" w:cs="Times New Roman"/>
          <w:i/>
          <w:sz w:val="22"/>
          <w:szCs w:val="22"/>
          <w:lang w:val="en-AU"/>
        </w:rPr>
        <w:t>Guidelines on International Protection: Gender-Related Persecution Within the Context of Article 1(A)2 of the 1951 Convention and/or its 1967 Protocol Relating to the Status of Refugees</w:t>
      </w:r>
      <w:r w:rsidRPr="008F72C4">
        <w:rPr>
          <w:rFonts w:ascii="Times New Roman" w:hAnsi="Times New Roman" w:cs="Times New Roman"/>
          <w:sz w:val="22"/>
          <w:szCs w:val="22"/>
          <w:lang w:val="en-AU"/>
        </w:rPr>
        <w:t xml:space="preserve"> </w:t>
      </w:r>
      <w:r>
        <w:rPr>
          <w:rFonts w:ascii="Times New Roman" w:hAnsi="Times New Roman" w:cs="Times New Roman"/>
          <w:sz w:val="22"/>
          <w:szCs w:val="22"/>
          <w:lang w:val="en-AU"/>
        </w:rPr>
        <w:t>(</w:t>
      </w:r>
      <w:r w:rsidRPr="008F72C4">
        <w:rPr>
          <w:rFonts w:ascii="Times New Roman" w:hAnsi="Times New Roman" w:cs="Times New Roman"/>
          <w:sz w:val="22"/>
          <w:szCs w:val="22"/>
          <w:lang w:val="en-AU"/>
        </w:rPr>
        <w:t>Geneva: UNHCR, 2002</w:t>
      </w:r>
      <w:r>
        <w:rPr>
          <w:rFonts w:ascii="Times New Roman" w:hAnsi="Times New Roman" w:cs="Times New Roman"/>
          <w:sz w:val="22"/>
          <w:szCs w:val="22"/>
          <w:lang w:val="en-AU"/>
        </w:rPr>
        <w:t xml:space="preserve">); </w:t>
      </w:r>
      <w:r w:rsidRPr="008F72C4">
        <w:rPr>
          <w:rFonts w:ascii="Times New Roman" w:eastAsia="Times New Roman" w:hAnsi="Times New Roman" w:cs="Times New Roman"/>
          <w:sz w:val="22"/>
          <w:szCs w:val="22"/>
        </w:rPr>
        <w:t>United Nations High Commissioner for Refugees</w:t>
      </w:r>
      <w:r>
        <w:rPr>
          <w:rFonts w:ascii="Times New Roman" w:hAnsi="Times New Roman" w:cs="Times New Roman"/>
          <w:sz w:val="22"/>
          <w:szCs w:val="22"/>
          <w:lang w:val="en-AU"/>
        </w:rPr>
        <w:t>,</w:t>
      </w:r>
      <w:r w:rsidRPr="008F72C4">
        <w:rPr>
          <w:rFonts w:ascii="Times New Roman" w:hAnsi="Times New Roman" w:cs="Times New Roman"/>
          <w:sz w:val="22"/>
          <w:szCs w:val="22"/>
          <w:lang w:val="en-AU"/>
        </w:rPr>
        <w:t xml:space="preserve"> </w:t>
      </w:r>
      <w:r w:rsidRPr="008F72C4">
        <w:rPr>
          <w:rFonts w:ascii="Times New Roman" w:hAnsi="Times New Roman" w:cs="Times New Roman"/>
          <w:i/>
          <w:sz w:val="22"/>
          <w:szCs w:val="22"/>
          <w:lang w:val="en-AU"/>
        </w:rPr>
        <w:t>Sexual and Gender-Based Violence Against Refugees, Returnees and Internally Displaced People: Guidelines for Prevention and Response</w:t>
      </w:r>
      <w:r w:rsidRPr="008F72C4">
        <w:rPr>
          <w:rFonts w:ascii="Times New Roman" w:hAnsi="Times New Roman" w:cs="Times New Roman"/>
          <w:sz w:val="22"/>
          <w:szCs w:val="22"/>
          <w:lang w:val="en-AU"/>
        </w:rPr>
        <w:t xml:space="preserve"> </w:t>
      </w:r>
      <w:r>
        <w:rPr>
          <w:rFonts w:ascii="Times New Roman" w:hAnsi="Times New Roman" w:cs="Times New Roman"/>
          <w:sz w:val="22"/>
          <w:szCs w:val="22"/>
          <w:lang w:val="en-AU"/>
        </w:rPr>
        <w:t>(</w:t>
      </w:r>
      <w:r w:rsidRPr="008F72C4">
        <w:rPr>
          <w:rFonts w:ascii="Times New Roman" w:hAnsi="Times New Roman" w:cs="Times New Roman"/>
          <w:sz w:val="22"/>
          <w:szCs w:val="22"/>
          <w:lang w:val="en-AU"/>
        </w:rPr>
        <w:t>Geneva: UNHCR, 2003</w:t>
      </w:r>
      <w:r>
        <w:rPr>
          <w:rFonts w:ascii="Times New Roman" w:hAnsi="Times New Roman" w:cs="Times New Roman"/>
          <w:sz w:val="22"/>
          <w:szCs w:val="22"/>
          <w:lang w:val="en-AU"/>
        </w:rPr>
        <w:t>)</w:t>
      </w:r>
      <w:r w:rsidRPr="008F72C4">
        <w:rPr>
          <w:rFonts w:ascii="Times New Roman" w:hAnsi="Times New Roman" w:cs="Times New Roman"/>
          <w:sz w:val="22"/>
          <w:szCs w:val="22"/>
          <w:lang w:val="en-AU"/>
        </w:rPr>
        <w:t>.</w:t>
      </w:r>
    </w:p>
  </w:footnote>
  <w:footnote w:id="79">
    <w:p w14:paraId="143822CA"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hAnsi="Times New Roman" w:cs="Times New Roman"/>
          <w:i/>
          <w:sz w:val="22"/>
          <w:szCs w:val="22"/>
          <w:lang w:val="en-AU"/>
        </w:rPr>
        <w:t>Directive 2013/33/EU of the European Parliament and of the Council of 26 June 2013 Laying Down Standards for the Reception of Applicants for International Protection</w:t>
      </w:r>
      <w:r w:rsidRPr="008F72C4">
        <w:rPr>
          <w:rFonts w:ascii="Times New Roman" w:hAnsi="Times New Roman" w:cs="Times New Roman"/>
          <w:sz w:val="22"/>
          <w:szCs w:val="22"/>
          <w:lang w:val="en-AU"/>
        </w:rPr>
        <w:t>, 2013.</w:t>
      </w:r>
    </w:p>
  </w:footnote>
  <w:footnote w:id="80">
    <w:p w14:paraId="489B5B66"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Jane Freedman, ‘Sexual and Gender-Based Violence Against Refugee Women: A Hidden Aspect of the Refugee “Crisis”’ (2016) 24(47) </w:t>
      </w:r>
      <w:r w:rsidRPr="008F72C4">
        <w:rPr>
          <w:rFonts w:ascii="Times New Roman" w:eastAsia="Times New Roman" w:hAnsi="Times New Roman" w:cs="Times New Roman"/>
          <w:i/>
          <w:sz w:val="22"/>
          <w:szCs w:val="22"/>
        </w:rPr>
        <w:t xml:space="preserve">Reproductive Health Matters </w:t>
      </w:r>
      <w:r w:rsidRPr="008F72C4">
        <w:rPr>
          <w:rFonts w:ascii="Times New Roman" w:eastAsia="Times New Roman" w:hAnsi="Times New Roman" w:cs="Times New Roman"/>
          <w:sz w:val="22"/>
          <w:szCs w:val="22"/>
        </w:rPr>
        <w:t xml:space="preserve">18-26 at </w:t>
      </w:r>
      <w:r w:rsidRPr="008F72C4">
        <w:rPr>
          <w:rFonts w:ascii="Times New Roman" w:hAnsi="Times New Roman" w:cs="Times New Roman"/>
          <w:sz w:val="22"/>
          <w:szCs w:val="22"/>
        </w:rPr>
        <w:t>24.</w:t>
      </w:r>
    </w:p>
  </w:footnote>
  <w:footnote w:id="81">
    <w:p w14:paraId="0B0E44DB"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Kelsey </w:t>
      </w:r>
      <w:proofErr w:type="spellStart"/>
      <w:r w:rsidRPr="008F72C4">
        <w:rPr>
          <w:rFonts w:ascii="Times New Roman" w:hAnsi="Times New Roman" w:cs="Times New Roman"/>
          <w:sz w:val="22"/>
          <w:szCs w:val="22"/>
        </w:rPr>
        <w:t>Kofford</w:t>
      </w:r>
      <w:proofErr w:type="spellEnd"/>
      <w:r w:rsidRPr="008F72C4">
        <w:rPr>
          <w:rFonts w:ascii="Times New Roman" w:hAnsi="Times New Roman" w:cs="Times New Roman"/>
          <w:sz w:val="22"/>
          <w:szCs w:val="22"/>
        </w:rPr>
        <w:t xml:space="preserve">, ‘An Examination of the Law, or Lack Thereof, in Refugee and Displacement Camps’ (2012) 35(1) </w:t>
      </w:r>
      <w:r w:rsidRPr="008F72C4">
        <w:rPr>
          <w:rFonts w:ascii="Times New Roman" w:hAnsi="Times New Roman" w:cs="Times New Roman"/>
          <w:i/>
          <w:sz w:val="22"/>
          <w:szCs w:val="22"/>
        </w:rPr>
        <w:t xml:space="preserve">Hastings International and Comparative Law Review </w:t>
      </w:r>
      <w:r w:rsidRPr="008F72C4">
        <w:rPr>
          <w:rFonts w:ascii="Times New Roman" w:hAnsi="Times New Roman" w:cs="Times New Roman"/>
          <w:sz w:val="22"/>
          <w:szCs w:val="22"/>
        </w:rPr>
        <w:t>173-216 at 185.</w:t>
      </w:r>
    </w:p>
  </w:footnote>
  <w:footnote w:id="82">
    <w:p w14:paraId="3D742F25"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Zeynep </w:t>
      </w:r>
      <w:proofErr w:type="spellStart"/>
      <w:r w:rsidRPr="008F72C4">
        <w:rPr>
          <w:rFonts w:ascii="Times New Roman" w:eastAsia="Times New Roman" w:hAnsi="Times New Roman" w:cs="Times New Roman"/>
          <w:sz w:val="22"/>
          <w:szCs w:val="22"/>
        </w:rPr>
        <w:t>Kivilcim</w:t>
      </w:r>
      <w:proofErr w:type="spellEnd"/>
      <w:r w:rsidRPr="008F72C4">
        <w:rPr>
          <w:rFonts w:ascii="Times New Roman" w:eastAsia="Times New Roman" w:hAnsi="Times New Roman" w:cs="Times New Roman"/>
          <w:sz w:val="22"/>
          <w:szCs w:val="22"/>
        </w:rPr>
        <w:t xml:space="preserve">, ‘Legal Violence Against Syrian Female Refugees in Turkey’ (2016) 24(2) </w:t>
      </w:r>
      <w:r w:rsidRPr="008F72C4">
        <w:rPr>
          <w:rFonts w:ascii="Times New Roman" w:eastAsia="Times New Roman" w:hAnsi="Times New Roman" w:cs="Times New Roman"/>
          <w:i/>
          <w:sz w:val="22"/>
          <w:szCs w:val="22"/>
        </w:rPr>
        <w:t xml:space="preserve">Feminist Legal Studies </w:t>
      </w:r>
      <w:r w:rsidRPr="008F72C4">
        <w:rPr>
          <w:rFonts w:ascii="Times New Roman" w:eastAsia="Times New Roman" w:hAnsi="Times New Roman" w:cs="Times New Roman"/>
          <w:sz w:val="22"/>
          <w:szCs w:val="22"/>
        </w:rPr>
        <w:t>193-214 at 199.</w:t>
      </w:r>
    </w:p>
  </w:footnote>
  <w:footnote w:id="83">
    <w:p w14:paraId="2D417104" w14:textId="77777777" w:rsidR="00DB5CC7" w:rsidRPr="00C911E6"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United Nations High Commissioner for Refugees, </w:t>
      </w:r>
      <w:r>
        <w:rPr>
          <w:rFonts w:ascii="Times New Roman" w:hAnsi="Times New Roman" w:cs="Times New Roman"/>
          <w:i/>
          <w:sz w:val="22"/>
          <w:szCs w:val="22"/>
        </w:rPr>
        <w:t xml:space="preserve">Guidelines on the Protection of Refugee Women </w:t>
      </w:r>
      <w:r>
        <w:rPr>
          <w:rFonts w:ascii="Times New Roman" w:hAnsi="Times New Roman" w:cs="Times New Roman"/>
          <w:sz w:val="22"/>
          <w:szCs w:val="22"/>
        </w:rPr>
        <w:t>(Geneva: UNHCR, 1991).</w:t>
      </w:r>
    </w:p>
  </w:footnote>
  <w:footnote w:id="84">
    <w:p w14:paraId="4299605F" w14:textId="1C7AF802" w:rsidR="00DB5CC7" w:rsidRPr="00FF0D6B" w:rsidRDefault="00DB5CC7" w:rsidP="00C1042E">
      <w:pPr>
        <w:pStyle w:val="FootnoteText"/>
        <w:rPr>
          <w:rFonts w:ascii="Times New Roman" w:hAnsi="Times New Roman" w:cs="Times New Roman"/>
          <w:sz w:val="22"/>
          <w:szCs w:val="22"/>
          <w:lang w:val="en-AU"/>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r w:rsidRPr="00FF0D6B">
        <w:rPr>
          <w:rFonts w:ascii="Times New Roman" w:eastAsia="Times New Roman" w:hAnsi="Times New Roman" w:cs="Times New Roman"/>
          <w:sz w:val="22"/>
          <w:szCs w:val="22"/>
        </w:rPr>
        <w:t>United Nations High Commissioner for Refugees,</w:t>
      </w:r>
      <w:r>
        <w:rPr>
          <w:rFonts w:ascii="Times New Roman" w:eastAsia="Times New Roman" w:hAnsi="Times New Roman" w:cs="Times New Roman"/>
          <w:sz w:val="22"/>
          <w:szCs w:val="22"/>
        </w:rPr>
        <w:t xml:space="preserve"> </w:t>
      </w:r>
      <w:r w:rsidRPr="008F72C4">
        <w:rPr>
          <w:rFonts w:ascii="Times New Roman" w:eastAsia="Times New Roman" w:hAnsi="Times New Roman" w:cs="Times New Roman"/>
          <w:sz w:val="22"/>
          <w:szCs w:val="22"/>
        </w:rPr>
        <w:t>‘UNHCR, Sexual Violence Against Refugees</w:t>
      </w:r>
      <w:r>
        <w:rPr>
          <w:rFonts w:ascii="Times New Roman" w:eastAsia="Times New Roman" w:hAnsi="Times New Roman" w:cs="Times New Roman"/>
          <w:sz w:val="22"/>
          <w:szCs w:val="22"/>
        </w:rPr>
        <w:t>’</w:t>
      </w:r>
      <w:r w:rsidRPr="00FF0D6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 47) </w:t>
      </w:r>
      <w:r w:rsidRPr="00FF0D6B">
        <w:rPr>
          <w:rFonts w:ascii="Times New Roman" w:eastAsia="Times New Roman" w:hAnsi="Times New Roman" w:cs="Times New Roman"/>
          <w:sz w:val="22"/>
          <w:szCs w:val="22"/>
        </w:rPr>
        <w:t>at 722-723.</w:t>
      </w:r>
    </w:p>
  </w:footnote>
  <w:footnote w:id="85">
    <w:p w14:paraId="11130604" w14:textId="77777777" w:rsidR="00DB5CC7" w:rsidRPr="00FF0D6B" w:rsidRDefault="00DB5CC7" w:rsidP="00C1042E">
      <w:pPr>
        <w:pStyle w:val="FootnoteText"/>
        <w:rPr>
          <w:rFonts w:ascii="Times New Roman" w:hAnsi="Times New Roman" w:cs="Times New Roman"/>
          <w:sz w:val="22"/>
          <w:szCs w:val="22"/>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FF0D6B">
        <w:rPr>
          <w:rFonts w:ascii="Times New Roman" w:eastAsia="Times New Roman" w:hAnsi="Times New Roman" w:cs="Times New Roman"/>
          <w:sz w:val="22"/>
          <w:szCs w:val="22"/>
        </w:rPr>
        <w:t xml:space="preserve"> at </w:t>
      </w:r>
      <w:r w:rsidRPr="00FF0D6B">
        <w:rPr>
          <w:rFonts w:ascii="Times New Roman" w:hAnsi="Times New Roman" w:cs="Times New Roman"/>
          <w:sz w:val="22"/>
          <w:szCs w:val="22"/>
        </w:rPr>
        <w:t>723.</w:t>
      </w:r>
    </w:p>
  </w:footnote>
  <w:footnote w:id="86">
    <w:p w14:paraId="21DA7157" w14:textId="0E6906EA"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Times New Roman" w:hAnsi="Times New Roman" w:cs="Times New Roman"/>
          <w:sz w:val="22"/>
          <w:szCs w:val="22"/>
        </w:rPr>
        <w:t>Fowler, Dugan-</w:t>
      </w:r>
      <w:proofErr w:type="spellStart"/>
      <w:r>
        <w:rPr>
          <w:rFonts w:ascii="Times New Roman" w:eastAsia="Times New Roman" w:hAnsi="Times New Roman" w:cs="Times New Roman"/>
          <w:sz w:val="22"/>
          <w:szCs w:val="22"/>
        </w:rPr>
        <w:t>Mair</w:t>
      </w:r>
      <w:proofErr w:type="spellEnd"/>
      <w:r>
        <w:rPr>
          <w:rFonts w:ascii="Times New Roman" w:eastAsia="Times New Roman" w:hAnsi="Times New Roman" w:cs="Times New Roman"/>
          <w:sz w:val="22"/>
          <w:szCs w:val="22"/>
        </w:rPr>
        <w:t xml:space="preserve"> and </w:t>
      </w:r>
      <w:r w:rsidRPr="008F72C4">
        <w:rPr>
          <w:rFonts w:ascii="Times New Roman" w:eastAsia="Times New Roman" w:hAnsi="Times New Roman" w:cs="Times New Roman"/>
          <w:sz w:val="22"/>
          <w:szCs w:val="22"/>
        </w:rPr>
        <w:t xml:space="preserve">Bolton </w:t>
      </w:r>
      <w:r>
        <w:rPr>
          <w:rFonts w:ascii="Times New Roman" w:eastAsia="Times New Roman" w:hAnsi="Times New Roman" w:cs="Times New Roman"/>
          <w:sz w:val="22"/>
          <w:szCs w:val="22"/>
        </w:rPr>
        <w:t xml:space="preserve">(n 15)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3.</w:t>
      </w:r>
    </w:p>
  </w:footnote>
  <w:footnote w:id="87">
    <w:p w14:paraId="543ADEB0" w14:textId="66D9EC31"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United Nations High Commissioner for Refugees</w:t>
      </w:r>
      <w:r>
        <w:rPr>
          <w:rFonts w:ascii="Times New Roman" w:hAnsi="Times New Roman" w:cs="Times New Roman"/>
          <w:sz w:val="22"/>
          <w:szCs w:val="22"/>
          <w:lang w:val="en-AU"/>
        </w:rPr>
        <w:t>,</w:t>
      </w:r>
      <w:r w:rsidRPr="008F72C4">
        <w:rPr>
          <w:rFonts w:ascii="Times New Roman" w:hAnsi="Times New Roman" w:cs="Times New Roman"/>
          <w:sz w:val="22"/>
          <w:szCs w:val="22"/>
          <w:lang w:val="en-AU"/>
        </w:rPr>
        <w:t xml:space="preserve"> </w:t>
      </w:r>
      <w:r w:rsidRPr="008F72C4">
        <w:rPr>
          <w:rFonts w:ascii="Times New Roman" w:hAnsi="Times New Roman" w:cs="Times New Roman"/>
          <w:i/>
          <w:sz w:val="22"/>
          <w:szCs w:val="22"/>
          <w:lang w:val="en-AU"/>
        </w:rPr>
        <w:t>Sexual and Gender-Based Violence Against Refugees</w:t>
      </w:r>
      <w:r>
        <w:rPr>
          <w:rFonts w:ascii="Times New Roman" w:hAnsi="Times New Roman" w:cs="Times New Roman"/>
          <w:sz w:val="22"/>
          <w:szCs w:val="22"/>
          <w:lang w:val="en-AU"/>
        </w:rPr>
        <w:t xml:space="preserve"> (2003) (n 78) at 11. See: </w:t>
      </w:r>
      <w:r w:rsidRPr="008F72C4">
        <w:rPr>
          <w:rFonts w:ascii="Times New Roman" w:hAnsi="Times New Roman" w:cs="Times New Roman"/>
          <w:sz w:val="22"/>
          <w:szCs w:val="22"/>
        </w:rPr>
        <w:t xml:space="preserve">Carrie </w:t>
      </w:r>
      <w:r w:rsidRPr="008F72C4">
        <w:rPr>
          <w:rFonts w:ascii="Times New Roman" w:eastAsia="Times New Roman" w:hAnsi="Times New Roman" w:cs="Times New Roman"/>
          <w:sz w:val="22"/>
          <w:szCs w:val="22"/>
        </w:rPr>
        <w:t xml:space="preserve">Hough, ‘Understanding Refugees’ Concepts of Sexual and Gender-Based Violence’ (2013) 43 </w:t>
      </w:r>
      <w:r w:rsidRPr="008F72C4">
        <w:rPr>
          <w:rFonts w:ascii="Times New Roman" w:eastAsia="Times New Roman" w:hAnsi="Times New Roman" w:cs="Times New Roman"/>
          <w:i/>
          <w:sz w:val="22"/>
          <w:szCs w:val="22"/>
        </w:rPr>
        <w:t xml:space="preserve">Forced Migration Review </w:t>
      </w:r>
      <w:r w:rsidRPr="008F72C4">
        <w:rPr>
          <w:rFonts w:ascii="Times New Roman" w:eastAsia="Times New Roman" w:hAnsi="Times New Roman" w:cs="Times New Roman"/>
          <w:sz w:val="22"/>
          <w:szCs w:val="22"/>
        </w:rPr>
        <w:t>81-83 at 81.</w:t>
      </w:r>
    </w:p>
  </w:footnote>
  <w:footnote w:id="88">
    <w:p w14:paraId="717DD5BC" w14:textId="77777777" w:rsidR="00DB5CC7" w:rsidRPr="0043426C" w:rsidRDefault="00DB5CC7" w:rsidP="00C1042E">
      <w:pPr>
        <w:pStyle w:val="FootnoteText"/>
        <w:rPr>
          <w:lang w:val="en-AU"/>
        </w:rPr>
      </w:pPr>
      <w:r w:rsidRPr="00963640">
        <w:rPr>
          <w:rStyle w:val="FootnoteReference"/>
          <w:rFonts w:ascii="Times New Roman" w:hAnsi="Times New Roman" w:cs="Times New Roman"/>
          <w:sz w:val="22"/>
          <w:szCs w:val="22"/>
        </w:rPr>
        <w:footnoteRef/>
      </w:r>
      <w:r w:rsidRPr="00963640">
        <w:rPr>
          <w:rFonts w:ascii="Times New Roman" w:hAnsi="Times New Roman" w:cs="Times New Roman"/>
          <w:sz w:val="22"/>
          <w:szCs w:val="22"/>
        </w:rPr>
        <w:t xml:space="preserve"> </w:t>
      </w:r>
      <w:r>
        <w:rPr>
          <w:rFonts w:ascii="Times New Roman" w:hAnsi="Times New Roman" w:cs="Times New Roman"/>
          <w:sz w:val="22"/>
          <w:szCs w:val="22"/>
          <w:lang w:val="en-AU"/>
        </w:rPr>
        <w:t>Ibid.</w:t>
      </w:r>
    </w:p>
  </w:footnote>
  <w:footnote w:id="89">
    <w:p w14:paraId="037D784C"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proofErr w:type="spellStart"/>
      <w:r>
        <w:rPr>
          <w:rFonts w:ascii="Times New Roman" w:hAnsi="Times New Roman" w:cs="Times New Roman"/>
          <w:sz w:val="22"/>
          <w:szCs w:val="22"/>
        </w:rPr>
        <w:t>Ramin</w:t>
      </w:r>
      <w:proofErr w:type="spellEnd"/>
      <w:r>
        <w:rPr>
          <w:rFonts w:ascii="Times New Roman" w:hAnsi="Times New Roman" w:cs="Times New Roman"/>
          <w:sz w:val="22"/>
          <w:szCs w:val="22"/>
        </w:rPr>
        <w:t xml:space="preserve"> </w:t>
      </w:r>
      <w:proofErr w:type="spellStart"/>
      <w:r w:rsidRPr="008F72C4">
        <w:rPr>
          <w:rFonts w:ascii="Times New Roman" w:eastAsia="Times New Roman" w:hAnsi="Times New Roman" w:cs="Times New Roman"/>
          <w:sz w:val="22"/>
          <w:szCs w:val="22"/>
        </w:rPr>
        <w:t>Asgary</w:t>
      </w:r>
      <w:proofErr w:type="spellEnd"/>
      <w:r w:rsidRPr="008F72C4">
        <w:rPr>
          <w:rFonts w:ascii="Times New Roman" w:eastAsia="Times New Roman" w:hAnsi="Times New Roman" w:cs="Times New Roman"/>
          <w:sz w:val="22"/>
          <w:szCs w:val="22"/>
        </w:rPr>
        <w:t xml:space="preserve">, Eleanor Emery and Marcia Wong, ‘Systemic Review of Prevention and Management Strategies for the Consequences of Gender-Based Violence in Refugee Settings’ (2013) 5(2) </w:t>
      </w:r>
      <w:r w:rsidRPr="008F72C4">
        <w:rPr>
          <w:rFonts w:ascii="Times New Roman" w:eastAsia="Times New Roman" w:hAnsi="Times New Roman" w:cs="Times New Roman"/>
          <w:i/>
          <w:sz w:val="22"/>
          <w:szCs w:val="22"/>
        </w:rPr>
        <w:t xml:space="preserve">International Health </w:t>
      </w:r>
      <w:r w:rsidRPr="008F72C4">
        <w:rPr>
          <w:rFonts w:ascii="Times New Roman" w:eastAsia="Times New Roman" w:hAnsi="Times New Roman" w:cs="Times New Roman"/>
          <w:sz w:val="22"/>
          <w:szCs w:val="22"/>
        </w:rPr>
        <w:t>85-91 at 85-86.</w:t>
      </w:r>
    </w:p>
  </w:footnote>
  <w:footnote w:id="90">
    <w:p w14:paraId="7F7CBDC4" w14:textId="6990F7BA"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hAnsi="Times New Roman" w:cs="Times New Roman"/>
          <w:sz w:val="22"/>
          <w:szCs w:val="22"/>
          <w:lang w:val="en-AU"/>
        </w:rPr>
        <w:t xml:space="preserve">United Nations </w:t>
      </w:r>
      <w:r>
        <w:rPr>
          <w:rFonts w:ascii="Times New Roman" w:hAnsi="Times New Roman" w:cs="Times New Roman"/>
          <w:sz w:val="22"/>
          <w:szCs w:val="22"/>
          <w:lang w:val="en-AU"/>
        </w:rPr>
        <w:t xml:space="preserve">High </w:t>
      </w:r>
      <w:r w:rsidRPr="008F72C4">
        <w:rPr>
          <w:rFonts w:ascii="Times New Roman" w:hAnsi="Times New Roman" w:cs="Times New Roman"/>
          <w:sz w:val="22"/>
          <w:szCs w:val="22"/>
          <w:lang w:val="en-AU"/>
        </w:rPr>
        <w:t>Commissioner for Refugees</w:t>
      </w:r>
      <w:r>
        <w:rPr>
          <w:rFonts w:ascii="Times New Roman" w:hAnsi="Times New Roman" w:cs="Times New Roman"/>
          <w:sz w:val="22"/>
          <w:szCs w:val="22"/>
          <w:lang w:val="en-AU"/>
        </w:rPr>
        <w:t>,</w:t>
      </w:r>
      <w:r w:rsidRPr="008F72C4">
        <w:rPr>
          <w:rFonts w:ascii="Times New Roman" w:hAnsi="Times New Roman" w:cs="Times New Roman"/>
          <w:sz w:val="22"/>
          <w:szCs w:val="22"/>
          <w:lang w:val="en-AU"/>
        </w:rPr>
        <w:t xml:space="preserve"> </w:t>
      </w:r>
      <w:r w:rsidRPr="008F72C4">
        <w:rPr>
          <w:rFonts w:ascii="Times New Roman" w:hAnsi="Times New Roman" w:cs="Times New Roman"/>
          <w:i/>
          <w:sz w:val="22"/>
          <w:szCs w:val="22"/>
          <w:lang w:val="en-AU"/>
        </w:rPr>
        <w:t>Sexual and Gender-Based Violence Against Refugees</w:t>
      </w:r>
      <w:r>
        <w:rPr>
          <w:rFonts w:ascii="Times New Roman" w:hAnsi="Times New Roman" w:cs="Times New Roman"/>
          <w:sz w:val="22"/>
          <w:szCs w:val="22"/>
          <w:lang w:val="en-AU"/>
        </w:rPr>
        <w:t xml:space="preserve"> (2003)</w:t>
      </w:r>
      <w:r w:rsidRPr="008F72C4">
        <w:rPr>
          <w:rFonts w:ascii="Times New Roman" w:hAnsi="Times New Roman" w:cs="Times New Roman"/>
          <w:i/>
          <w:sz w:val="22"/>
          <w:szCs w:val="22"/>
          <w:lang w:val="en-AU"/>
        </w:rPr>
        <w:t xml:space="preserve"> </w:t>
      </w:r>
      <w:r>
        <w:rPr>
          <w:rFonts w:ascii="Times New Roman" w:hAnsi="Times New Roman" w:cs="Times New Roman"/>
          <w:sz w:val="22"/>
          <w:szCs w:val="22"/>
          <w:lang w:val="en-AU"/>
        </w:rPr>
        <w:t xml:space="preserve">(n 78) at 10. See: </w:t>
      </w:r>
      <w:r>
        <w:rPr>
          <w:rFonts w:ascii="Times New Roman" w:eastAsia="Times New Roman" w:hAnsi="Times New Roman" w:cs="Times New Roman"/>
          <w:sz w:val="22"/>
          <w:szCs w:val="22"/>
        </w:rPr>
        <w:t>Fowler, Dugan-</w:t>
      </w:r>
      <w:proofErr w:type="spellStart"/>
      <w:r>
        <w:rPr>
          <w:rFonts w:ascii="Times New Roman" w:eastAsia="Times New Roman" w:hAnsi="Times New Roman" w:cs="Times New Roman"/>
          <w:sz w:val="22"/>
          <w:szCs w:val="22"/>
        </w:rPr>
        <w:t>Mair</w:t>
      </w:r>
      <w:proofErr w:type="spellEnd"/>
      <w:r>
        <w:rPr>
          <w:rFonts w:ascii="Times New Roman" w:eastAsia="Times New Roman" w:hAnsi="Times New Roman" w:cs="Times New Roman"/>
          <w:sz w:val="22"/>
          <w:szCs w:val="22"/>
        </w:rPr>
        <w:t xml:space="preserve"> and </w:t>
      </w:r>
      <w:r w:rsidRPr="008F72C4">
        <w:rPr>
          <w:rFonts w:ascii="Times New Roman" w:eastAsia="Times New Roman" w:hAnsi="Times New Roman" w:cs="Times New Roman"/>
          <w:sz w:val="22"/>
          <w:szCs w:val="22"/>
        </w:rPr>
        <w:t xml:space="preserve">Bolton </w:t>
      </w:r>
      <w:r>
        <w:rPr>
          <w:rFonts w:ascii="Times New Roman" w:eastAsia="Times New Roman" w:hAnsi="Times New Roman" w:cs="Times New Roman"/>
          <w:sz w:val="22"/>
          <w:szCs w:val="22"/>
        </w:rPr>
        <w:t xml:space="preserve">(n 15)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3.</w:t>
      </w:r>
    </w:p>
  </w:footnote>
  <w:footnote w:id="91">
    <w:p w14:paraId="6F891750" w14:textId="77777777" w:rsidR="00DB5CC7" w:rsidRDefault="00DB5CC7" w:rsidP="00C1042E">
      <w:pPr>
        <w:pStyle w:val="FootnoteText"/>
      </w:pPr>
      <w:r w:rsidRPr="007C0BA9">
        <w:rPr>
          <w:rStyle w:val="FootnoteReference"/>
          <w:rFonts w:ascii="Times New Roman" w:hAnsi="Times New Roman" w:cs="Times New Roman"/>
          <w:sz w:val="22"/>
          <w:szCs w:val="22"/>
        </w:rPr>
        <w:footnoteRef/>
      </w:r>
      <w:r w:rsidRPr="007C0BA9">
        <w:rPr>
          <w:rStyle w:val="FootnoteReference"/>
          <w:rFonts w:ascii="Times New Roman" w:hAnsi="Times New Roman" w:cs="Times New Roman"/>
          <w:sz w:val="22"/>
          <w:szCs w:val="22"/>
        </w:rPr>
        <w:t xml:space="preserve"> </w:t>
      </w:r>
      <w:r>
        <w:rPr>
          <w:rFonts w:ascii="Times New Roman" w:hAnsi="Times New Roman" w:cs="Times New Roman"/>
          <w:sz w:val="22"/>
          <w:szCs w:val="22"/>
        </w:rPr>
        <w:t>SC Res 1325, UN SCOR, 4213</w:t>
      </w:r>
      <w:r w:rsidRPr="00BB1FB1">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spellStart"/>
      <w:r>
        <w:rPr>
          <w:rFonts w:ascii="Times New Roman" w:hAnsi="Times New Roman" w:cs="Times New Roman"/>
          <w:sz w:val="22"/>
          <w:szCs w:val="22"/>
        </w:rPr>
        <w:t>mtg</w:t>
      </w:r>
      <w:proofErr w:type="spellEnd"/>
      <w:r>
        <w:rPr>
          <w:rFonts w:ascii="Times New Roman" w:hAnsi="Times New Roman" w:cs="Times New Roman"/>
          <w:sz w:val="22"/>
          <w:szCs w:val="22"/>
        </w:rPr>
        <w:t>, UN Doc S/RES/1325 (31 October 2000).</w:t>
      </w:r>
    </w:p>
  </w:footnote>
  <w:footnote w:id="92">
    <w:p w14:paraId="795055DD" w14:textId="3B253CCB"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hAnsi="Times New Roman" w:cs="Times New Roman"/>
          <w:sz w:val="22"/>
          <w:szCs w:val="22"/>
        </w:rPr>
        <w:t xml:space="preserve">Ibid at [10]. See: </w:t>
      </w:r>
      <w:r w:rsidRPr="008F72C4">
        <w:rPr>
          <w:rFonts w:ascii="Times New Roman" w:hAnsi="Times New Roman" w:cs="Times New Roman"/>
          <w:sz w:val="22"/>
          <w:szCs w:val="22"/>
        </w:rPr>
        <w:t xml:space="preserve">Condon </w:t>
      </w:r>
      <w:r>
        <w:rPr>
          <w:rFonts w:ascii="Times New Roman" w:hAnsi="Times New Roman" w:cs="Times New Roman"/>
          <w:sz w:val="22"/>
          <w:szCs w:val="22"/>
        </w:rPr>
        <w:t>(n 61)</w:t>
      </w:r>
      <w:r w:rsidRPr="008F72C4">
        <w:rPr>
          <w:rFonts w:ascii="Times New Roman" w:hAnsi="Times New Roman" w:cs="Times New Roman"/>
          <w:sz w:val="22"/>
          <w:szCs w:val="22"/>
        </w:rPr>
        <w:t xml:space="preserve"> at 30.</w:t>
      </w:r>
    </w:p>
  </w:footnote>
  <w:footnote w:id="93">
    <w:p w14:paraId="19FAFE97"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Chris Dolan, ‘Letting Go of the Gender Binary: Charting New Pathways for Humanitarian Intervention on Gender-Based Violence’ (2014) 96(894) </w:t>
      </w:r>
      <w:r w:rsidRPr="008F72C4">
        <w:rPr>
          <w:rFonts w:ascii="Times New Roman" w:eastAsia="Times New Roman" w:hAnsi="Times New Roman" w:cs="Times New Roman"/>
          <w:i/>
          <w:sz w:val="22"/>
          <w:szCs w:val="22"/>
        </w:rPr>
        <w:t xml:space="preserve">International Review of the Red Cross </w:t>
      </w:r>
      <w:r w:rsidRPr="008F72C4">
        <w:rPr>
          <w:rFonts w:ascii="Times New Roman" w:eastAsia="Times New Roman" w:hAnsi="Times New Roman" w:cs="Times New Roman"/>
          <w:sz w:val="22"/>
          <w:szCs w:val="22"/>
        </w:rPr>
        <w:t xml:space="preserve">485-501 at </w:t>
      </w:r>
      <w:r w:rsidRPr="008F72C4">
        <w:rPr>
          <w:rFonts w:ascii="Times New Roman" w:hAnsi="Times New Roman" w:cs="Times New Roman"/>
          <w:sz w:val="22"/>
          <w:szCs w:val="22"/>
        </w:rPr>
        <w:t>490.</w:t>
      </w:r>
    </w:p>
  </w:footnote>
  <w:footnote w:id="94">
    <w:p w14:paraId="4D05B1B5" w14:textId="1750FCCA"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bookmarkStart w:id="8" w:name="_Hlk520074676"/>
      <w:r>
        <w:rPr>
          <w:rFonts w:ascii="Times New Roman" w:eastAsia="Times New Roman" w:hAnsi="Times New Roman" w:cs="Times New Roman"/>
          <w:sz w:val="22"/>
          <w:szCs w:val="22"/>
        </w:rPr>
        <w:t xml:space="preserve">Marsh, </w:t>
      </w:r>
      <w:proofErr w:type="spellStart"/>
      <w:r>
        <w:rPr>
          <w:rFonts w:ascii="Times New Roman" w:eastAsia="Times New Roman" w:hAnsi="Times New Roman" w:cs="Times New Roman"/>
          <w:sz w:val="22"/>
          <w:szCs w:val="22"/>
        </w:rPr>
        <w:t>Purdin</w:t>
      </w:r>
      <w:proofErr w:type="spellEnd"/>
      <w:r>
        <w:rPr>
          <w:rFonts w:ascii="Times New Roman" w:eastAsia="Times New Roman" w:hAnsi="Times New Roman" w:cs="Times New Roman"/>
          <w:sz w:val="22"/>
          <w:szCs w:val="22"/>
        </w:rPr>
        <w:t xml:space="preserve"> and </w:t>
      </w:r>
      <w:proofErr w:type="spellStart"/>
      <w:r w:rsidRPr="008F72C4">
        <w:rPr>
          <w:rFonts w:ascii="Times New Roman" w:eastAsia="Times New Roman" w:hAnsi="Times New Roman" w:cs="Times New Roman"/>
          <w:sz w:val="22"/>
          <w:szCs w:val="22"/>
        </w:rPr>
        <w:t>Navani</w:t>
      </w:r>
      <w:proofErr w:type="spellEnd"/>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 3)</w:t>
      </w:r>
      <w:r w:rsidRPr="008F72C4">
        <w:rPr>
          <w:rFonts w:ascii="Times New Roman" w:eastAsia="Times New Roman" w:hAnsi="Times New Roman" w:cs="Times New Roman"/>
          <w:sz w:val="22"/>
          <w:szCs w:val="22"/>
        </w:rPr>
        <w:t xml:space="preserve"> at </w:t>
      </w:r>
      <w:bookmarkEnd w:id="8"/>
      <w:r w:rsidRPr="008F72C4">
        <w:rPr>
          <w:rFonts w:ascii="Times New Roman" w:hAnsi="Times New Roman" w:cs="Times New Roman"/>
          <w:sz w:val="22"/>
          <w:szCs w:val="22"/>
        </w:rPr>
        <w:t>141.</w:t>
      </w:r>
    </w:p>
  </w:footnote>
  <w:footnote w:id="95">
    <w:p w14:paraId="6E7F5833" w14:textId="77777777" w:rsidR="00DB5CC7" w:rsidRDefault="00DB5CC7" w:rsidP="00C1042E">
      <w:pPr>
        <w:pStyle w:val="FootnoteText"/>
      </w:pPr>
      <w:r w:rsidRPr="002878C0">
        <w:rPr>
          <w:rStyle w:val="FootnoteReference"/>
          <w:rFonts w:ascii="Times New Roman" w:hAnsi="Times New Roman" w:cs="Times New Roman"/>
          <w:sz w:val="22"/>
          <w:szCs w:val="22"/>
        </w:rPr>
        <w:footnoteRef/>
      </w:r>
      <w:r w:rsidRPr="002878C0">
        <w:rPr>
          <w:rStyle w:val="FootnoteReference"/>
          <w:rFonts w:ascii="Times New Roman" w:hAnsi="Times New Roman" w:cs="Times New Roman"/>
          <w:sz w:val="22"/>
          <w:szCs w:val="22"/>
        </w:rPr>
        <w:t xml:space="preserve"> </w:t>
      </w:r>
      <w:r w:rsidRPr="002878C0">
        <w:rPr>
          <w:rFonts w:ascii="Times New Roman" w:hAnsi="Times New Roman" w:cs="Times New Roman"/>
          <w:sz w:val="22"/>
          <w:szCs w:val="22"/>
        </w:rPr>
        <w:t xml:space="preserve">Inter-Agency Standing Committee, </w:t>
      </w:r>
      <w:r w:rsidRPr="002D483B">
        <w:rPr>
          <w:rFonts w:ascii="Times New Roman" w:hAnsi="Times New Roman" w:cs="Times New Roman"/>
          <w:i/>
          <w:sz w:val="22"/>
          <w:szCs w:val="22"/>
        </w:rPr>
        <w:t>Guidelines for Gender-Based Violence Interventions in Humanitarian Settings: Focusing on Prevention of and Response to Sexual Violence in Emergencies</w:t>
      </w:r>
      <w:r w:rsidRPr="002878C0">
        <w:rPr>
          <w:rFonts w:ascii="Times New Roman" w:hAnsi="Times New Roman" w:cs="Times New Roman"/>
          <w:sz w:val="22"/>
          <w:szCs w:val="22"/>
        </w:rPr>
        <w:t xml:space="preserve"> (Geneva: </w:t>
      </w:r>
      <w:r>
        <w:rPr>
          <w:rFonts w:ascii="Times New Roman" w:hAnsi="Times New Roman" w:cs="Times New Roman"/>
          <w:sz w:val="22"/>
          <w:szCs w:val="22"/>
        </w:rPr>
        <w:t>IASC, 200</w:t>
      </w:r>
      <w:r w:rsidRPr="002878C0">
        <w:rPr>
          <w:rFonts w:ascii="Times New Roman" w:hAnsi="Times New Roman" w:cs="Times New Roman"/>
          <w:sz w:val="22"/>
          <w:szCs w:val="22"/>
        </w:rPr>
        <w:t>5)</w:t>
      </w:r>
      <w:r>
        <w:rPr>
          <w:rFonts w:ascii="Times New Roman" w:hAnsi="Times New Roman" w:cs="Times New Roman"/>
          <w:sz w:val="22"/>
          <w:szCs w:val="22"/>
        </w:rPr>
        <w:t xml:space="preserve"> at 2</w:t>
      </w:r>
      <w:r w:rsidRPr="002878C0">
        <w:rPr>
          <w:rFonts w:ascii="Times New Roman" w:hAnsi="Times New Roman" w:cs="Times New Roman"/>
          <w:sz w:val="22"/>
          <w:szCs w:val="22"/>
        </w:rPr>
        <w:t>.</w:t>
      </w:r>
    </w:p>
  </w:footnote>
  <w:footnote w:id="96">
    <w:p w14:paraId="26678880" w14:textId="7735FDD9"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Times New Roman" w:hAnsi="Times New Roman" w:cs="Times New Roman"/>
          <w:sz w:val="22"/>
          <w:szCs w:val="22"/>
        </w:rPr>
        <w:t xml:space="preserve">Marsh, </w:t>
      </w:r>
      <w:proofErr w:type="spellStart"/>
      <w:r w:rsidRPr="008F72C4">
        <w:rPr>
          <w:rFonts w:ascii="Times New Roman" w:eastAsia="Times New Roman" w:hAnsi="Times New Roman" w:cs="Times New Roman"/>
          <w:sz w:val="22"/>
          <w:szCs w:val="22"/>
        </w:rPr>
        <w:t>Purdin</w:t>
      </w:r>
      <w:proofErr w:type="spellEnd"/>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w:t>
      </w:r>
      <w:proofErr w:type="spellStart"/>
      <w:r w:rsidRPr="008F72C4">
        <w:rPr>
          <w:rFonts w:ascii="Times New Roman" w:eastAsia="Times New Roman" w:hAnsi="Times New Roman" w:cs="Times New Roman"/>
          <w:sz w:val="22"/>
          <w:szCs w:val="22"/>
        </w:rPr>
        <w:t>Navani</w:t>
      </w:r>
      <w:proofErr w:type="spellEnd"/>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 3)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144.</w:t>
      </w:r>
    </w:p>
  </w:footnote>
  <w:footnote w:id="97">
    <w:p w14:paraId="6CEC6699"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Pamela </w:t>
      </w:r>
      <w:proofErr w:type="spellStart"/>
      <w:r w:rsidRPr="00F34A6B">
        <w:rPr>
          <w:rFonts w:ascii="Times New Roman" w:hAnsi="Times New Roman" w:cs="Times New Roman"/>
          <w:sz w:val="22"/>
          <w:szCs w:val="22"/>
        </w:rPr>
        <w:t>Lilleston</w:t>
      </w:r>
      <w:proofErr w:type="spellEnd"/>
      <w:r w:rsidRPr="00F34A6B">
        <w:rPr>
          <w:rFonts w:ascii="Times New Roman" w:hAnsi="Times New Roman" w:cs="Times New Roman"/>
          <w:sz w:val="22"/>
          <w:szCs w:val="22"/>
        </w:rPr>
        <w:t xml:space="preserve"> et al, ‘Evaluation of a Mobile Approach to Gender-Based Violence Service Delivery Among Syrian Refugees’ (2018) 33(7) </w:t>
      </w:r>
      <w:r w:rsidRPr="00F34A6B">
        <w:rPr>
          <w:rFonts w:ascii="Times New Roman" w:hAnsi="Times New Roman" w:cs="Times New Roman"/>
          <w:i/>
          <w:sz w:val="22"/>
          <w:szCs w:val="22"/>
        </w:rPr>
        <w:t>Health Policy and Planning</w:t>
      </w:r>
      <w:r w:rsidRPr="00F34A6B">
        <w:rPr>
          <w:rFonts w:ascii="Times New Roman" w:hAnsi="Times New Roman" w:cs="Times New Roman"/>
          <w:sz w:val="22"/>
          <w:szCs w:val="22"/>
        </w:rPr>
        <w:t xml:space="preserve"> 767-776 at 767-768.</w:t>
      </w:r>
    </w:p>
  </w:footnote>
  <w:footnote w:id="98">
    <w:p w14:paraId="4428DC17"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N Glass et al, ‘Evaluating the Communities Care Program: Best Practice for Rigorous Research to Evaluate Gender Based Violence Prevention and Response Programs in Humanitarian Settings’ (2018) 12(5) </w:t>
      </w:r>
      <w:r w:rsidRPr="00F34A6B">
        <w:rPr>
          <w:rFonts w:ascii="Times New Roman" w:hAnsi="Times New Roman" w:cs="Times New Roman"/>
          <w:i/>
          <w:sz w:val="22"/>
          <w:szCs w:val="22"/>
        </w:rPr>
        <w:t xml:space="preserve">Conflict and Healthy </w:t>
      </w:r>
      <w:r w:rsidRPr="00F34A6B">
        <w:rPr>
          <w:rFonts w:ascii="Times New Roman" w:hAnsi="Times New Roman" w:cs="Times New Roman"/>
          <w:sz w:val="22"/>
          <w:szCs w:val="22"/>
        </w:rPr>
        <w:t xml:space="preserve">1-10 </w:t>
      </w:r>
      <w:r>
        <w:rPr>
          <w:rFonts w:ascii="Times New Roman" w:hAnsi="Times New Roman" w:cs="Times New Roman"/>
          <w:sz w:val="22"/>
          <w:szCs w:val="22"/>
        </w:rPr>
        <w:t xml:space="preserve">at </w:t>
      </w:r>
      <w:r w:rsidRPr="00F34A6B">
        <w:rPr>
          <w:rFonts w:ascii="Times New Roman" w:hAnsi="Times New Roman" w:cs="Times New Roman"/>
          <w:sz w:val="22"/>
          <w:szCs w:val="22"/>
        </w:rPr>
        <w:t>2.</w:t>
      </w:r>
    </w:p>
  </w:footnote>
  <w:footnote w:id="99">
    <w:p w14:paraId="6E903665"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Inter-Agency Standing Committee, </w:t>
      </w:r>
      <w:r w:rsidRPr="00F34A6B">
        <w:rPr>
          <w:rFonts w:ascii="Times New Roman" w:hAnsi="Times New Roman" w:cs="Times New Roman"/>
          <w:i/>
          <w:sz w:val="22"/>
          <w:szCs w:val="22"/>
        </w:rPr>
        <w:t xml:space="preserve">Guidelines for Integrating Gender-Based Violence Interventions in Humanitarian Action: Reducing Risk, Promoting Resilience and Aiding Recovery </w:t>
      </w:r>
      <w:r w:rsidRPr="00F34A6B">
        <w:rPr>
          <w:rFonts w:ascii="Times New Roman" w:hAnsi="Times New Roman" w:cs="Times New Roman"/>
          <w:sz w:val="22"/>
          <w:szCs w:val="22"/>
        </w:rPr>
        <w:t xml:space="preserve">(Geneva: </w:t>
      </w:r>
      <w:r>
        <w:rPr>
          <w:rFonts w:ascii="Times New Roman" w:hAnsi="Times New Roman" w:cs="Times New Roman"/>
          <w:sz w:val="22"/>
          <w:szCs w:val="22"/>
        </w:rPr>
        <w:t>IASC</w:t>
      </w:r>
      <w:r w:rsidRPr="00F34A6B">
        <w:rPr>
          <w:rFonts w:ascii="Times New Roman" w:hAnsi="Times New Roman" w:cs="Times New Roman"/>
          <w:sz w:val="22"/>
          <w:szCs w:val="22"/>
        </w:rPr>
        <w:t>, 2015) at 5.</w:t>
      </w:r>
    </w:p>
  </w:footnote>
  <w:footnote w:id="100">
    <w:p w14:paraId="2D83AAF1" w14:textId="75AD1390" w:rsidR="00DB5CC7" w:rsidRDefault="00DB5CC7" w:rsidP="00C1042E">
      <w:pPr>
        <w:pStyle w:val="FootnoteText"/>
      </w:pPr>
      <w:r w:rsidRPr="000C1D07">
        <w:rPr>
          <w:rStyle w:val="FootnoteReference"/>
          <w:rFonts w:ascii="Times New Roman" w:hAnsi="Times New Roman" w:cs="Times New Roman"/>
          <w:sz w:val="22"/>
          <w:szCs w:val="22"/>
        </w:rPr>
        <w:footnoteRef/>
      </w:r>
      <w:r w:rsidRPr="000C1D07">
        <w:rPr>
          <w:rStyle w:val="FootnoteReference"/>
          <w:rFonts w:ascii="Times New Roman" w:hAnsi="Times New Roman" w:cs="Times New Roman"/>
          <w:sz w:val="22"/>
          <w:szCs w:val="22"/>
        </w:rPr>
        <w:t xml:space="preserve"> </w:t>
      </w:r>
      <w:r w:rsidRPr="00FF0D6B">
        <w:rPr>
          <w:rFonts w:ascii="Times New Roman" w:eastAsia="Times New Roman" w:hAnsi="Times New Roman" w:cs="Times New Roman"/>
          <w:sz w:val="22"/>
          <w:szCs w:val="22"/>
        </w:rPr>
        <w:t xml:space="preserve">Hynes and Cardozo </w:t>
      </w:r>
      <w:r>
        <w:rPr>
          <w:rFonts w:ascii="Times New Roman" w:eastAsia="Times New Roman" w:hAnsi="Times New Roman" w:cs="Times New Roman"/>
          <w:sz w:val="22"/>
          <w:szCs w:val="22"/>
        </w:rPr>
        <w:t xml:space="preserve">(n 1) </w:t>
      </w:r>
      <w:r w:rsidRPr="00FF0D6B">
        <w:rPr>
          <w:rFonts w:ascii="Times New Roman" w:eastAsia="Times New Roman" w:hAnsi="Times New Roman" w:cs="Times New Roman"/>
          <w:sz w:val="22"/>
          <w:szCs w:val="22"/>
        </w:rPr>
        <w:t xml:space="preserve">at </w:t>
      </w:r>
      <w:r>
        <w:rPr>
          <w:rFonts w:ascii="Times New Roman" w:hAnsi="Times New Roman" w:cs="Times New Roman"/>
          <w:sz w:val="22"/>
          <w:szCs w:val="22"/>
        </w:rPr>
        <w:t>819.</w:t>
      </w:r>
    </w:p>
  </w:footnote>
  <w:footnote w:id="101">
    <w:p w14:paraId="2F41A8E8" w14:textId="77777777" w:rsidR="00DB5CC7" w:rsidRPr="008F72C4" w:rsidRDefault="00DB5CC7" w:rsidP="00C1042E">
      <w:pPr>
        <w:pStyle w:val="FootnoteText"/>
        <w:rPr>
          <w:rFonts w:ascii="Times New Roman" w:hAnsi="Times New Roman" w:cs="Times New Roman"/>
          <w:sz w:val="22"/>
          <w:szCs w:val="22"/>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r>
        <w:rPr>
          <w:rFonts w:ascii="Times New Roman" w:eastAsia="Times New Roman" w:hAnsi="Times New Roman" w:cs="Times New Roman"/>
          <w:sz w:val="22"/>
          <w:szCs w:val="22"/>
        </w:rPr>
        <w:t xml:space="preserve">Ibid at </w:t>
      </w:r>
      <w:r w:rsidRPr="00FF0D6B">
        <w:rPr>
          <w:rFonts w:ascii="Times New Roman" w:hAnsi="Times New Roman" w:cs="Times New Roman"/>
          <w:sz w:val="22"/>
          <w:szCs w:val="22"/>
        </w:rPr>
        <w:t>820.</w:t>
      </w:r>
    </w:p>
  </w:footnote>
  <w:footnote w:id="102">
    <w:p w14:paraId="04F99F75"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Alexander Vu et al, ‘The Prevalence of Sexual Violence Among Female Refugees in Complex Humanitarian Emergencies: A Systemic Review and Meta-Analysis’ (2014) 18(6) </w:t>
      </w:r>
      <w:proofErr w:type="spellStart"/>
      <w:r w:rsidRPr="008F72C4">
        <w:rPr>
          <w:rFonts w:ascii="Times New Roman" w:eastAsia="Times New Roman" w:hAnsi="Times New Roman" w:cs="Times New Roman"/>
          <w:i/>
          <w:sz w:val="22"/>
          <w:szCs w:val="22"/>
        </w:rPr>
        <w:t>PLoS</w:t>
      </w:r>
      <w:proofErr w:type="spellEnd"/>
      <w:r w:rsidRPr="008F72C4">
        <w:rPr>
          <w:rFonts w:ascii="Times New Roman" w:eastAsia="Times New Roman" w:hAnsi="Times New Roman" w:cs="Times New Roman"/>
          <w:i/>
          <w:sz w:val="22"/>
          <w:szCs w:val="22"/>
        </w:rPr>
        <w:t xml:space="preserve"> Currents Disasters</w:t>
      </w:r>
      <w:r w:rsidRPr="008F72C4">
        <w:rPr>
          <w:rFonts w:ascii="Times New Roman" w:eastAsia="Times New Roman" w:hAnsi="Times New Roman" w:cs="Times New Roman"/>
          <w:sz w:val="22"/>
          <w:szCs w:val="22"/>
        </w:rPr>
        <w:t>.</w:t>
      </w:r>
    </w:p>
  </w:footnote>
  <w:footnote w:id="103">
    <w:p w14:paraId="7766F071"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International Development Committee, UK House of Commons, </w:t>
      </w:r>
      <w:r w:rsidRPr="00F34A6B">
        <w:rPr>
          <w:rFonts w:ascii="Times New Roman" w:hAnsi="Times New Roman" w:cs="Times New Roman"/>
          <w:i/>
          <w:sz w:val="22"/>
          <w:szCs w:val="22"/>
        </w:rPr>
        <w:t xml:space="preserve">Sexual Exploitation and Abuse in the Aid Sector </w:t>
      </w:r>
      <w:r>
        <w:rPr>
          <w:rFonts w:ascii="Times New Roman" w:hAnsi="Times New Roman" w:cs="Times New Roman"/>
          <w:sz w:val="22"/>
          <w:szCs w:val="22"/>
        </w:rPr>
        <w:t>(2018) at 17.</w:t>
      </w:r>
    </w:p>
  </w:footnote>
  <w:footnote w:id="104">
    <w:p w14:paraId="43230DF2" w14:textId="719348B2"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t>
      </w:r>
      <w:proofErr w:type="spellStart"/>
      <w:r w:rsidRPr="00F34A6B">
        <w:rPr>
          <w:rFonts w:ascii="Times New Roman" w:hAnsi="Times New Roman" w:cs="Times New Roman"/>
          <w:sz w:val="22"/>
          <w:szCs w:val="22"/>
        </w:rPr>
        <w:t>Lilleston</w:t>
      </w:r>
      <w:proofErr w:type="spellEnd"/>
      <w:r w:rsidRPr="00F34A6B">
        <w:rPr>
          <w:rFonts w:ascii="Times New Roman" w:hAnsi="Times New Roman" w:cs="Times New Roman"/>
          <w:sz w:val="22"/>
          <w:szCs w:val="22"/>
        </w:rPr>
        <w:t xml:space="preserve"> et al </w:t>
      </w:r>
      <w:r>
        <w:rPr>
          <w:rFonts w:ascii="Times New Roman" w:hAnsi="Times New Roman" w:cs="Times New Roman"/>
          <w:sz w:val="22"/>
          <w:szCs w:val="22"/>
        </w:rPr>
        <w:t>(n 97)</w:t>
      </w:r>
      <w:r w:rsidRPr="00F34A6B">
        <w:rPr>
          <w:rFonts w:ascii="Times New Roman" w:hAnsi="Times New Roman" w:cs="Times New Roman"/>
          <w:sz w:val="22"/>
          <w:szCs w:val="22"/>
        </w:rPr>
        <w:t xml:space="preserve"> at 767-768.</w:t>
      </w:r>
    </w:p>
  </w:footnote>
  <w:footnote w:id="105">
    <w:p w14:paraId="32DAD029" w14:textId="7DE52F37" w:rsidR="00DB5CC7" w:rsidRDefault="00DB5CC7" w:rsidP="00C1042E">
      <w:pPr>
        <w:pStyle w:val="FootnoteText"/>
      </w:pPr>
      <w:r w:rsidRPr="006D7E8A">
        <w:rPr>
          <w:rStyle w:val="FootnoteReference"/>
          <w:rFonts w:ascii="Times New Roman" w:hAnsi="Times New Roman" w:cs="Times New Roman"/>
          <w:sz w:val="22"/>
          <w:szCs w:val="22"/>
        </w:rPr>
        <w:footnoteRef/>
      </w:r>
      <w:r w:rsidRPr="006D7E8A">
        <w:rPr>
          <w:rStyle w:val="FootnoteReference"/>
          <w:rFonts w:ascii="Times New Roman" w:hAnsi="Times New Roman" w:cs="Times New Roman"/>
          <w:sz w:val="22"/>
          <w:szCs w:val="22"/>
        </w:rPr>
        <w:t xml:space="preserve"> </w:t>
      </w:r>
      <w:r>
        <w:t>I</w:t>
      </w:r>
      <w:r w:rsidRPr="00F34A6B">
        <w:rPr>
          <w:rFonts w:ascii="Times New Roman" w:hAnsi="Times New Roman" w:cs="Times New Roman"/>
          <w:sz w:val="22"/>
          <w:szCs w:val="22"/>
        </w:rPr>
        <w:t xml:space="preserve">nter-Agency Standing Committee, </w:t>
      </w:r>
      <w:r w:rsidRPr="00F34A6B">
        <w:rPr>
          <w:rFonts w:ascii="Times New Roman" w:hAnsi="Times New Roman" w:cs="Times New Roman"/>
          <w:i/>
          <w:sz w:val="22"/>
          <w:szCs w:val="22"/>
        </w:rPr>
        <w:t>Guidelines for Integrating Gender-Based Violence Interventions in Humanitarian Action</w:t>
      </w:r>
      <w:r>
        <w:rPr>
          <w:rFonts w:ascii="Times New Roman" w:hAnsi="Times New Roman" w:cs="Times New Roman"/>
          <w:sz w:val="22"/>
          <w:szCs w:val="22"/>
        </w:rPr>
        <w:t xml:space="preserve"> (2015) (n 99) </w:t>
      </w:r>
      <w:r w:rsidRPr="00F34A6B">
        <w:rPr>
          <w:rFonts w:ascii="Times New Roman" w:hAnsi="Times New Roman" w:cs="Times New Roman"/>
          <w:sz w:val="22"/>
          <w:szCs w:val="22"/>
        </w:rPr>
        <w:t>at 6.</w:t>
      </w:r>
    </w:p>
  </w:footnote>
  <w:footnote w:id="106">
    <w:p w14:paraId="0F70872B"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Ibid at 7.</w:t>
      </w:r>
    </w:p>
  </w:footnote>
  <w:footnote w:id="107">
    <w:p w14:paraId="6AFE4107" w14:textId="36ACE982" w:rsidR="00DB5CC7" w:rsidRPr="00FF0D6B" w:rsidRDefault="00DB5CC7" w:rsidP="00C1042E">
      <w:pPr>
        <w:pStyle w:val="FootnoteText"/>
        <w:rPr>
          <w:rFonts w:ascii="Times New Roman" w:hAnsi="Times New Roman" w:cs="Times New Roman"/>
          <w:sz w:val="22"/>
          <w:szCs w:val="22"/>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r w:rsidRPr="00FF0D6B">
        <w:rPr>
          <w:rFonts w:ascii="Times New Roman" w:eastAsia="Times New Roman" w:hAnsi="Times New Roman" w:cs="Times New Roman"/>
          <w:sz w:val="22"/>
          <w:szCs w:val="22"/>
        </w:rPr>
        <w:t>United Nations High Commissioner for Refugees, ‘UNHCR, Sexual Violence Against Refugees</w:t>
      </w:r>
      <w:r>
        <w:rPr>
          <w:rFonts w:ascii="Times New Roman" w:eastAsia="Times New Roman" w:hAnsi="Times New Roman" w:cs="Times New Roman"/>
          <w:sz w:val="22"/>
          <w:szCs w:val="22"/>
        </w:rPr>
        <w:t xml:space="preserve">’ (n 47) </w:t>
      </w:r>
      <w:r w:rsidRPr="00FF0D6B">
        <w:rPr>
          <w:rFonts w:ascii="Times New Roman" w:eastAsia="Times New Roman" w:hAnsi="Times New Roman" w:cs="Times New Roman"/>
          <w:sz w:val="22"/>
          <w:szCs w:val="22"/>
        </w:rPr>
        <w:t xml:space="preserve">at </w:t>
      </w:r>
      <w:r w:rsidRPr="00FF0D6B">
        <w:rPr>
          <w:rFonts w:ascii="Times New Roman" w:hAnsi="Times New Roman" w:cs="Times New Roman"/>
          <w:sz w:val="22"/>
          <w:szCs w:val="22"/>
        </w:rPr>
        <w:t>721.</w:t>
      </w:r>
    </w:p>
  </w:footnote>
  <w:footnote w:id="108">
    <w:p w14:paraId="3711A387" w14:textId="2F5F4DE9" w:rsidR="00DB5CC7" w:rsidRDefault="00DB5CC7" w:rsidP="00C1042E">
      <w:pPr>
        <w:pStyle w:val="FootnoteText"/>
      </w:pPr>
      <w:r w:rsidRPr="00E47149">
        <w:rPr>
          <w:rStyle w:val="FootnoteReference"/>
          <w:rFonts w:ascii="Times New Roman" w:hAnsi="Times New Roman" w:cs="Times New Roman"/>
          <w:sz w:val="22"/>
          <w:szCs w:val="22"/>
        </w:rPr>
        <w:footnoteRef/>
      </w:r>
      <w:r w:rsidRPr="00E47149">
        <w:rPr>
          <w:rStyle w:val="FootnoteReference"/>
          <w:rFonts w:ascii="Times New Roman" w:hAnsi="Times New Roman" w:cs="Times New Roman"/>
          <w:sz w:val="22"/>
          <w:szCs w:val="22"/>
        </w:rPr>
        <w:t xml:space="preserve"> </w:t>
      </w:r>
      <w:r w:rsidRPr="008F72C4">
        <w:rPr>
          <w:rFonts w:ascii="Times New Roman" w:eastAsia="Times New Roman" w:hAnsi="Times New Roman" w:cs="Times New Roman"/>
          <w:sz w:val="22"/>
          <w:szCs w:val="22"/>
        </w:rPr>
        <w:t>Dolan,</w:t>
      </w:r>
      <w:r>
        <w:rPr>
          <w:rFonts w:ascii="Times New Roman" w:eastAsia="Times New Roman" w:hAnsi="Times New Roman" w:cs="Times New Roman"/>
          <w:sz w:val="22"/>
          <w:szCs w:val="22"/>
        </w:rPr>
        <w:t xml:space="preserve"> ‘</w:t>
      </w:r>
      <w:r w:rsidRPr="008F72C4">
        <w:rPr>
          <w:rFonts w:ascii="Times New Roman" w:eastAsia="Times New Roman" w:hAnsi="Times New Roman" w:cs="Times New Roman"/>
          <w:sz w:val="22"/>
          <w:szCs w:val="22"/>
        </w:rPr>
        <w:t>Letting Go of the Gender Binary</w:t>
      </w:r>
      <w:r>
        <w:rPr>
          <w:rFonts w:ascii="Times New Roman" w:eastAsia="Times New Roman" w:hAnsi="Times New Roman" w:cs="Times New Roman"/>
          <w:sz w:val="22"/>
          <w:szCs w:val="22"/>
        </w:rPr>
        <w:t>’</w:t>
      </w:r>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 93) at </w:t>
      </w:r>
      <w:r w:rsidRPr="008F72C4">
        <w:rPr>
          <w:rFonts w:ascii="Times New Roman" w:hAnsi="Times New Roman" w:cs="Times New Roman"/>
          <w:sz w:val="22"/>
          <w:szCs w:val="22"/>
        </w:rPr>
        <w:t>492.</w:t>
      </w:r>
    </w:p>
  </w:footnote>
  <w:footnote w:id="109">
    <w:p w14:paraId="3ABB40CB" w14:textId="77777777" w:rsidR="00DB5CC7" w:rsidRPr="0018520B" w:rsidRDefault="00DB5CC7" w:rsidP="00C1042E">
      <w:pPr>
        <w:pStyle w:val="FootnoteText"/>
        <w:rPr>
          <w:rFonts w:cs="Times New Roman"/>
          <w:sz w:val="22"/>
          <w:szCs w:val="22"/>
        </w:rPr>
      </w:pPr>
      <w:r w:rsidRPr="0018520B">
        <w:rPr>
          <w:rStyle w:val="FootnoteReference"/>
          <w:rFonts w:cs="Times New Roman"/>
          <w:sz w:val="22"/>
          <w:szCs w:val="22"/>
        </w:rPr>
        <w:footnoteRef/>
      </w:r>
      <w:r w:rsidRPr="0018520B">
        <w:rPr>
          <w:rFonts w:cs="Times New Roman"/>
          <w:sz w:val="22"/>
          <w:szCs w:val="22"/>
        </w:rPr>
        <w:t xml:space="preserve"> </w:t>
      </w:r>
      <w:r w:rsidRPr="00E47149">
        <w:rPr>
          <w:rFonts w:ascii="Times New Roman" w:hAnsi="Times New Roman" w:cs="Times New Roman"/>
          <w:sz w:val="22"/>
          <w:szCs w:val="22"/>
        </w:rPr>
        <w:t>Ibid at 491-492.</w:t>
      </w:r>
    </w:p>
  </w:footnote>
  <w:footnote w:id="110">
    <w:p w14:paraId="3CB181EA" w14:textId="77777777" w:rsidR="00DB5CC7" w:rsidRPr="0018520B" w:rsidRDefault="00DB5CC7" w:rsidP="00C1042E">
      <w:pPr>
        <w:pStyle w:val="FootnoteText"/>
        <w:rPr>
          <w:lang w:val="en-AU"/>
        </w:rPr>
      </w:pPr>
      <w:r w:rsidRPr="0018520B">
        <w:rPr>
          <w:rStyle w:val="FootnoteReference"/>
          <w:rFonts w:ascii="Times New Roman" w:hAnsi="Times New Roman" w:cs="Times New Roman"/>
          <w:sz w:val="22"/>
          <w:szCs w:val="22"/>
        </w:rPr>
        <w:footnoteRef/>
      </w:r>
      <w:r w:rsidRPr="0018520B">
        <w:t xml:space="preserve"> </w:t>
      </w:r>
      <w:r w:rsidRPr="00E47149">
        <w:rPr>
          <w:rFonts w:ascii="Times New Roman" w:hAnsi="Times New Roman" w:cs="Times New Roman"/>
          <w:sz w:val="22"/>
          <w:szCs w:val="22"/>
        </w:rPr>
        <w:t>Ibid at 497.</w:t>
      </w:r>
    </w:p>
  </w:footnote>
  <w:footnote w:id="111">
    <w:p w14:paraId="00D1C381"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Dorot</w:t>
      </w:r>
      <w:r>
        <w:rPr>
          <w:rFonts w:ascii="Times New Roman" w:hAnsi="Times New Roman" w:cs="Times New Roman"/>
          <w:sz w:val="22"/>
          <w:szCs w:val="22"/>
        </w:rPr>
        <w:t>h</w:t>
      </w:r>
      <w:r w:rsidRPr="00F34A6B">
        <w:rPr>
          <w:rFonts w:ascii="Times New Roman" w:hAnsi="Times New Roman" w:cs="Times New Roman"/>
          <w:sz w:val="22"/>
          <w:szCs w:val="22"/>
        </w:rPr>
        <w:t xml:space="preserve">ea </w:t>
      </w:r>
      <w:proofErr w:type="spellStart"/>
      <w:r w:rsidRPr="00F34A6B">
        <w:rPr>
          <w:rFonts w:ascii="Times New Roman" w:hAnsi="Times New Roman" w:cs="Times New Roman"/>
          <w:sz w:val="22"/>
          <w:szCs w:val="22"/>
        </w:rPr>
        <w:t>Hilhorst</w:t>
      </w:r>
      <w:proofErr w:type="spellEnd"/>
      <w:r w:rsidRPr="00F34A6B">
        <w:rPr>
          <w:rFonts w:ascii="Times New Roman" w:hAnsi="Times New Roman" w:cs="Times New Roman"/>
          <w:sz w:val="22"/>
          <w:szCs w:val="22"/>
        </w:rPr>
        <w:t xml:space="preserve">, Holly Porter and Rachel Gordon, ‘Gender, Sexuality, and Violence in Humanitarian Crises’ (2018) 42(1) </w:t>
      </w:r>
      <w:r w:rsidRPr="00F34A6B">
        <w:rPr>
          <w:rFonts w:ascii="Times New Roman" w:hAnsi="Times New Roman" w:cs="Times New Roman"/>
          <w:i/>
          <w:sz w:val="22"/>
          <w:szCs w:val="22"/>
        </w:rPr>
        <w:t xml:space="preserve">Disasters </w:t>
      </w:r>
      <w:r w:rsidRPr="00F34A6B">
        <w:rPr>
          <w:rFonts w:ascii="Times New Roman" w:hAnsi="Times New Roman" w:cs="Times New Roman"/>
          <w:sz w:val="22"/>
          <w:szCs w:val="22"/>
        </w:rPr>
        <w:t>S3-S16 at S5.</w:t>
      </w:r>
    </w:p>
  </w:footnote>
  <w:footnote w:id="112">
    <w:p w14:paraId="0A45E902"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Ibid at S8-S9.</w:t>
      </w:r>
    </w:p>
  </w:footnote>
  <w:footnote w:id="113">
    <w:p w14:paraId="3708AD99"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Chris Dolan, ‘Inclusive Gender: Why Tackling Gender Hierarchies Cannot be at the Expense of Human Rights and the Humanitarian Imperative’ (2016) 98(2) </w:t>
      </w:r>
      <w:r w:rsidRPr="00F34A6B">
        <w:rPr>
          <w:rFonts w:ascii="Times New Roman" w:hAnsi="Times New Roman" w:cs="Times New Roman"/>
          <w:i/>
          <w:sz w:val="22"/>
          <w:szCs w:val="22"/>
        </w:rPr>
        <w:t xml:space="preserve">International Review of the Red Cross </w:t>
      </w:r>
      <w:r w:rsidRPr="00F34A6B">
        <w:rPr>
          <w:rFonts w:ascii="Times New Roman" w:hAnsi="Times New Roman" w:cs="Times New Roman"/>
          <w:sz w:val="22"/>
          <w:szCs w:val="22"/>
        </w:rPr>
        <w:t>625-634 at 633-634.</w:t>
      </w:r>
    </w:p>
  </w:footnote>
  <w:footnote w:id="114">
    <w:p w14:paraId="62F88A94"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Jeanne Ward, ‘It’s Not About the Gender Binary, It’s About the Gender Hierarchy: A Reply to “Letting Go of the Binary”’ (2016) 98(1) </w:t>
      </w:r>
      <w:r w:rsidRPr="00F34A6B">
        <w:rPr>
          <w:rFonts w:ascii="Times New Roman" w:hAnsi="Times New Roman" w:cs="Times New Roman"/>
          <w:i/>
          <w:sz w:val="22"/>
          <w:szCs w:val="22"/>
        </w:rPr>
        <w:t xml:space="preserve">International Review of the Red Cross </w:t>
      </w:r>
      <w:r w:rsidRPr="00F34A6B">
        <w:rPr>
          <w:rFonts w:ascii="Times New Roman" w:hAnsi="Times New Roman" w:cs="Times New Roman"/>
          <w:sz w:val="22"/>
          <w:szCs w:val="22"/>
        </w:rPr>
        <w:t>275-298 at 285-286.</w:t>
      </w:r>
    </w:p>
  </w:footnote>
  <w:footnote w:id="115">
    <w:p w14:paraId="73E93690" w14:textId="0FA918FA" w:rsidR="00DB5CC7" w:rsidRDefault="00DB5CC7" w:rsidP="00C1042E">
      <w:pPr>
        <w:pStyle w:val="FootnoteText"/>
      </w:pPr>
      <w:r w:rsidRPr="00E47149">
        <w:rPr>
          <w:rStyle w:val="FootnoteReference"/>
          <w:rFonts w:ascii="Times New Roman" w:hAnsi="Times New Roman" w:cs="Times New Roman"/>
          <w:sz w:val="22"/>
          <w:szCs w:val="22"/>
        </w:rPr>
        <w:footnoteRef/>
      </w:r>
      <w:r w:rsidRPr="00E47149">
        <w:rPr>
          <w:rStyle w:val="FootnoteReference"/>
          <w:rFonts w:ascii="Times New Roman" w:hAnsi="Times New Roman" w:cs="Times New Roman"/>
          <w:sz w:val="22"/>
          <w:szCs w:val="22"/>
        </w:rPr>
        <w:t xml:space="preserve"> </w:t>
      </w:r>
      <w:r w:rsidRPr="008F72C4">
        <w:rPr>
          <w:rFonts w:ascii="Times New Roman" w:eastAsia="Times New Roman" w:hAnsi="Times New Roman" w:cs="Times New Roman"/>
          <w:sz w:val="22"/>
          <w:szCs w:val="22"/>
        </w:rPr>
        <w:t>Dolan, ‘Letting Go of the Gender Binary</w:t>
      </w:r>
      <w:r>
        <w:rPr>
          <w:rFonts w:ascii="Times New Roman" w:eastAsia="Times New Roman" w:hAnsi="Times New Roman" w:cs="Times New Roman"/>
          <w:sz w:val="22"/>
          <w:szCs w:val="22"/>
        </w:rPr>
        <w:t xml:space="preserve">’ (n 93) at </w:t>
      </w:r>
      <w:r w:rsidRPr="008F72C4">
        <w:rPr>
          <w:rFonts w:ascii="Times New Roman" w:hAnsi="Times New Roman" w:cs="Times New Roman"/>
          <w:sz w:val="22"/>
          <w:szCs w:val="22"/>
        </w:rPr>
        <w:t>492.</w:t>
      </w:r>
    </w:p>
  </w:footnote>
  <w:footnote w:id="116">
    <w:p w14:paraId="54DF3A9B" w14:textId="7A84BE35"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Ward </w:t>
      </w:r>
      <w:r>
        <w:rPr>
          <w:rFonts w:ascii="Times New Roman" w:hAnsi="Times New Roman" w:cs="Times New Roman"/>
          <w:sz w:val="22"/>
          <w:szCs w:val="22"/>
        </w:rPr>
        <w:t xml:space="preserve">(n 114) </w:t>
      </w:r>
      <w:r w:rsidRPr="00F34A6B">
        <w:rPr>
          <w:rFonts w:ascii="Times New Roman" w:hAnsi="Times New Roman" w:cs="Times New Roman"/>
          <w:sz w:val="22"/>
          <w:szCs w:val="22"/>
        </w:rPr>
        <w:t>at 296.</w:t>
      </w:r>
    </w:p>
  </w:footnote>
  <w:footnote w:id="117">
    <w:p w14:paraId="12D835BC"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Ibid at 289.</w:t>
      </w:r>
    </w:p>
  </w:footnote>
  <w:footnote w:id="118">
    <w:p w14:paraId="0B923695" w14:textId="00E561EE"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t>
      </w:r>
      <w:proofErr w:type="spellStart"/>
      <w:r w:rsidRPr="00F34A6B">
        <w:rPr>
          <w:rFonts w:ascii="Times New Roman" w:hAnsi="Times New Roman" w:cs="Times New Roman"/>
          <w:sz w:val="22"/>
          <w:szCs w:val="22"/>
        </w:rPr>
        <w:t>Hilhorst</w:t>
      </w:r>
      <w:proofErr w:type="spellEnd"/>
      <w:r w:rsidRPr="00F34A6B">
        <w:rPr>
          <w:rFonts w:ascii="Times New Roman" w:hAnsi="Times New Roman" w:cs="Times New Roman"/>
          <w:sz w:val="22"/>
          <w:szCs w:val="22"/>
        </w:rPr>
        <w:t xml:space="preserve">, Porter and Gordon </w:t>
      </w:r>
      <w:r>
        <w:rPr>
          <w:rFonts w:ascii="Times New Roman" w:hAnsi="Times New Roman" w:cs="Times New Roman"/>
          <w:sz w:val="22"/>
          <w:szCs w:val="22"/>
        </w:rPr>
        <w:t xml:space="preserve">(n 111) </w:t>
      </w:r>
      <w:r w:rsidRPr="00F34A6B">
        <w:rPr>
          <w:rFonts w:ascii="Times New Roman" w:hAnsi="Times New Roman" w:cs="Times New Roman"/>
          <w:sz w:val="22"/>
          <w:szCs w:val="22"/>
        </w:rPr>
        <w:t>at S9-S10.</w:t>
      </w:r>
    </w:p>
  </w:footnote>
  <w:footnote w:id="119">
    <w:p w14:paraId="034497F9" w14:textId="5F2448E3" w:rsidR="00DB5CC7" w:rsidRPr="008B47B3" w:rsidRDefault="00DB5CC7" w:rsidP="00C1042E">
      <w:pPr>
        <w:pStyle w:val="FootnoteText"/>
        <w:rPr>
          <w:rFonts w:ascii="Times New Roman" w:hAnsi="Times New Roman" w:cs="Times New Roman"/>
          <w:sz w:val="22"/>
          <w:szCs w:val="22"/>
          <w:vertAlign w:val="superscript"/>
        </w:rPr>
      </w:pPr>
      <w:r w:rsidRPr="00D9099A">
        <w:rPr>
          <w:rStyle w:val="FootnoteReference"/>
          <w:rFonts w:ascii="Times New Roman" w:hAnsi="Times New Roman" w:cs="Times New Roman"/>
          <w:sz w:val="22"/>
          <w:szCs w:val="22"/>
        </w:rPr>
        <w:footnoteRef/>
      </w:r>
      <w:r w:rsidRPr="00D9099A">
        <w:rPr>
          <w:rStyle w:val="FootnoteReference"/>
          <w:rFonts w:ascii="Times New Roman" w:hAnsi="Times New Roman" w:cs="Times New Roman"/>
          <w:sz w:val="22"/>
          <w:szCs w:val="22"/>
        </w:rPr>
        <w:t xml:space="preserve"> </w:t>
      </w:r>
      <w:r>
        <w:rPr>
          <w:rFonts w:ascii="Times New Roman" w:hAnsi="Times New Roman" w:cs="Times New Roman"/>
          <w:sz w:val="22"/>
          <w:szCs w:val="22"/>
        </w:rPr>
        <w:t xml:space="preserve">Office of the United Nations High Commissioner for Human Rights, </w:t>
      </w:r>
      <w:r>
        <w:rPr>
          <w:rFonts w:ascii="Times New Roman" w:hAnsi="Times New Roman" w:cs="Times New Roman"/>
          <w:i/>
          <w:sz w:val="22"/>
          <w:szCs w:val="22"/>
        </w:rPr>
        <w:t xml:space="preserve">Fact Sheet on Homophobic and Transphobic Violence </w:t>
      </w:r>
      <w:r>
        <w:rPr>
          <w:rFonts w:ascii="Times New Roman" w:hAnsi="Times New Roman" w:cs="Times New Roman"/>
          <w:sz w:val="22"/>
          <w:szCs w:val="22"/>
        </w:rPr>
        <w:t>&lt;</w:t>
      </w:r>
      <w:hyperlink r:id="rId2" w:history="1">
        <w:r w:rsidRPr="00EA456A">
          <w:rPr>
            <w:rStyle w:val="Hyperlink"/>
            <w:rFonts w:ascii="Times New Roman" w:hAnsi="Times New Roman" w:cs="Times New Roman"/>
            <w:sz w:val="22"/>
            <w:szCs w:val="22"/>
          </w:rPr>
          <w:t>https://www.ohchr.org/Documents/Issues/Discrimination/LGBT/FactSheets/unfe-27-UN_Fact_Sheets_Homophobic_English.pdf</w:t>
        </w:r>
      </w:hyperlink>
      <w:r>
        <w:rPr>
          <w:rFonts w:ascii="Times New Roman" w:hAnsi="Times New Roman" w:cs="Times New Roman"/>
          <w:sz w:val="22"/>
          <w:szCs w:val="22"/>
        </w:rPr>
        <w:t>&gt;.</w:t>
      </w:r>
    </w:p>
  </w:footnote>
  <w:footnote w:id="120">
    <w:p w14:paraId="7986D484" w14:textId="13892EE9"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Dolan, ‘Letting Go of the Gender Binary</w:t>
      </w:r>
      <w:r>
        <w:rPr>
          <w:rFonts w:ascii="Times New Roman" w:eastAsia="Times New Roman" w:hAnsi="Times New Roman" w:cs="Times New Roman"/>
          <w:sz w:val="22"/>
          <w:szCs w:val="22"/>
        </w:rPr>
        <w:t>’ (n 93)</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489.</w:t>
      </w:r>
    </w:p>
  </w:footnote>
  <w:footnote w:id="121">
    <w:p w14:paraId="4493BA7A"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496-497.</w:t>
      </w:r>
    </w:p>
  </w:footnote>
  <w:footnote w:id="122">
    <w:p w14:paraId="7265A1B9" w14:textId="7C26BECF" w:rsidR="00DB5CC7" w:rsidRDefault="00DB5CC7" w:rsidP="00C1042E">
      <w:pPr>
        <w:pStyle w:val="FootnoteText"/>
      </w:pPr>
      <w:r w:rsidRPr="00824DEC">
        <w:rPr>
          <w:rStyle w:val="FootnoteReference"/>
          <w:rFonts w:ascii="Times New Roman" w:hAnsi="Times New Roman" w:cs="Times New Roman"/>
          <w:sz w:val="22"/>
          <w:szCs w:val="22"/>
        </w:rPr>
        <w:footnoteRef/>
      </w:r>
      <w:r>
        <w:t xml:space="preserve"> </w:t>
      </w:r>
      <w:proofErr w:type="spellStart"/>
      <w:r w:rsidRPr="00824DEC">
        <w:rPr>
          <w:rFonts w:ascii="Times New Roman" w:eastAsia="Times New Roman" w:hAnsi="Times New Roman" w:cs="Times New Roman"/>
          <w:sz w:val="22"/>
          <w:szCs w:val="22"/>
        </w:rPr>
        <w:t>Hilhorst</w:t>
      </w:r>
      <w:proofErr w:type="spellEnd"/>
      <w:r w:rsidRPr="00824DEC">
        <w:rPr>
          <w:rFonts w:ascii="Times New Roman" w:eastAsia="Times New Roman" w:hAnsi="Times New Roman" w:cs="Times New Roman"/>
          <w:sz w:val="22"/>
          <w:szCs w:val="22"/>
        </w:rPr>
        <w:t xml:space="preserve">, Porter and Gordon </w:t>
      </w:r>
      <w:r>
        <w:rPr>
          <w:rFonts w:ascii="Times New Roman" w:eastAsia="Times New Roman" w:hAnsi="Times New Roman" w:cs="Times New Roman"/>
          <w:sz w:val="22"/>
          <w:szCs w:val="22"/>
        </w:rPr>
        <w:t>(</w:t>
      </w:r>
      <w:r w:rsidRPr="00824DEC">
        <w:rPr>
          <w:rFonts w:ascii="Times New Roman" w:eastAsia="Times New Roman" w:hAnsi="Times New Roman" w:cs="Times New Roman"/>
          <w:sz w:val="22"/>
          <w:szCs w:val="22"/>
        </w:rPr>
        <w:t>n 111</w:t>
      </w:r>
      <w:r>
        <w:rPr>
          <w:rFonts w:ascii="Times New Roman" w:eastAsia="Times New Roman" w:hAnsi="Times New Roman" w:cs="Times New Roman"/>
          <w:sz w:val="22"/>
          <w:szCs w:val="22"/>
        </w:rPr>
        <w:t>)</w:t>
      </w:r>
      <w:r w:rsidRPr="00824DEC">
        <w:rPr>
          <w:rFonts w:ascii="Times New Roman" w:eastAsia="Times New Roman" w:hAnsi="Times New Roman" w:cs="Times New Roman"/>
          <w:sz w:val="22"/>
          <w:szCs w:val="22"/>
        </w:rPr>
        <w:t xml:space="preserve"> at S5.</w:t>
      </w:r>
    </w:p>
  </w:footnote>
  <w:footnote w:id="123">
    <w:p w14:paraId="3FFA3A62" w14:textId="5ABFB232"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Ward </w:t>
      </w:r>
      <w:r>
        <w:rPr>
          <w:rFonts w:ascii="Times New Roman" w:hAnsi="Times New Roman" w:cs="Times New Roman"/>
          <w:sz w:val="22"/>
          <w:szCs w:val="22"/>
        </w:rPr>
        <w:t>(n 114)</w:t>
      </w:r>
      <w:r w:rsidRPr="00F34A6B">
        <w:rPr>
          <w:rFonts w:ascii="Times New Roman" w:hAnsi="Times New Roman" w:cs="Times New Roman"/>
          <w:sz w:val="22"/>
          <w:szCs w:val="22"/>
        </w:rPr>
        <w:t xml:space="preserve"> at 278.</w:t>
      </w:r>
    </w:p>
  </w:footnote>
  <w:footnote w:id="124">
    <w:p w14:paraId="7D9E84F5"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Ibid at 297-298.</w:t>
      </w:r>
    </w:p>
  </w:footnote>
  <w:footnote w:id="125">
    <w:p w14:paraId="455FB685" w14:textId="0EB50C46" w:rsidR="00DB5CC7" w:rsidRPr="00F34A6B" w:rsidRDefault="00DB5CC7" w:rsidP="00C1042E">
      <w:pPr>
        <w:rPr>
          <w:rFonts w:ascii="Times New Roman" w:eastAsia="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w:t>
      </w:r>
      <w:proofErr w:type="spellStart"/>
      <w:r w:rsidRPr="00F34A6B">
        <w:rPr>
          <w:rFonts w:ascii="Times New Roman" w:hAnsi="Times New Roman" w:cs="Times New Roman"/>
          <w:sz w:val="22"/>
          <w:szCs w:val="22"/>
        </w:rPr>
        <w:t>Lilleston</w:t>
      </w:r>
      <w:proofErr w:type="spellEnd"/>
      <w:r w:rsidRPr="00F34A6B">
        <w:rPr>
          <w:rFonts w:ascii="Times New Roman" w:hAnsi="Times New Roman" w:cs="Times New Roman"/>
          <w:sz w:val="22"/>
          <w:szCs w:val="22"/>
        </w:rPr>
        <w:t xml:space="preserve"> et al </w:t>
      </w:r>
      <w:r>
        <w:rPr>
          <w:rFonts w:ascii="Times New Roman" w:hAnsi="Times New Roman" w:cs="Times New Roman"/>
          <w:sz w:val="22"/>
          <w:szCs w:val="22"/>
        </w:rPr>
        <w:t xml:space="preserve">(n 97) </w:t>
      </w:r>
      <w:r w:rsidRPr="00F34A6B">
        <w:rPr>
          <w:rFonts w:ascii="Times New Roman" w:hAnsi="Times New Roman" w:cs="Times New Roman"/>
          <w:sz w:val="22"/>
          <w:szCs w:val="22"/>
        </w:rPr>
        <w:t>at 767-768.</w:t>
      </w:r>
    </w:p>
  </w:footnote>
  <w:footnote w:id="126">
    <w:p w14:paraId="03E9EE8D" w14:textId="115088D5"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Davis </w:t>
      </w:r>
      <w:r>
        <w:rPr>
          <w:rFonts w:ascii="Times New Roman" w:eastAsia="Times New Roman" w:hAnsi="Times New Roman" w:cs="Times New Roman"/>
          <w:sz w:val="22"/>
          <w:szCs w:val="22"/>
        </w:rPr>
        <w:t>(n 4)</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1174.</w:t>
      </w:r>
    </w:p>
  </w:footnote>
  <w:footnote w:id="127">
    <w:p w14:paraId="40714FB8" w14:textId="77777777" w:rsidR="00DB5CC7" w:rsidRPr="008F72C4" w:rsidRDefault="00DB5CC7" w:rsidP="00C1042E">
      <w:pPr>
        <w:pStyle w:val="FootnoteText"/>
        <w:rPr>
          <w:rFonts w:ascii="Times New Roman" w:hAnsi="Times New Roman" w:cs="Times New Roman"/>
          <w:sz w:val="22"/>
          <w:szCs w:val="22"/>
          <w:lang w:val="en-AU"/>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r w:rsidRPr="00FF0D6B">
        <w:rPr>
          <w:rFonts w:ascii="Times New Roman" w:eastAsia="Times New Roman" w:hAnsi="Times New Roman" w:cs="Times New Roman"/>
          <w:sz w:val="22"/>
          <w:szCs w:val="22"/>
        </w:rPr>
        <w:t xml:space="preserve">Lorraine Charles and Kate Denman, ‘Syrian and Palestinian Syrian Refugees in Lebanon: The Plight of Women and Children’ (2013) 14(5) </w:t>
      </w:r>
      <w:r w:rsidRPr="00FF0D6B">
        <w:rPr>
          <w:rFonts w:ascii="Times New Roman" w:eastAsia="Times New Roman" w:hAnsi="Times New Roman" w:cs="Times New Roman"/>
          <w:i/>
          <w:sz w:val="22"/>
          <w:szCs w:val="22"/>
        </w:rPr>
        <w:t xml:space="preserve">Journal of International Women’s Studies </w:t>
      </w:r>
      <w:r w:rsidRPr="00FF0D6B">
        <w:rPr>
          <w:rFonts w:ascii="Times New Roman" w:eastAsia="Times New Roman" w:hAnsi="Times New Roman" w:cs="Times New Roman"/>
          <w:sz w:val="22"/>
          <w:szCs w:val="22"/>
        </w:rPr>
        <w:t>96-111 at 103.</w:t>
      </w:r>
    </w:p>
  </w:footnote>
  <w:footnote w:id="128">
    <w:p w14:paraId="560C1E09" w14:textId="1D7CDC9D"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Davis </w:t>
      </w:r>
      <w:r>
        <w:rPr>
          <w:rFonts w:ascii="Times New Roman" w:eastAsia="Times New Roman" w:hAnsi="Times New Roman" w:cs="Times New Roman"/>
          <w:sz w:val="22"/>
          <w:szCs w:val="22"/>
        </w:rPr>
        <w:t xml:space="preserve">(n 4) </w:t>
      </w:r>
      <w:r w:rsidRPr="008F72C4">
        <w:rPr>
          <w:rFonts w:ascii="Times New Roman" w:eastAsia="Times New Roman" w:hAnsi="Times New Roman" w:cs="Times New Roman"/>
          <w:sz w:val="22"/>
          <w:szCs w:val="22"/>
        </w:rPr>
        <w:t>at 1161.</w:t>
      </w:r>
    </w:p>
  </w:footnote>
  <w:footnote w:id="129">
    <w:p w14:paraId="29E91118"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Jane Freedman, ‘Engendering Security at the Borders of Europe: Women Migrants and the Mediterranean Crisis’ (2016) 29(4) </w:t>
      </w:r>
      <w:r w:rsidRPr="008F72C4">
        <w:rPr>
          <w:rFonts w:ascii="Times New Roman" w:eastAsia="Times New Roman" w:hAnsi="Times New Roman" w:cs="Times New Roman"/>
          <w:i/>
          <w:sz w:val="22"/>
          <w:szCs w:val="22"/>
        </w:rPr>
        <w:t xml:space="preserve">Journal of Refugee Studies </w:t>
      </w:r>
      <w:r w:rsidRPr="008F72C4">
        <w:rPr>
          <w:rFonts w:ascii="Times New Roman" w:eastAsia="Times New Roman" w:hAnsi="Times New Roman" w:cs="Times New Roman"/>
          <w:sz w:val="22"/>
          <w:szCs w:val="22"/>
        </w:rPr>
        <w:t>568-582 at 569.</w:t>
      </w:r>
    </w:p>
  </w:footnote>
  <w:footnote w:id="130">
    <w:p w14:paraId="6D4186AE"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Marianne H Marchand, ‘The Violence of Development and the Migration/Insecurities Nexus: </w:t>
      </w:r>
      <w:proofErr w:type="spellStart"/>
      <w:r w:rsidRPr="008F72C4">
        <w:rPr>
          <w:rFonts w:ascii="Times New Roman" w:hAnsi="Times New Roman" w:cs="Times New Roman"/>
          <w:sz w:val="22"/>
          <w:szCs w:val="22"/>
        </w:rPr>
        <w:t>Labour</w:t>
      </w:r>
      <w:proofErr w:type="spellEnd"/>
      <w:r w:rsidRPr="008F72C4">
        <w:rPr>
          <w:rFonts w:ascii="Times New Roman" w:hAnsi="Times New Roman" w:cs="Times New Roman"/>
          <w:sz w:val="22"/>
          <w:szCs w:val="22"/>
        </w:rPr>
        <w:t xml:space="preserve"> Migration in a North American Context’ (2008) 29)7) </w:t>
      </w:r>
      <w:r w:rsidRPr="008F72C4">
        <w:rPr>
          <w:rFonts w:ascii="Times New Roman" w:hAnsi="Times New Roman" w:cs="Times New Roman"/>
          <w:i/>
          <w:sz w:val="22"/>
          <w:szCs w:val="22"/>
        </w:rPr>
        <w:t xml:space="preserve">Third World Quarterly </w:t>
      </w:r>
      <w:r w:rsidRPr="008F72C4">
        <w:rPr>
          <w:rFonts w:ascii="Times New Roman" w:hAnsi="Times New Roman" w:cs="Times New Roman"/>
          <w:sz w:val="22"/>
          <w:szCs w:val="22"/>
        </w:rPr>
        <w:t>1375-1388 at 1387.</w:t>
      </w:r>
    </w:p>
  </w:footnote>
  <w:footnote w:id="131">
    <w:p w14:paraId="05D8AD90" w14:textId="53E3E408"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Freedman</w:t>
      </w:r>
      <w:r>
        <w:rPr>
          <w:rFonts w:ascii="Times New Roman" w:eastAsia="Times New Roman" w:hAnsi="Times New Roman" w:cs="Times New Roman"/>
          <w:sz w:val="22"/>
          <w:szCs w:val="22"/>
        </w:rPr>
        <w:t>,</w:t>
      </w:r>
      <w:r w:rsidRPr="008F72C4">
        <w:rPr>
          <w:rFonts w:ascii="Times New Roman" w:eastAsia="Times New Roman" w:hAnsi="Times New Roman" w:cs="Times New Roman"/>
          <w:sz w:val="22"/>
          <w:szCs w:val="22"/>
        </w:rPr>
        <w:t xml:space="preserve"> ‘Sexual and Gender-Based Violence Against Refugee Women</w:t>
      </w:r>
      <w:r>
        <w:rPr>
          <w:rFonts w:ascii="Times New Roman" w:eastAsia="Times New Roman" w:hAnsi="Times New Roman" w:cs="Times New Roman"/>
          <w:sz w:val="22"/>
          <w:szCs w:val="22"/>
        </w:rPr>
        <w:t xml:space="preserve">’ (n 80) </w:t>
      </w:r>
      <w:r w:rsidRPr="008F72C4">
        <w:rPr>
          <w:rFonts w:ascii="Times New Roman" w:eastAsia="Times New Roman" w:hAnsi="Times New Roman" w:cs="Times New Roman"/>
          <w:sz w:val="22"/>
          <w:szCs w:val="22"/>
        </w:rPr>
        <w:t>at 23.</w:t>
      </w:r>
    </w:p>
  </w:footnote>
  <w:footnote w:id="132">
    <w:p w14:paraId="64871399" w14:textId="426421FC"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Charles and Denman </w:t>
      </w:r>
      <w:r>
        <w:rPr>
          <w:rFonts w:ascii="Times New Roman" w:eastAsia="Times New Roman" w:hAnsi="Times New Roman" w:cs="Times New Roman"/>
          <w:sz w:val="22"/>
          <w:szCs w:val="22"/>
        </w:rPr>
        <w:t xml:space="preserve">(n 127) </w:t>
      </w:r>
      <w:r w:rsidRPr="008F72C4">
        <w:rPr>
          <w:rFonts w:ascii="Times New Roman" w:eastAsia="Times New Roman" w:hAnsi="Times New Roman" w:cs="Times New Roman"/>
          <w:sz w:val="22"/>
          <w:szCs w:val="22"/>
        </w:rPr>
        <w:t>at 104.</w:t>
      </w:r>
    </w:p>
  </w:footnote>
  <w:footnote w:id="133">
    <w:p w14:paraId="2D07CDD1" w14:textId="77777777" w:rsidR="00DB5CC7" w:rsidRPr="008F72C4" w:rsidRDefault="00DB5CC7" w:rsidP="00C1042E">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103-104.</w:t>
      </w:r>
    </w:p>
  </w:footnote>
  <w:footnote w:id="134">
    <w:p w14:paraId="1F6FA0B9" w14:textId="2B20E124" w:rsidR="00DB5CC7" w:rsidRDefault="00DB5CC7" w:rsidP="00C1042E">
      <w:pPr>
        <w:pStyle w:val="FootnoteText"/>
      </w:pPr>
      <w:r w:rsidRPr="008E2512">
        <w:rPr>
          <w:rStyle w:val="FootnoteReference"/>
          <w:rFonts w:ascii="Times New Roman" w:hAnsi="Times New Roman" w:cs="Times New Roman"/>
          <w:sz w:val="22"/>
          <w:szCs w:val="22"/>
        </w:rPr>
        <w:footnoteRef/>
      </w:r>
      <w:r>
        <w:t xml:space="preserve"> </w:t>
      </w:r>
      <w:r w:rsidRPr="008F72C4">
        <w:rPr>
          <w:rFonts w:ascii="Times New Roman" w:eastAsia="Times New Roman" w:hAnsi="Times New Roman" w:cs="Times New Roman"/>
          <w:sz w:val="22"/>
          <w:szCs w:val="22"/>
        </w:rPr>
        <w:t>Freedman, ‘Engendering Security at the Borders of Europe</w:t>
      </w:r>
      <w:r>
        <w:rPr>
          <w:rFonts w:ascii="Times New Roman" w:eastAsia="Times New Roman" w:hAnsi="Times New Roman" w:cs="Times New Roman"/>
          <w:sz w:val="22"/>
          <w:szCs w:val="22"/>
        </w:rPr>
        <w:t>’ (n 129) at 578</w:t>
      </w:r>
      <w:r w:rsidRPr="008F72C4">
        <w:rPr>
          <w:rFonts w:ascii="Times New Roman" w:hAnsi="Times New Roman" w:cs="Times New Roman"/>
          <w:sz w:val="22"/>
          <w:szCs w:val="22"/>
        </w:rPr>
        <w:t>.</w:t>
      </w:r>
    </w:p>
  </w:footnote>
  <w:footnote w:id="135">
    <w:p w14:paraId="18758BDC"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578-</w:t>
      </w:r>
      <w:r w:rsidRPr="008F72C4">
        <w:rPr>
          <w:rFonts w:ascii="Times New Roman" w:hAnsi="Times New Roman" w:cs="Times New Roman"/>
          <w:sz w:val="22"/>
          <w:szCs w:val="22"/>
        </w:rPr>
        <w:t>579.</w:t>
      </w:r>
    </w:p>
  </w:footnote>
  <w:footnote w:id="136">
    <w:p w14:paraId="708348AA" w14:textId="23746BC6"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Charles and Denman </w:t>
      </w:r>
      <w:r>
        <w:rPr>
          <w:rFonts w:ascii="Times New Roman" w:eastAsia="Times New Roman" w:hAnsi="Times New Roman" w:cs="Times New Roman"/>
          <w:sz w:val="22"/>
          <w:szCs w:val="22"/>
        </w:rPr>
        <w:t>(n 127)</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106.</w:t>
      </w:r>
    </w:p>
  </w:footnote>
  <w:footnote w:id="137">
    <w:p w14:paraId="7787A87A" w14:textId="67826E15"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Davis </w:t>
      </w:r>
      <w:r>
        <w:rPr>
          <w:rFonts w:ascii="Times New Roman" w:eastAsia="Times New Roman" w:hAnsi="Times New Roman" w:cs="Times New Roman"/>
          <w:sz w:val="22"/>
          <w:szCs w:val="22"/>
        </w:rPr>
        <w:t>(n 4)</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1182-1183.</w:t>
      </w:r>
    </w:p>
  </w:footnote>
  <w:footnote w:id="138">
    <w:p w14:paraId="2A5740F0" w14:textId="77777777"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w:t>
      </w:r>
      <w:r w:rsidRPr="008F72C4">
        <w:rPr>
          <w:rFonts w:ascii="Times New Roman" w:hAnsi="Times New Roman" w:cs="Times New Roman"/>
          <w:sz w:val="22"/>
          <w:szCs w:val="22"/>
        </w:rPr>
        <w:t>1161.</w:t>
      </w:r>
    </w:p>
  </w:footnote>
  <w:footnote w:id="139">
    <w:p w14:paraId="70631153" w14:textId="746C36FC"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t>I</w:t>
      </w:r>
      <w:r w:rsidRPr="00F34A6B">
        <w:rPr>
          <w:rFonts w:ascii="Times New Roman" w:hAnsi="Times New Roman" w:cs="Times New Roman"/>
          <w:sz w:val="22"/>
          <w:szCs w:val="22"/>
        </w:rPr>
        <w:t xml:space="preserve">nter-Agency Standing Committee, </w:t>
      </w:r>
      <w:r w:rsidRPr="00F34A6B">
        <w:rPr>
          <w:rFonts w:ascii="Times New Roman" w:hAnsi="Times New Roman" w:cs="Times New Roman"/>
          <w:i/>
          <w:sz w:val="22"/>
          <w:szCs w:val="22"/>
        </w:rPr>
        <w:t>Guidelines for Integrating Gender-Based Violence Interventions in Humanitarian Action</w:t>
      </w:r>
      <w:r>
        <w:rPr>
          <w:rFonts w:ascii="Times New Roman" w:hAnsi="Times New Roman" w:cs="Times New Roman"/>
          <w:sz w:val="22"/>
          <w:szCs w:val="22"/>
        </w:rPr>
        <w:t xml:space="preserve"> (2015) (n 99)</w:t>
      </w:r>
      <w:r w:rsidRPr="00F34A6B">
        <w:rPr>
          <w:rFonts w:ascii="Times New Roman" w:hAnsi="Times New Roman" w:cs="Times New Roman"/>
          <w:sz w:val="22"/>
          <w:szCs w:val="22"/>
        </w:rPr>
        <w:t xml:space="preserve"> at 5-6.</w:t>
      </w:r>
    </w:p>
  </w:footnote>
  <w:footnote w:id="140">
    <w:p w14:paraId="239C8AB3" w14:textId="77777777" w:rsidR="00DB5CC7" w:rsidRPr="00F34A6B" w:rsidRDefault="00DB5CC7" w:rsidP="00C1042E">
      <w:pPr>
        <w:pStyle w:val="FootnoteText"/>
        <w:rPr>
          <w:rFonts w:ascii="Times New Roman" w:hAnsi="Times New Roman" w:cs="Times New Roman"/>
          <w:sz w:val="22"/>
          <w:szCs w:val="22"/>
        </w:rPr>
      </w:pPr>
      <w:r w:rsidRPr="00F34A6B">
        <w:rPr>
          <w:rStyle w:val="FootnoteReference"/>
          <w:rFonts w:ascii="Times New Roman" w:hAnsi="Times New Roman" w:cs="Times New Roman"/>
          <w:sz w:val="22"/>
          <w:szCs w:val="22"/>
        </w:rPr>
        <w:footnoteRef/>
      </w:r>
      <w:r w:rsidRPr="00F34A6B">
        <w:rPr>
          <w:rFonts w:ascii="Times New Roman" w:hAnsi="Times New Roman" w:cs="Times New Roman"/>
          <w:sz w:val="22"/>
          <w:szCs w:val="22"/>
        </w:rPr>
        <w:t xml:space="preserve"> Ibid at 6.</w:t>
      </w:r>
    </w:p>
  </w:footnote>
  <w:footnote w:id="141">
    <w:p w14:paraId="4781BE15" w14:textId="1A612B85" w:rsidR="00DB5CC7" w:rsidRDefault="00DB5CC7" w:rsidP="00C1042E">
      <w:pPr>
        <w:pStyle w:val="FootnoteText"/>
      </w:pPr>
      <w:r w:rsidRPr="00E47149">
        <w:rPr>
          <w:rStyle w:val="FootnoteReference"/>
          <w:rFonts w:ascii="Times New Roman" w:hAnsi="Times New Roman" w:cs="Times New Roman"/>
          <w:sz w:val="22"/>
          <w:szCs w:val="22"/>
        </w:rPr>
        <w:footnoteRef/>
      </w:r>
      <w:r w:rsidRPr="00E47149">
        <w:rPr>
          <w:rStyle w:val="FootnoteReference"/>
          <w:rFonts w:ascii="Times New Roman" w:hAnsi="Times New Roman" w:cs="Times New Roman"/>
          <w:sz w:val="22"/>
          <w:szCs w:val="22"/>
        </w:rPr>
        <w:t xml:space="preserve"> </w:t>
      </w:r>
      <w:r w:rsidRPr="008F72C4">
        <w:rPr>
          <w:rFonts w:ascii="Times New Roman" w:eastAsia="Times New Roman" w:hAnsi="Times New Roman" w:cs="Times New Roman"/>
          <w:sz w:val="22"/>
          <w:szCs w:val="22"/>
        </w:rPr>
        <w:t>Dolan, ‘Letting Go of the Gender Binary</w:t>
      </w:r>
      <w:r>
        <w:rPr>
          <w:rFonts w:ascii="Times New Roman" w:eastAsia="Times New Roman" w:hAnsi="Times New Roman" w:cs="Times New Roman"/>
          <w:sz w:val="22"/>
          <w:szCs w:val="22"/>
        </w:rPr>
        <w:t xml:space="preserve">’ (n 93) at </w:t>
      </w:r>
      <w:r w:rsidRPr="008F72C4">
        <w:rPr>
          <w:rFonts w:ascii="Times New Roman" w:hAnsi="Times New Roman" w:cs="Times New Roman"/>
          <w:sz w:val="22"/>
          <w:szCs w:val="22"/>
        </w:rPr>
        <w:t>492.</w:t>
      </w:r>
    </w:p>
  </w:footnote>
  <w:footnote w:id="142">
    <w:p w14:paraId="5766094A" w14:textId="57A4AA05" w:rsidR="00DB5CC7" w:rsidRPr="008F72C4" w:rsidRDefault="00DB5CC7" w:rsidP="00C1042E">
      <w:pPr>
        <w:pStyle w:val="FootnoteText"/>
        <w:rPr>
          <w:rFonts w:ascii="Times New Roman" w:hAnsi="Times New Roman" w:cs="Times New Roman"/>
          <w:sz w:val="22"/>
          <w:szCs w:val="22"/>
          <w:lang w:val="en-AU"/>
        </w:rPr>
      </w:pPr>
      <w:r w:rsidRPr="00FF0D6B">
        <w:rPr>
          <w:rStyle w:val="FootnoteReference"/>
          <w:rFonts w:ascii="Times New Roman" w:hAnsi="Times New Roman" w:cs="Times New Roman"/>
          <w:sz w:val="22"/>
          <w:szCs w:val="22"/>
        </w:rPr>
        <w:footnoteRef/>
      </w:r>
      <w:r w:rsidRPr="00FF0D6B">
        <w:rPr>
          <w:rFonts w:ascii="Times New Roman" w:hAnsi="Times New Roman" w:cs="Times New Roman"/>
          <w:sz w:val="22"/>
          <w:szCs w:val="22"/>
        </w:rPr>
        <w:t xml:space="preserve"> </w:t>
      </w:r>
      <w:r w:rsidRPr="00FF0D6B">
        <w:rPr>
          <w:rFonts w:ascii="Times New Roman" w:eastAsia="Times New Roman" w:hAnsi="Times New Roman" w:cs="Times New Roman"/>
          <w:sz w:val="22"/>
          <w:szCs w:val="22"/>
        </w:rPr>
        <w:t xml:space="preserve">Charles and Denman </w:t>
      </w:r>
      <w:r>
        <w:rPr>
          <w:rFonts w:ascii="Times New Roman" w:eastAsia="Times New Roman" w:hAnsi="Times New Roman" w:cs="Times New Roman"/>
          <w:sz w:val="22"/>
          <w:szCs w:val="22"/>
        </w:rPr>
        <w:t>(n 127)</w:t>
      </w:r>
      <w:r w:rsidRPr="00FF0D6B">
        <w:rPr>
          <w:rFonts w:ascii="Times New Roman" w:eastAsia="Times New Roman" w:hAnsi="Times New Roman" w:cs="Times New Roman"/>
          <w:sz w:val="22"/>
          <w:szCs w:val="22"/>
        </w:rPr>
        <w:t xml:space="preserve"> at 103.</w:t>
      </w:r>
    </w:p>
  </w:footnote>
  <w:footnote w:id="143">
    <w:p w14:paraId="007F37AD" w14:textId="2AE015FB" w:rsidR="00DB5CC7" w:rsidRPr="008F72C4" w:rsidRDefault="00DB5CC7" w:rsidP="00C1042E">
      <w:pPr>
        <w:pStyle w:val="FootnoteText"/>
        <w:rPr>
          <w:rFonts w:ascii="Times New Roman" w:hAnsi="Times New Roman" w:cs="Times New Roman"/>
          <w:sz w:val="22"/>
          <w:szCs w:val="22"/>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bookmarkStart w:id="13" w:name="_Hlk525569624"/>
      <w:proofErr w:type="spellStart"/>
      <w:r w:rsidRPr="008F72C4">
        <w:rPr>
          <w:rFonts w:ascii="Times New Roman" w:eastAsia="Times New Roman" w:hAnsi="Times New Roman" w:cs="Times New Roman"/>
          <w:sz w:val="22"/>
          <w:szCs w:val="22"/>
        </w:rPr>
        <w:t>Asgary</w:t>
      </w:r>
      <w:proofErr w:type="spellEnd"/>
      <w:r w:rsidRPr="008F72C4">
        <w:rPr>
          <w:rFonts w:ascii="Times New Roman" w:eastAsia="Times New Roman" w:hAnsi="Times New Roman" w:cs="Times New Roman"/>
          <w:sz w:val="22"/>
          <w:szCs w:val="22"/>
        </w:rPr>
        <w:t>, Emery and Wong</w:t>
      </w:r>
      <w:bookmarkEnd w:id="13"/>
      <w:r w:rsidRPr="008F72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 89) </w:t>
      </w:r>
      <w:r w:rsidRPr="008F72C4">
        <w:rPr>
          <w:rFonts w:ascii="Times New Roman" w:eastAsia="Times New Roman" w:hAnsi="Times New Roman" w:cs="Times New Roman"/>
          <w:sz w:val="22"/>
          <w:szCs w:val="22"/>
        </w:rPr>
        <w:t xml:space="preserve">at </w:t>
      </w:r>
      <w:r w:rsidRPr="008F72C4">
        <w:rPr>
          <w:rFonts w:ascii="Times New Roman" w:hAnsi="Times New Roman" w:cs="Times New Roman"/>
          <w:sz w:val="22"/>
          <w:szCs w:val="22"/>
        </w:rPr>
        <w:t>88-89.</w:t>
      </w:r>
    </w:p>
  </w:footnote>
  <w:footnote w:id="144">
    <w:p w14:paraId="2DEF2501" w14:textId="77777777" w:rsidR="00DB5CC7" w:rsidRPr="008F72C4" w:rsidRDefault="00DB5CC7" w:rsidP="009145AD">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sidRPr="008F72C4">
        <w:rPr>
          <w:rFonts w:ascii="Times New Roman" w:eastAsia="Times New Roman" w:hAnsi="Times New Roman" w:cs="Times New Roman"/>
          <w:sz w:val="22"/>
          <w:szCs w:val="22"/>
        </w:rPr>
        <w:t xml:space="preserve">United Nations High Commissioner for Refugees, ‘UNHCR, Sexual Violence Against Refugees: Guidelines on Prevention and Response (Extracts)’ (1995) 7(4) </w:t>
      </w:r>
      <w:r w:rsidRPr="008F72C4">
        <w:rPr>
          <w:rFonts w:ascii="Times New Roman" w:eastAsia="Times New Roman" w:hAnsi="Times New Roman" w:cs="Times New Roman"/>
          <w:i/>
          <w:sz w:val="22"/>
          <w:szCs w:val="22"/>
        </w:rPr>
        <w:t xml:space="preserve">International Journal of Refugee Law </w:t>
      </w:r>
      <w:r w:rsidRPr="008F72C4">
        <w:rPr>
          <w:rFonts w:ascii="Times New Roman" w:eastAsia="Times New Roman" w:hAnsi="Times New Roman" w:cs="Times New Roman"/>
          <w:sz w:val="22"/>
          <w:szCs w:val="22"/>
        </w:rPr>
        <w:t>720-755 at 747-749.</w:t>
      </w:r>
    </w:p>
  </w:footnote>
  <w:footnote w:id="145">
    <w:p w14:paraId="4A6B6BCF" w14:textId="77777777" w:rsidR="00DB5CC7" w:rsidRPr="008F72C4" w:rsidRDefault="00DB5CC7" w:rsidP="009145AD">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749-750.</w:t>
      </w:r>
    </w:p>
  </w:footnote>
  <w:footnote w:id="146">
    <w:p w14:paraId="1613B2E0" w14:textId="77777777" w:rsidR="00DB5CC7" w:rsidRPr="008F72C4" w:rsidRDefault="00DB5CC7" w:rsidP="009145AD">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750-752.</w:t>
      </w:r>
    </w:p>
  </w:footnote>
  <w:footnote w:id="147">
    <w:p w14:paraId="6C0D3B4E" w14:textId="77777777" w:rsidR="00DB5CC7" w:rsidRPr="008F72C4" w:rsidRDefault="00DB5CC7" w:rsidP="00506E04">
      <w:pPr>
        <w:pStyle w:val="FootnoteText"/>
        <w:rPr>
          <w:rFonts w:ascii="Times New Roman" w:hAnsi="Times New Roman" w:cs="Times New Roman"/>
          <w:sz w:val="22"/>
          <w:szCs w:val="22"/>
          <w:lang w:val="en-AU"/>
        </w:rPr>
      </w:pPr>
      <w:r w:rsidRPr="008F72C4">
        <w:rPr>
          <w:rStyle w:val="FootnoteReference"/>
          <w:rFonts w:ascii="Times New Roman" w:hAnsi="Times New Roman" w:cs="Times New Roman"/>
          <w:sz w:val="22"/>
          <w:szCs w:val="22"/>
        </w:rPr>
        <w:footnoteRef/>
      </w:r>
      <w:r w:rsidRPr="008F72C4">
        <w:rPr>
          <w:rFonts w:ascii="Times New Roman" w:hAnsi="Times New Roman" w:cs="Times New Roman"/>
          <w:sz w:val="22"/>
          <w:szCs w:val="22"/>
        </w:rPr>
        <w:t xml:space="preserve"> </w:t>
      </w:r>
      <w:r>
        <w:rPr>
          <w:rFonts w:ascii="Times New Roman" w:eastAsia="Times New Roman" w:hAnsi="Times New Roman" w:cs="Times New Roman"/>
          <w:sz w:val="22"/>
          <w:szCs w:val="22"/>
        </w:rPr>
        <w:t>Ibid</w:t>
      </w:r>
      <w:r w:rsidRPr="008F72C4">
        <w:rPr>
          <w:rFonts w:ascii="Times New Roman" w:eastAsia="Times New Roman" w:hAnsi="Times New Roman" w:cs="Times New Roman"/>
          <w:sz w:val="22"/>
          <w:szCs w:val="22"/>
        </w:rPr>
        <w:t xml:space="preserve"> at 750-752.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A20"/>
    <w:multiLevelType w:val="hybridMultilevel"/>
    <w:tmpl w:val="CD06E6C2"/>
    <w:lvl w:ilvl="0" w:tplc="E4D45ED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20505F7E"/>
    <w:multiLevelType w:val="hybridMultilevel"/>
    <w:tmpl w:val="8B803BBA"/>
    <w:lvl w:ilvl="0" w:tplc="C46053A6">
      <w:start w:val="1"/>
      <w:numFmt w:val="decimal"/>
      <w:lvlText w:val="%1."/>
      <w:lvlJc w:val="left"/>
      <w:pPr>
        <w:ind w:left="2340" w:hanging="360"/>
      </w:pPr>
      <w:rPr>
        <w:rFonts w:hint="default"/>
        <w:u w:val="none"/>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 w15:restartNumberingAfterBreak="0">
    <w:nsid w:val="29474368"/>
    <w:multiLevelType w:val="hybridMultilevel"/>
    <w:tmpl w:val="4E769368"/>
    <w:lvl w:ilvl="0" w:tplc="B35E8E8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384977C4"/>
    <w:multiLevelType w:val="hybridMultilevel"/>
    <w:tmpl w:val="BD421AA8"/>
    <w:lvl w:ilvl="0" w:tplc="46081F6C">
      <w:start w:val="1"/>
      <w:numFmt w:val="lowerLetter"/>
      <w:lvlText w:val="(%1)"/>
      <w:lvlJc w:val="left"/>
      <w:pPr>
        <w:ind w:left="2520" w:hanging="360"/>
      </w:pPr>
      <w:rPr>
        <w:rFonts w:hint="default"/>
        <w:u w:val="none"/>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39A777E3"/>
    <w:multiLevelType w:val="hybridMultilevel"/>
    <w:tmpl w:val="1656429A"/>
    <w:lvl w:ilvl="0" w:tplc="B78CF2A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3CBD4CBE"/>
    <w:multiLevelType w:val="hybridMultilevel"/>
    <w:tmpl w:val="D39EE788"/>
    <w:lvl w:ilvl="0" w:tplc="37E6F59A">
      <w:start w:val="1"/>
      <w:numFmt w:val="decimal"/>
      <w:lvlText w:val="%1."/>
      <w:lvlJc w:val="left"/>
      <w:pPr>
        <w:ind w:left="2340" w:hanging="360"/>
      </w:pPr>
      <w:rPr>
        <w:rFonts w:hint="default"/>
        <w:u w:val="none"/>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15:restartNumberingAfterBreak="0">
    <w:nsid w:val="3F1674A1"/>
    <w:multiLevelType w:val="hybridMultilevel"/>
    <w:tmpl w:val="BD32E0C6"/>
    <w:lvl w:ilvl="0" w:tplc="4904712A">
      <w:start w:val="1"/>
      <w:numFmt w:val="lowerLetter"/>
      <w:lvlText w:val="(%1)"/>
      <w:lvlJc w:val="left"/>
      <w:pPr>
        <w:ind w:left="1822" w:hanging="360"/>
      </w:pPr>
      <w:rPr>
        <w:rFonts w:hint="default"/>
        <w:u w:val="none"/>
      </w:rPr>
    </w:lvl>
    <w:lvl w:ilvl="1" w:tplc="0C090019" w:tentative="1">
      <w:start w:val="1"/>
      <w:numFmt w:val="lowerLetter"/>
      <w:lvlText w:val="%2."/>
      <w:lvlJc w:val="left"/>
      <w:pPr>
        <w:ind w:left="2542" w:hanging="360"/>
      </w:pPr>
    </w:lvl>
    <w:lvl w:ilvl="2" w:tplc="0C09001B" w:tentative="1">
      <w:start w:val="1"/>
      <w:numFmt w:val="lowerRoman"/>
      <w:lvlText w:val="%3."/>
      <w:lvlJc w:val="right"/>
      <w:pPr>
        <w:ind w:left="3262" w:hanging="180"/>
      </w:pPr>
    </w:lvl>
    <w:lvl w:ilvl="3" w:tplc="0C09000F" w:tentative="1">
      <w:start w:val="1"/>
      <w:numFmt w:val="decimal"/>
      <w:lvlText w:val="%4."/>
      <w:lvlJc w:val="left"/>
      <w:pPr>
        <w:ind w:left="3982" w:hanging="360"/>
      </w:pPr>
    </w:lvl>
    <w:lvl w:ilvl="4" w:tplc="0C090019" w:tentative="1">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7" w15:restartNumberingAfterBreak="0">
    <w:nsid w:val="43153339"/>
    <w:multiLevelType w:val="hybridMultilevel"/>
    <w:tmpl w:val="DADE3912"/>
    <w:lvl w:ilvl="0" w:tplc="006C6B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C0258C"/>
    <w:multiLevelType w:val="hybridMultilevel"/>
    <w:tmpl w:val="26B8D6DE"/>
    <w:lvl w:ilvl="0" w:tplc="045463EE">
      <w:start w:val="1"/>
      <w:numFmt w:val="lowerLetter"/>
      <w:lvlText w:val="(%1)"/>
      <w:lvlJc w:val="left"/>
      <w:pPr>
        <w:ind w:left="2520" w:hanging="360"/>
      </w:pPr>
      <w:rPr>
        <w:rFonts w:hint="default"/>
        <w:u w:val="none"/>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6F5F5EE7"/>
    <w:multiLevelType w:val="hybridMultilevel"/>
    <w:tmpl w:val="4FCE077C"/>
    <w:lvl w:ilvl="0" w:tplc="974A8C3C">
      <w:start w:val="5"/>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749F3B8E"/>
    <w:multiLevelType w:val="hybridMultilevel"/>
    <w:tmpl w:val="21E84206"/>
    <w:lvl w:ilvl="0" w:tplc="AD680DD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7"/>
  </w:num>
  <w:num w:numId="2">
    <w:abstractNumId w:val="5"/>
  </w:num>
  <w:num w:numId="3">
    <w:abstractNumId w:val="1"/>
  </w:num>
  <w:num w:numId="4">
    <w:abstractNumId w:val="6"/>
  </w:num>
  <w:num w:numId="5">
    <w:abstractNumId w:val="8"/>
  </w:num>
  <w:num w:numId="6">
    <w:abstractNumId w:val="4"/>
  </w:num>
  <w:num w:numId="7">
    <w:abstractNumId w:val="3"/>
  </w:num>
  <w:num w:numId="8">
    <w:abstractNumId w:val="2"/>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FC"/>
    <w:rsid w:val="00000390"/>
    <w:rsid w:val="000018DF"/>
    <w:rsid w:val="00004E78"/>
    <w:rsid w:val="0000590C"/>
    <w:rsid w:val="00006EB7"/>
    <w:rsid w:val="00012816"/>
    <w:rsid w:val="0002220D"/>
    <w:rsid w:val="00033A5E"/>
    <w:rsid w:val="000352A5"/>
    <w:rsid w:val="00056365"/>
    <w:rsid w:val="00060CF6"/>
    <w:rsid w:val="00061E8C"/>
    <w:rsid w:val="00077F0C"/>
    <w:rsid w:val="000B08C8"/>
    <w:rsid w:val="000B0D97"/>
    <w:rsid w:val="000B370F"/>
    <w:rsid w:val="000B66D8"/>
    <w:rsid w:val="000C1D07"/>
    <w:rsid w:val="000C46A9"/>
    <w:rsid w:val="000D5F34"/>
    <w:rsid w:val="000E4A5F"/>
    <w:rsid w:val="000E561C"/>
    <w:rsid w:val="001047C2"/>
    <w:rsid w:val="00107369"/>
    <w:rsid w:val="00113687"/>
    <w:rsid w:val="001172CB"/>
    <w:rsid w:val="001228EB"/>
    <w:rsid w:val="00132241"/>
    <w:rsid w:val="00136B2F"/>
    <w:rsid w:val="00137A0F"/>
    <w:rsid w:val="00147C35"/>
    <w:rsid w:val="00150C29"/>
    <w:rsid w:val="00154FF0"/>
    <w:rsid w:val="00157C68"/>
    <w:rsid w:val="00164428"/>
    <w:rsid w:val="001766E1"/>
    <w:rsid w:val="001777FC"/>
    <w:rsid w:val="00183756"/>
    <w:rsid w:val="0018520B"/>
    <w:rsid w:val="00196E7A"/>
    <w:rsid w:val="001B13A6"/>
    <w:rsid w:val="001C2450"/>
    <w:rsid w:val="001C5F22"/>
    <w:rsid w:val="001E0FE2"/>
    <w:rsid w:val="001E42D9"/>
    <w:rsid w:val="001F49C4"/>
    <w:rsid w:val="0023344A"/>
    <w:rsid w:val="00234D23"/>
    <w:rsid w:val="002373A8"/>
    <w:rsid w:val="0024132A"/>
    <w:rsid w:val="00243F49"/>
    <w:rsid w:val="0024470D"/>
    <w:rsid w:val="0024619A"/>
    <w:rsid w:val="002470F2"/>
    <w:rsid w:val="002620E8"/>
    <w:rsid w:val="00276DA7"/>
    <w:rsid w:val="00277C5D"/>
    <w:rsid w:val="00280E7B"/>
    <w:rsid w:val="00290797"/>
    <w:rsid w:val="00297D69"/>
    <w:rsid w:val="002B77AC"/>
    <w:rsid w:val="002D0221"/>
    <w:rsid w:val="002D1377"/>
    <w:rsid w:val="002D6F6A"/>
    <w:rsid w:val="002E3D74"/>
    <w:rsid w:val="002E5DDF"/>
    <w:rsid w:val="002F36A0"/>
    <w:rsid w:val="002F781C"/>
    <w:rsid w:val="003058B4"/>
    <w:rsid w:val="00323C51"/>
    <w:rsid w:val="00324C0A"/>
    <w:rsid w:val="0033068F"/>
    <w:rsid w:val="00334F65"/>
    <w:rsid w:val="00336A73"/>
    <w:rsid w:val="00337D3E"/>
    <w:rsid w:val="003404C1"/>
    <w:rsid w:val="003420BD"/>
    <w:rsid w:val="00342C4C"/>
    <w:rsid w:val="00345F39"/>
    <w:rsid w:val="0034774C"/>
    <w:rsid w:val="00355C1F"/>
    <w:rsid w:val="003655E9"/>
    <w:rsid w:val="0038655F"/>
    <w:rsid w:val="003A61B3"/>
    <w:rsid w:val="003B0223"/>
    <w:rsid w:val="003C1202"/>
    <w:rsid w:val="003D3D12"/>
    <w:rsid w:val="003E19FD"/>
    <w:rsid w:val="003F0FA1"/>
    <w:rsid w:val="003F5591"/>
    <w:rsid w:val="003F5E48"/>
    <w:rsid w:val="00404FDD"/>
    <w:rsid w:val="00410E1D"/>
    <w:rsid w:val="00427105"/>
    <w:rsid w:val="00427393"/>
    <w:rsid w:val="00431D01"/>
    <w:rsid w:val="0043426C"/>
    <w:rsid w:val="00435DED"/>
    <w:rsid w:val="004360D8"/>
    <w:rsid w:val="00442DE1"/>
    <w:rsid w:val="0045216D"/>
    <w:rsid w:val="00452CC6"/>
    <w:rsid w:val="0045348F"/>
    <w:rsid w:val="0047105D"/>
    <w:rsid w:val="0047553F"/>
    <w:rsid w:val="00475B3B"/>
    <w:rsid w:val="004776E9"/>
    <w:rsid w:val="00496AED"/>
    <w:rsid w:val="004A00CC"/>
    <w:rsid w:val="004A283A"/>
    <w:rsid w:val="004B485B"/>
    <w:rsid w:val="004C37A8"/>
    <w:rsid w:val="004D1075"/>
    <w:rsid w:val="004E2FBA"/>
    <w:rsid w:val="004E4149"/>
    <w:rsid w:val="00500616"/>
    <w:rsid w:val="00506E04"/>
    <w:rsid w:val="00511B4B"/>
    <w:rsid w:val="00512DFB"/>
    <w:rsid w:val="005138E1"/>
    <w:rsid w:val="00523592"/>
    <w:rsid w:val="00524A05"/>
    <w:rsid w:val="00540826"/>
    <w:rsid w:val="005416C6"/>
    <w:rsid w:val="0054418E"/>
    <w:rsid w:val="005443E1"/>
    <w:rsid w:val="00551209"/>
    <w:rsid w:val="00563288"/>
    <w:rsid w:val="00563A8E"/>
    <w:rsid w:val="005729A6"/>
    <w:rsid w:val="00581F80"/>
    <w:rsid w:val="00582449"/>
    <w:rsid w:val="00587F85"/>
    <w:rsid w:val="00590E84"/>
    <w:rsid w:val="005A0F72"/>
    <w:rsid w:val="005A3010"/>
    <w:rsid w:val="005C22A1"/>
    <w:rsid w:val="005C2B62"/>
    <w:rsid w:val="005D7C7D"/>
    <w:rsid w:val="005F1609"/>
    <w:rsid w:val="006003E8"/>
    <w:rsid w:val="00614847"/>
    <w:rsid w:val="00641AD7"/>
    <w:rsid w:val="00652A12"/>
    <w:rsid w:val="00667E14"/>
    <w:rsid w:val="00676CF6"/>
    <w:rsid w:val="006850B8"/>
    <w:rsid w:val="00695CFB"/>
    <w:rsid w:val="006A3A0A"/>
    <w:rsid w:val="006B093F"/>
    <w:rsid w:val="006B12A6"/>
    <w:rsid w:val="006B1DA7"/>
    <w:rsid w:val="006C065D"/>
    <w:rsid w:val="006C24DD"/>
    <w:rsid w:val="006D5EBC"/>
    <w:rsid w:val="006E3875"/>
    <w:rsid w:val="006F0CCD"/>
    <w:rsid w:val="006F72DD"/>
    <w:rsid w:val="00701C0F"/>
    <w:rsid w:val="00703779"/>
    <w:rsid w:val="00707A5E"/>
    <w:rsid w:val="007124A1"/>
    <w:rsid w:val="00721677"/>
    <w:rsid w:val="00733AAF"/>
    <w:rsid w:val="0073561F"/>
    <w:rsid w:val="00752676"/>
    <w:rsid w:val="00753253"/>
    <w:rsid w:val="00774C7A"/>
    <w:rsid w:val="0078178D"/>
    <w:rsid w:val="00781C08"/>
    <w:rsid w:val="00782289"/>
    <w:rsid w:val="007A2E5F"/>
    <w:rsid w:val="007A776D"/>
    <w:rsid w:val="007B208D"/>
    <w:rsid w:val="007C20BE"/>
    <w:rsid w:val="007D49D0"/>
    <w:rsid w:val="007F0B18"/>
    <w:rsid w:val="007F24EF"/>
    <w:rsid w:val="007F6A25"/>
    <w:rsid w:val="00801010"/>
    <w:rsid w:val="00820E46"/>
    <w:rsid w:val="00821B00"/>
    <w:rsid w:val="008355B4"/>
    <w:rsid w:val="00835C8B"/>
    <w:rsid w:val="00842541"/>
    <w:rsid w:val="00844693"/>
    <w:rsid w:val="008556A8"/>
    <w:rsid w:val="00855D42"/>
    <w:rsid w:val="00856252"/>
    <w:rsid w:val="008574AC"/>
    <w:rsid w:val="008626A9"/>
    <w:rsid w:val="00865D50"/>
    <w:rsid w:val="00873BEA"/>
    <w:rsid w:val="00886048"/>
    <w:rsid w:val="00891512"/>
    <w:rsid w:val="008964A2"/>
    <w:rsid w:val="008A327E"/>
    <w:rsid w:val="008A5237"/>
    <w:rsid w:val="008A5F9C"/>
    <w:rsid w:val="008C2B12"/>
    <w:rsid w:val="008C4143"/>
    <w:rsid w:val="008C4ACF"/>
    <w:rsid w:val="008C5B62"/>
    <w:rsid w:val="008E1FB4"/>
    <w:rsid w:val="008E6BA1"/>
    <w:rsid w:val="008F72C4"/>
    <w:rsid w:val="00901E10"/>
    <w:rsid w:val="00905738"/>
    <w:rsid w:val="00906C5D"/>
    <w:rsid w:val="009145AD"/>
    <w:rsid w:val="009270A3"/>
    <w:rsid w:val="00932225"/>
    <w:rsid w:val="00933065"/>
    <w:rsid w:val="009414DC"/>
    <w:rsid w:val="0094197C"/>
    <w:rsid w:val="00947AC7"/>
    <w:rsid w:val="0095579A"/>
    <w:rsid w:val="00963640"/>
    <w:rsid w:val="009712EE"/>
    <w:rsid w:val="00974552"/>
    <w:rsid w:val="009844B9"/>
    <w:rsid w:val="009905E9"/>
    <w:rsid w:val="00991FCE"/>
    <w:rsid w:val="00994184"/>
    <w:rsid w:val="009A12CC"/>
    <w:rsid w:val="009A5FE9"/>
    <w:rsid w:val="009B26FA"/>
    <w:rsid w:val="009B5CE2"/>
    <w:rsid w:val="009B6B23"/>
    <w:rsid w:val="009C2D9A"/>
    <w:rsid w:val="009C600B"/>
    <w:rsid w:val="009E33BE"/>
    <w:rsid w:val="009F32EF"/>
    <w:rsid w:val="009F4531"/>
    <w:rsid w:val="009F6620"/>
    <w:rsid w:val="009F70C0"/>
    <w:rsid w:val="009F763B"/>
    <w:rsid w:val="00A00381"/>
    <w:rsid w:val="00A030F5"/>
    <w:rsid w:val="00A10BA5"/>
    <w:rsid w:val="00A119D2"/>
    <w:rsid w:val="00A3379D"/>
    <w:rsid w:val="00A51F31"/>
    <w:rsid w:val="00A56283"/>
    <w:rsid w:val="00A61824"/>
    <w:rsid w:val="00A83C10"/>
    <w:rsid w:val="00AA437D"/>
    <w:rsid w:val="00AA487A"/>
    <w:rsid w:val="00AB7318"/>
    <w:rsid w:val="00AC6083"/>
    <w:rsid w:val="00AD3877"/>
    <w:rsid w:val="00AD5A43"/>
    <w:rsid w:val="00AF0FE6"/>
    <w:rsid w:val="00AF2B79"/>
    <w:rsid w:val="00AF5A46"/>
    <w:rsid w:val="00B05B6F"/>
    <w:rsid w:val="00B07D72"/>
    <w:rsid w:val="00B1178D"/>
    <w:rsid w:val="00B203ED"/>
    <w:rsid w:val="00B206B2"/>
    <w:rsid w:val="00B21FE8"/>
    <w:rsid w:val="00B23578"/>
    <w:rsid w:val="00B3118E"/>
    <w:rsid w:val="00B31FEA"/>
    <w:rsid w:val="00B41837"/>
    <w:rsid w:val="00B43AF8"/>
    <w:rsid w:val="00B451B1"/>
    <w:rsid w:val="00B45B56"/>
    <w:rsid w:val="00B5171F"/>
    <w:rsid w:val="00B5301C"/>
    <w:rsid w:val="00B64F08"/>
    <w:rsid w:val="00B650F0"/>
    <w:rsid w:val="00B72A94"/>
    <w:rsid w:val="00B77692"/>
    <w:rsid w:val="00B8682A"/>
    <w:rsid w:val="00B87F30"/>
    <w:rsid w:val="00B95FA5"/>
    <w:rsid w:val="00BA6EC9"/>
    <w:rsid w:val="00BB1FB1"/>
    <w:rsid w:val="00BB2817"/>
    <w:rsid w:val="00BB5068"/>
    <w:rsid w:val="00BC2795"/>
    <w:rsid w:val="00BC649E"/>
    <w:rsid w:val="00BD1781"/>
    <w:rsid w:val="00BD6573"/>
    <w:rsid w:val="00BE2E6F"/>
    <w:rsid w:val="00BF6446"/>
    <w:rsid w:val="00C00278"/>
    <w:rsid w:val="00C1042E"/>
    <w:rsid w:val="00C23DC4"/>
    <w:rsid w:val="00C24C50"/>
    <w:rsid w:val="00C3377D"/>
    <w:rsid w:val="00C43DCD"/>
    <w:rsid w:val="00C54EB3"/>
    <w:rsid w:val="00C57B29"/>
    <w:rsid w:val="00C61532"/>
    <w:rsid w:val="00C629E1"/>
    <w:rsid w:val="00C718D3"/>
    <w:rsid w:val="00C74840"/>
    <w:rsid w:val="00C77848"/>
    <w:rsid w:val="00C8262F"/>
    <w:rsid w:val="00C911E6"/>
    <w:rsid w:val="00C92EEA"/>
    <w:rsid w:val="00C932EA"/>
    <w:rsid w:val="00CA7252"/>
    <w:rsid w:val="00CB4A01"/>
    <w:rsid w:val="00CB539C"/>
    <w:rsid w:val="00CC0CA0"/>
    <w:rsid w:val="00CC30FC"/>
    <w:rsid w:val="00CC49BC"/>
    <w:rsid w:val="00CD14E2"/>
    <w:rsid w:val="00CD632B"/>
    <w:rsid w:val="00CE40EE"/>
    <w:rsid w:val="00CE68CE"/>
    <w:rsid w:val="00CF22E0"/>
    <w:rsid w:val="00D07639"/>
    <w:rsid w:val="00D13AC3"/>
    <w:rsid w:val="00D14A66"/>
    <w:rsid w:val="00D172A1"/>
    <w:rsid w:val="00D261BF"/>
    <w:rsid w:val="00D3187B"/>
    <w:rsid w:val="00D36F05"/>
    <w:rsid w:val="00D41087"/>
    <w:rsid w:val="00D45C86"/>
    <w:rsid w:val="00D515A6"/>
    <w:rsid w:val="00D56E28"/>
    <w:rsid w:val="00D6502D"/>
    <w:rsid w:val="00D75728"/>
    <w:rsid w:val="00D9576F"/>
    <w:rsid w:val="00DA1064"/>
    <w:rsid w:val="00DA23D9"/>
    <w:rsid w:val="00DA4B95"/>
    <w:rsid w:val="00DA53C5"/>
    <w:rsid w:val="00DB3ABD"/>
    <w:rsid w:val="00DB5CC7"/>
    <w:rsid w:val="00DC62D7"/>
    <w:rsid w:val="00DC6BB0"/>
    <w:rsid w:val="00DE1DB6"/>
    <w:rsid w:val="00DE31DE"/>
    <w:rsid w:val="00DF07C5"/>
    <w:rsid w:val="00E0001C"/>
    <w:rsid w:val="00E019D9"/>
    <w:rsid w:val="00E04383"/>
    <w:rsid w:val="00E06483"/>
    <w:rsid w:val="00E11769"/>
    <w:rsid w:val="00E15D7C"/>
    <w:rsid w:val="00E25E5B"/>
    <w:rsid w:val="00E31BEA"/>
    <w:rsid w:val="00E32DC2"/>
    <w:rsid w:val="00E35E86"/>
    <w:rsid w:val="00E40162"/>
    <w:rsid w:val="00E43122"/>
    <w:rsid w:val="00E5703D"/>
    <w:rsid w:val="00E60E77"/>
    <w:rsid w:val="00E710DB"/>
    <w:rsid w:val="00E736A8"/>
    <w:rsid w:val="00E7412B"/>
    <w:rsid w:val="00E820E0"/>
    <w:rsid w:val="00E87A90"/>
    <w:rsid w:val="00EA250E"/>
    <w:rsid w:val="00EA456A"/>
    <w:rsid w:val="00EB29D5"/>
    <w:rsid w:val="00EC1A36"/>
    <w:rsid w:val="00EC539A"/>
    <w:rsid w:val="00EC5872"/>
    <w:rsid w:val="00ED0D8F"/>
    <w:rsid w:val="00ED1C71"/>
    <w:rsid w:val="00ED21E4"/>
    <w:rsid w:val="00ED3B1E"/>
    <w:rsid w:val="00ED586E"/>
    <w:rsid w:val="00EE2581"/>
    <w:rsid w:val="00EE7301"/>
    <w:rsid w:val="00EE74FE"/>
    <w:rsid w:val="00EF0444"/>
    <w:rsid w:val="00EF6008"/>
    <w:rsid w:val="00F02D3B"/>
    <w:rsid w:val="00F075C8"/>
    <w:rsid w:val="00F44EB4"/>
    <w:rsid w:val="00F54C34"/>
    <w:rsid w:val="00F61552"/>
    <w:rsid w:val="00F7056A"/>
    <w:rsid w:val="00F722AC"/>
    <w:rsid w:val="00F743C6"/>
    <w:rsid w:val="00F74AD7"/>
    <w:rsid w:val="00F74D89"/>
    <w:rsid w:val="00F751EA"/>
    <w:rsid w:val="00F855EF"/>
    <w:rsid w:val="00F85D29"/>
    <w:rsid w:val="00F86161"/>
    <w:rsid w:val="00FB2E7F"/>
    <w:rsid w:val="00FB352E"/>
    <w:rsid w:val="00FB4DF4"/>
    <w:rsid w:val="00FB5767"/>
    <w:rsid w:val="00FE12A7"/>
    <w:rsid w:val="00FE50F7"/>
    <w:rsid w:val="00FF0D6B"/>
    <w:rsid w:val="00FF3C1D"/>
    <w:rsid w:val="00FF44E0"/>
    <w:rsid w:val="00FF4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0FC"/>
    <w:pPr>
      <w:spacing w:after="0" w:line="240" w:lineRule="auto"/>
    </w:pPr>
    <w:rPr>
      <w:sz w:val="24"/>
      <w:szCs w:val="24"/>
      <w:lang w:val="en-US"/>
    </w:rPr>
  </w:style>
  <w:style w:type="paragraph" w:styleId="Heading2">
    <w:name w:val="heading 2"/>
    <w:basedOn w:val="Normal"/>
    <w:link w:val="Heading2Char"/>
    <w:uiPriority w:val="9"/>
    <w:qFormat/>
    <w:rsid w:val="00C1042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42E"/>
    <w:rPr>
      <w:rFonts w:ascii="Times New Roman" w:hAnsi="Times New Roman" w:cs="Times New Roman"/>
      <w:b/>
      <w:bCs/>
      <w:sz w:val="36"/>
      <w:szCs w:val="36"/>
      <w:lang w:val="en-US"/>
    </w:rPr>
  </w:style>
  <w:style w:type="paragraph" w:styleId="FootnoteText">
    <w:name w:val="footnote text"/>
    <w:basedOn w:val="Normal"/>
    <w:link w:val="FootnoteTextChar"/>
    <w:uiPriority w:val="99"/>
    <w:unhideWhenUsed/>
    <w:rsid w:val="00CC30FC"/>
  </w:style>
  <w:style w:type="character" w:customStyle="1" w:styleId="FootnoteTextChar">
    <w:name w:val="Footnote Text Char"/>
    <w:basedOn w:val="DefaultParagraphFont"/>
    <w:link w:val="FootnoteText"/>
    <w:uiPriority w:val="99"/>
    <w:rsid w:val="00CC30FC"/>
    <w:rPr>
      <w:sz w:val="24"/>
      <w:szCs w:val="24"/>
      <w:lang w:val="en-US"/>
    </w:rPr>
  </w:style>
  <w:style w:type="character" w:styleId="FootnoteReference">
    <w:name w:val="footnote reference"/>
    <w:basedOn w:val="DefaultParagraphFont"/>
    <w:uiPriority w:val="99"/>
    <w:unhideWhenUsed/>
    <w:rsid w:val="00CC30FC"/>
    <w:rPr>
      <w:vertAlign w:val="superscript"/>
    </w:rPr>
  </w:style>
  <w:style w:type="paragraph" w:styleId="ListParagraph">
    <w:name w:val="List Paragraph"/>
    <w:basedOn w:val="Normal"/>
    <w:uiPriority w:val="34"/>
    <w:qFormat/>
    <w:rsid w:val="00873BEA"/>
    <w:pPr>
      <w:ind w:left="720"/>
      <w:contextualSpacing/>
    </w:pPr>
  </w:style>
  <w:style w:type="paragraph" w:customStyle="1" w:styleId="p1">
    <w:name w:val="p1"/>
    <w:basedOn w:val="Normal"/>
    <w:rsid w:val="006F0CCD"/>
    <w:rPr>
      <w:rFonts w:ascii="Times" w:hAnsi="Times" w:cs="Times New Roman"/>
      <w:sz w:val="14"/>
      <w:szCs w:val="14"/>
    </w:rPr>
  </w:style>
  <w:style w:type="paragraph" w:styleId="Header">
    <w:name w:val="header"/>
    <w:basedOn w:val="Normal"/>
    <w:link w:val="HeaderChar"/>
    <w:uiPriority w:val="99"/>
    <w:unhideWhenUsed/>
    <w:rsid w:val="005C2B62"/>
    <w:pPr>
      <w:tabs>
        <w:tab w:val="center" w:pos="4513"/>
        <w:tab w:val="right" w:pos="9026"/>
      </w:tabs>
    </w:pPr>
  </w:style>
  <w:style w:type="character" w:customStyle="1" w:styleId="HeaderChar">
    <w:name w:val="Header Char"/>
    <w:basedOn w:val="DefaultParagraphFont"/>
    <w:link w:val="Header"/>
    <w:uiPriority w:val="99"/>
    <w:rsid w:val="005C2B62"/>
    <w:rPr>
      <w:sz w:val="24"/>
      <w:szCs w:val="24"/>
      <w:lang w:val="en-US"/>
    </w:rPr>
  </w:style>
  <w:style w:type="paragraph" w:styleId="Footer">
    <w:name w:val="footer"/>
    <w:basedOn w:val="Normal"/>
    <w:link w:val="FooterChar"/>
    <w:uiPriority w:val="99"/>
    <w:unhideWhenUsed/>
    <w:rsid w:val="005C2B62"/>
    <w:pPr>
      <w:tabs>
        <w:tab w:val="center" w:pos="4513"/>
        <w:tab w:val="right" w:pos="9026"/>
      </w:tabs>
    </w:pPr>
  </w:style>
  <w:style w:type="character" w:customStyle="1" w:styleId="FooterChar">
    <w:name w:val="Footer Char"/>
    <w:basedOn w:val="DefaultParagraphFont"/>
    <w:link w:val="Footer"/>
    <w:uiPriority w:val="99"/>
    <w:rsid w:val="005C2B62"/>
    <w:rPr>
      <w:sz w:val="24"/>
      <w:szCs w:val="24"/>
      <w:lang w:val="en-US"/>
    </w:rPr>
  </w:style>
  <w:style w:type="paragraph" w:styleId="BalloonText">
    <w:name w:val="Balloon Text"/>
    <w:basedOn w:val="Normal"/>
    <w:link w:val="BalloonTextChar"/>
    <w:uiPriority w:val="99"/>
    <w:semiHidden/>
    <w:unhideWhenUsed/>
    <w:rsid w:val="00DB3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BD"/>
    <w:rPr>
      <w:rFonts w:ascii="Segoe UI" w:hAnsi="Segoe UI" w:cs="Segoe UI"/>
      <w:sz w:val="18"/>
      <w:szCs w:val="18"/>
      <w:lang w:val="en-US"/>
    </w:rPr>
  </w:style>
  <w:style w:type="character" w:styleId="Hyperlink">
    <w:name w:val="Hyperlink"/>
    <w:basedOn w:val="DefaultParagraphFont"/>
    <w:uiPriority w:val="99"/>
    <w:unhideWhenUsed/>
    <w:rsid w:val="00E5703D"/>
    <w:rPr>
      <w:color w:val="0563C1" w:themeColor="hyperlink"/>
      <w:u w:val="single"/>
    </w:rPr>
  </w:style>
  <w:style w:type="character" w:customStyle="1" w:styleId="UnresolvedMention1">
    <w:name w:val="Unresolved Mention1"/>
    <w:basedOn w:val="DefaultParagraphFont"/>
    <w:uiPriority w:val="99"/>
    <w:unhideWhenUsed/>
    <w:rsid w:val="00E5703D"/>
    <w:rPr>
      <w:color w:val="808080"/>
      <w:shd w:val="clear" w:color="auto" w:fill="E6E6E6"/>
    </w:rPr>
  </w:style>
  <w:style w:type="character" w:styleId="FollowedHyperlink">
    <w:name w:val="FollowedHyperlink"/>
    <w:basedOn w:val="DefaultParagraphFont"/>
    <w:uiPriority w:val="99"/>
    <w:semiHidden/>
    <w:unhideWhenUsed/>
    <w:rsid w:val="00F74AD7"/>
    <w:rPr>
      <w:color w:val="954F72" w:themeColor="followedHyperlink"/>
      <w:u w:val="single"/>
    </w:rPr>
  </w:style>
  <w:style w:type="table" w:styleId="TableGrid">
    <w:name w:val="Table Grid"/>
    <w:basedOn w:val="TableNormal"/>
    <w:uiPriority w:val="39"/>
    <w:rsid w:val="002E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2241"/>
    <w:rPr>
      <w:sz w:val="16"/>
      <w:szCs w:val="16"/>
    </w:rPr>
  </w:style>
  <w:style w:type="paragraph" w:styleId="CommentText">
    <w:name w:val="annotation text"/>
    <w:basedOn w:val="Normal"/>
    <w:link w:val="CommentTextChar"/>
    <w:uiPriority w:val="99"/>
    <w:semiHidden/>
    <w:unhideWhenUsed/>
    <w:rsid w:val="00132241"/>
    <w:rPr>
      <w:sz w:val="20"/>
      <w:szCs w:val="20"/>
    </w:rPr>
  </w:style>
  <w:style w:type="character" w:customStyle="1" w:styleId="CommentTextChar">
    <w:name w:val="Comment Text Char"/>
    <w:basedOn w:val="DefaultParagraphFont"/>
    <w:link w:val="CommentText"/>
    <w:uiPriority w:val="99"/>
    <w:semiHidden/>
    <w:rsid w:val="00132241"/>
    <w:rPr>
      <w:sz w:val="20"/>
      <w:szCs w:val="20"/>
      <w:lang w:val="en-US"/>
    </w:rPr>
  </w:style>
  <w:style w:type="paragraph" w:styleId="CommentSubject">
    <w:name w:val="annotation subject"/>
    <w:basedOn w:val="CommentText"/>
    <w:next w:val="CommentText"/>
    <w:link w:val="CommentSubjectChar"/>
    <w:uiPriority w:val="99"/>
    <w:semiHidden/>
    <w:unhideWhenUsed/>
    <w:rsid w:val="00132241"/>
    <w:rPr>
      <w:b/>
      <w:bCs/>
    </w:rPr>
  </w:style>
  <w:style w:type="character" w:customStyle="1" w:styleId="CommentSubjectChar">
    <w:name w:val="Comment Subject Char"/>
    <w:basedOn w:val="CommentTextChar"/>
    <w:link w:val="CommentSubject"/>
    <w:uiPriority w:val="99"/>
    <w:semiHidden/>
    <w:rsid w:val="0013224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rg/womenwatch/daw/cedaw/recommendations/recomm.htm" TargetMode="External"/><Relationship Id="rId21" Type="http://schemas.openxmlformats.org/officeDocument/2006/relationships/hyperlink" Target="https://www.ohchr.org/en/professionalinterest/pages/cmw.aspx" TargetMode="External"/><Relationship Id="rId42" Type="http://schemas.openxmlformats.org/officeDocument/2006/relationships/hyperlink" Target="http://www.unhcr.org/en-au/about-us/background/45dc19084/cartagena-declaration-refugees-adopted-colloquium-international-protection.html" TargetMode="External"/><Relationship Id="rId47" Type="http://schemas.openxmlformats.org/officeDocument/2006/relationships/hyperlink" Target="http://www.un-documents.net/sr1325.htm" TargetMode="External"/><Relationship Id="rId63" Type="http://schemas.openxmlformats.org/officeDocument/2006/relationships/hyperlink" Target="http://www.oas.org/juridico/english/treaties/a-61.html" TargetMode="External"/><Relationship Id="rId68" Type="http://schemas.openxmlformats.org/officeDocument/2006/relationships/hyperlink" Target="http://www.unhcr.org/en-au/publications/operations/3b9cc26c4/sexual-violence-against-refugees-guidelines-prevention-response-unhcr.html" TargetMode="External"/><Relationship Id="rId2" Type="http://schemas.openxmlformats.org/officeDocument/2006/relationships/numbering" Target="numbering.xml"/><Relationship Id="rId16" Type="http://schemas.openxmlformats.org/officeDocument/2006/relationships/hyperlink" Target="https://www.ohchr.org/EN/ProfessionalInterest/Pages/TrafficInPersons.aspx" TargetMode="External"/><Relationship Id="rId29" Type="http://schemas.openxmlformats.org/officeDocument/2006/relationships/hyperlink" Target="http://www.un.org/womenwatch/daw/cedaw/recommendations/recomm.htm" TargetMode="External"/><Relationship Id="rId11" Type="http://schemas.openxmlformats.org/officeDocument/2006/relationships/hyperlink" Target="http://www.birmingham.ac.uk/iris" TargetMode="External"/><Relationship Id="rId24" Type="http://schemas.openxmlformats.org/officeDocument/2006/relationships/hyperlink" Target="https://www.ohchr.org/en/professionalinterest/pages/ccpr.aspx" TargetMode="External"/><Relationship Id="rId32" Type="http://schemas.openxmlformats.org/officeDocument/2006/relationships/hyperlink" Target="https://tbinternet.ohchr.org/Treaties/CEDAW/Shared%20Documents/1_Global/CEDAW_C_GC_35_8267_E.pdf" TargetMode="External"/><Relationship Id="rId37" Type="http://schemas.openxmlformats.org/officeDocument/2006/relationships/hyperlink" Target="https://www.icc-cpi.int/nr/rdonlyres/ea9aeff7-5752-4f84-be94-0a655eb30e16/0/rome_statute_english.pdf" TargetMode="External"/><Relationship Id="rId40" Type="http://schemas.openxmlformats.org/officeDocument/2006/relationships/hyperlink" Target="https://assets.publishing.service.gov.uk/government/uploads/system/uploads/attachment_data/file/699703/gender-issues-in-the-asylum-claim-v3.pdf" TargetMode="External"/><Relationship Id="rId45" Type="http://schemas.openxmlformats.org/officeDocument/2006/relationships/hyperlink" Target="http://www.unhcr.org/en-au/publications/operations/3b9cc26c4/sexual-violence-against-refugees-guidelines-prevention-response-unhcr.html" TargetMode="External"/><Relationship Id="rId53" Type="http://schemas.openxmlformats.org/officeDocument/2006/relationships/hyperlink" Target="https://www.un.org/ruleoflaw/files/G8%20Declaration%20Sexual%20Violence%20in%20Conflict%20-%20April%202013.pdf" TargetMode="External"/><Relationship Id="rId58" Type="http://schemas.openxmlformats.org/officeDocument/2006/relationships/hyperlink" Target="https://www.ohchr.org/en/professionalinterest/pages/cedaw.aspx" TargetMode="External"/><Relationship Id="rId66" Type="http://schemas.openxmlformats.org/officeDocument/2006/relationships/hyperlink" Target="https://ihl-databases.icrc.org/ihl/385ec082b509e76c41256739003e636d/6756482d86146898c125641e004aa3c5" TargetMode="External"/><Relationship Id="rId5" Type="http://schemas.openxmlformats.org/officeDocument/2006/relationships/webSettings" Target="webSettings.xml"/><Relationship Id="rId61" Type="http://schemas.openxmlformats.org/officeDocument/2006/relationships/hyperlink" Target="https://www.echr.coe.int/Documents/Convention_ENG.pdf" TargetMode="External"/><Relationship Id="rId19" Type="http://schemas.openxmlformats.org/officeDocument/2006/relationships/hyperlink" Target="http://www.unesco.org/education/pdf/DISCRI_E.PDF" TargetMode="External"/><Relationship Id="rId14" Type="http://schemas.openxmlformats.org/officeDocument/2006/relationships/hyperlink" Target="mailto:bernadette.mcsherry@unimelb.edu.au" TargetMode="External"/><Relationship Id="rId22" Type="http://schemas.openxmlformats.org/officeDocument/2006/relationships/hyperlink" Target="http://www.un.org/documents/ga/res/48/a48r104.htm" TargetMode="External"/><Relationship Id="rId27" Type="http://schemas.openxmlformats.org/officeDocument/2006/relationships/hyperlink" Target="http://www.un.org/womenwatch/daw/cedaw/recommendations/recomm.htm" TargetMode="External"/><Relationship Id="rId30" Type="http://schemas.openxmlformats.org/officeDocument/2006/relationships/hyperlink" Target="https://tbinternet.ohchr.org/Treaties/CEDAW/Shared%20Documents/1_Global/CEDAW_C_GC_35_8267_E.pdf" TargetMode="External"/><Relationship Id="rId35" Type="http://schemas.openxmlformats.org/officeDocument/2006/relationships/hyperlink" Target="https://www.icc-cpi.int/iccdocs/otp/otp-policy-paper-on-sexual-and-gender-based-crimes--june-2014.pdf" TargetMode="External"/><Relationship Id="rId43" Type="http://schemas.openxmlformats.org/officeDocument/2006/relationships/hyperlink" Target="https://rm.coe.int/168008482e" TargetMode="External"/><Relationship Id="rId48" Type="http://schemas.openxmlformats.org/officeDocument/2006/relationships/hyperlink" Target="https://interagencystandingcommittee.org/gender-and-humanitarian-action-0/documents-public/guidelines-gender-based-violence-interventions-7" TargetMode="External"/><Relationship Id="rId56" Type="http://schemas.openxmlformats.org/officeDocument/2006/relationships/hyperlink" Target="https://www.ohchr.org/en/professionalinterest/pages/ccpr.aspx" TargetMode="External"/><Relationship Id="rId64" Type="http://schemas.openxmlformats.org/officeDocument/2006/relationships/hyperlink" Target="http://www.achpr.org/instruments/achpr/" TargetMode="External"/><Relationship Id="rId69" Type="http://schemas.openxmlformats.org/officeDocument/2006/relationships/hyperlink" Target="https://ihl-databases.icrc.org/applic/ihl/ihl.nsf/Article.xsp?action=openDocument&amp;documentId=BAA341028EBFF1E8C12563CD00519E66" TargetMode="External"/><Relationship Id="rId8" Type="http://schemas.openxmlformats.org/officeDocument/2006/relationships/image" Target="media/image1.jpeg"/><Relationship Id="rId51" Type="http://schemas.openxmlformats.org/officeDocument/2006/relationships/hyperlink" Target="http://www.unhcr.org/en-au/publications/operations/3b9cc26c4/sexual-violence-against-refugees-guidelines-prevention-response-unhcr.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un-documents.net/cprw.htm" TargetMode="External"/><Relationship Id="rId25" Type="http://schemas.openxmlformats.org/officeDocument/2006/relationships/hyperlink" Target="https://www.ohchr.org/en/professionalinterest/pages/cescr.aspx" TargetMode="External"/><Relationship Id="rId33" Type="http://schemas.openxmlformats.org/officeDocument/2006/relationships/hyperlink" Target="https://www.ohchr.org/en/professionalinterest/pages/cat.aspx" TargetMode="External"/><Relationship Id="rId38" Type="http://schemas.openxmlformats.org/officeDocument/2006/relationships/hyperlink" Target="https://www.icc-cpi.int/iccdocs/otp/otp-policy-paper-on-sexual-and-gender-based-crimes--june-2014.pdf" TargetMode="External"/><Relationship Id="rId46" Type="http://schemas.openxmlformats.org/officeDocument/2006/relationships/hyperlink" Target="http://www.unhcr.org/en-au/protection/women/3f696bcc4/sexual-gender-based-violence-against-refugees-returnees-internally-displaced.html" TargetMode="External"/><Relationship Id="rId59" Type="http://schemas.openxmlformats.org/officeDocument/2006/relationships/hyperlink" Target="https://www.ohchr.org/en/professionalinterest/pages/crc.aspx" TargetMode="External"/><Relationship Id="rId67" Type="http://schemas.openxmlformats.org/officeDocument/2006/relationships/hyperlink" Target="https://www.icrc.org/eng/assets/files/other/icrc_002_0321.pdf" TargetMode="External"/><Relationship Id="rId20" Type="http://schemas.openxmlformats.org/officeDocument/2006/relationships/hyperlink" Target="https://www.ohchr.org/en/professionalinterest/pages/cedaw.aspx" TargetMode="External"/><Relationship Id="rId41" Type="http://schemas.openxmlformats.org/officeDocument/2006/relationships/hyperlink" Target="http://www.unhcr.org/en-au/about-us/background/45dc1a682/oau-convention-governing-specific-aspects-refugee-problems-africa-adopted.html" TargetMode="External"/><Relationship Id="rId54" Type="http://schemas.openxmlformats.org/officeDocument/2006/relationships/hyperlink" Target="http://www.unhcr.org/en-au/publications/operations/3b9cc26c4/sexual-violence-against-refugees-guidelines-prevention-response-unhcr.html" TargetMode="External"/><Relationship Id="rId62" Type="http://schemas.openxmlformats.org/officeDocument/2006/relationships/hyperlink" Target="https://www.cidh.oas.org/basicos/english/basic3.american%20convention.htm" TargetMode="External"/><Relationship Id="rId70" Type="http://schemas.openxmlformats.org/officeDocument/2006/relationships/hyperlink" Target="https://ihl-databases.icrc.org/applic/ihl/ihl.nsf/Article.xsp?action=openDocument&amp;documentId=F9CBD575D47CA6C8C12563CD0051E7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A/71/818" TargetMode="External"/><Relationship Id="rId23" Type="http://schemas.openxmlformats.org/officeDocument/2006/relationships/hyperlink" Target="https://www.ohchr.org/en/professionalinterest/pages/cedaw.aspx" TargetMode="External"/><Relationship Id="rId28" Type="http://schemas.openxmlformats.org/officeDocument/2006/relationships/hyperlink" Target="https://tbinternet.ohchr.org/Treaties/CEDAW/Shared%20Documents/1_Global/CEDAW_C_GC_35_8267_E.pdf" TargetMode="External"/><Relationship Id="rId36" Type="http://schemas.openxmlformats.org/officeDocument/2006/relationships/hyperlink" Target="https://www.icc-cpi.int/nr/rdonlyres/ea9aeff7-5752-4f84-be94-0a655eb30e16/0/rome_statute_english.pdf" TargetMode="External"/><Relationship Id="rId49" Type="http://schemas.openxmlformats.org/officeDocument/2006/relationships/hyperlink" Target="https://gbvguidelines.org/wp/wp-content/uploads/2015/09/2015-IASC-Gender-based-Violence-Guidelines_lo-res.pdf" TargetMode="External"/><Relationship Id="rId57" Type="http://schemas.openxmlformats.org/officeDocument/2006/relationships/hyperlink" Target="https://www.ohchr.org/en/professionalinterest/pages/cescr.aspx" TargetMode="External"/><Relationship Id="rId10" Type="http://schemas.openxmlformats.org/officeDocument/2006/relationships/image" Target="media/image3.jpeg"/><Relationship Id="rId31" Type="http://schemas.openxmlformats.org/officeDocument/2006/relationships/hyperlink" Target="https://tbinternet.ohchr.org/Treaties/CEDAW/Shared%20Documents/1_Global/CEDAW_C_GC_35_8267_E.pdf" TargetMode="External"/><Relationship Id="rId44" Type="http://schemas.openxmlformats.org/officeDocument/2006/relationships/hyperlink" Target="http://www.unhcr.org/en-au/publications/legal/3d4f915e4/guidelines-protection-refugee-women.html" TargetMode="External"/><Relationship Id="rId52" Type="http://schemas.openxmlformats.org/officeDocument/2006/relationships/hyperlink" Target="http://www.unhcr.org/en-au/publications/legal/3d4f915e4/guidelines-protection-refugee-women.html" TargetMode="External"/><Relationship Id="rId60" Type="http://schemas.openxmlformats.org/officeDocument/2006/relationships/hyperlink" Target="http://www.unhcr.org/en-au/publications/operations/3b9cc26c4/sexual-violence-against-refugees-guidelines-prevention-response-unhcr.html" TargetMode="External"/><Relationship Id="rId65" Type="http://schemas.openxmlformats.org/officeDocument/2006/relationships/hyperlink" Target="http://www.unhcr.org/en-au/publications/operations/3b9cc26c4/sexual-violence-against-refugees-guidelines-prevention-response-unhcr.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andrew.butler@unimelb.edu.au" TargetMode="External"/><Relationship Id="rId18" Type="http://schemas.openxmlformats.org/officeDocument/2006/relationships/hyperlink" Target="https://www.ohchr.org/EN/ProfessionalInterest/Pages/EmploymentAndOccupation.aspx" TargetMode="External"/><Relationship Id="rId39" Type="http://schemas.openxmlformats.org/officeDocument/2006/relationships/hyperlink" Target="http://www.unhcr.org/en-au/3b66c2aa10" TargetMode="External"/><Relationship Id="rId34" Type="http://schemas.openxmlformats.org/officeDocument/2006/relationships/hyperlink" Target="https://tbinternet.ohchr.org/Treaties/CEDAW/Shared%20Documents/1_Global/CEDAW_C_GC_35_8267_E.pdf" TargetMode="External"/><Relationship Id="rId50" Type="http://schemas.openxmlformats.org/officeDocument/2006/relationships/hyperlink" Target="https://publications.parliament.uk/pa/cm201719/cmselect/cmintdev/840/840.pdf" TargetMode="External"/><Relationship Id="rId55" Type="http://schemas.openxmlformats.org/officeDocument/2006/relationships/hyperlink" Target="http://www.un.org/en/universal-declaration-human-rights/" TargetMode="Externa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Issues/Discrimination/LGBT/FactSheets/unfe-27-UN_Fact_Sheets_Homophobic_English.pdf" TargetMode="External"/><Relationship Id="rId1" Type="http://schemas.openxmlformats.org/officeDocument/2006/relationships/hyperlink" Target="https://www.icc-cpi.int/uganda/ong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93F1-C9BD-1249-9D9D-5C959972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14653</Words>
  <Characters>83527</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2018-07-26T08:16:00Z</cp:lastPrinted>
  <dcterms:created xsi:type="dcterms:W3CDTF">2019-03-07T22:50:00Z</dcterms:created>
  <dcterms:modified xsi:type="dcterms:W3CDTF">2019-03-07T22:50:00Z</dcterms:modified>
</cp:coreProperties>
</file>