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026"/>
      </w:tblGrid>
      <w:tr w:rsidR="00954CA1" w:rsidRPr="00276790" w14:paraId="678E5608" w14:textId="77777777" w:rsidTr="7E27458B">
        <w:trPr>
          <w:trHeight w:val="2880"/>
          <w:jc w:val="center"/>
        </w:trPr>
        <w:tc>
          <w:tcPr>
            <w:tcW w:w="5000" w:type="pct"/>
          </w:tcPr>
          <w:p w14:paraId="7030C850" w14:textId="17E0048F" w:rsidR="00183AA0" w:rsidRPr="002445E1" w:rsidRDefault="002B4C4A" w:rsidP="00183AA0">
            <w:pPr>
              <w:pStyle w:val="Title1"/>
              <w:jc w:val="center"/>
              <w:rPr>
                <w:rFonts w:cs="Arial"/>
                <w:b/>
                <w:szCs w:val="72"/>
              </w:rPr>
            </w:pPr>
            <w:r>
              <w:rPr>
                <w:rFonts w:cs="Arial"/>
                <w:szCs w:val="72"/>
              </w:rPr>
              <w:br/>
            </w:r>
            <w:r>
              <w:rPr>
                <w:rFonts w:cs="Arial"/>
                <w:szCs w:val="72"/>
              </w:rPr>
              <w:br/>
            </w:r>
            <w:r w:rsidR="002445E1" w:rsidRPr="002445E1">
              <w:rPr>
                <w:rFonts w:cs="Arial"/>
                <w:b/>
                <w:szCs w:val="72"/>
              </w:rPr>
              <w:t xml:space="preserve">THANKS A BUNDLE </w:t>
            </w:r>
          </w:p>
          <w:p w14:paraId="55ACF70B" w14:textId="77777777" w:rsidR="00954CA1" w:rsidRPr="00276790" w:rsidRDefault="00954CA1">
            <w:pPr>
              <w:pStyle w:val="NoSpacing"/>
              <w:jc w:val="center"/>
              <w:rPr>
                <w:rFonts w:ascii="Cambria" w:eastAsia="Times New Roman" w:hAnsi="Cambria" w:cs="Times New Roman"/>
                <w:caps/>
              </w:rPr>
            </w:pPr>
          </w:p>
        </w:tc>
      </w:tr>
      <w:tr w:rsidR="00954CA1" w:rsidRPr="00276790" w14:paraId="1772E336" w14:textId="77777777" w:rsidTr="00C50D41">
        <w:trPr>
          <w:trHeight w:val="3926"/>
          <w:jc w:val="center"/>
        </w:trPr>
        <w:tc>
          <w:tcPr>
            <w:tcW w:w="5000" w:type="pct"/>
            <w:vAlign w:val="center"/>
          </w:tcPr>
          <w:p w14:paraId="31C7541C" w14:textId="77777777" w:rsidR="00954CA1" w:rsidRPr="002445E1" w:rsidRDefault="006904D8" w:rsidP="00E26931">
            <w:pPr>
              <w:pStyle w:val="Title1"/>
              <w:jc w:val="center"/>
              <w:rPr>
                <w:rFonts w:cs="Arial"/>
                <w:i/>
                <w:sz w:val="40"/>
                <w:szCs w:val="40"/>
              </w:rPr>
            </w:pPr>
            <w:r w:rsidRPr="002445E1">
              <w:rPr>
                <w:rFonts w:cs="Arial"/>
                <w:i/>
                <w:sz w:val="40"/>
                <w:szCs w:val="40"/>
              </w:rPr>
              <w:t xml:space="preserve">Improving support and access </w:t>
            </w:r>
            <w:r w:rsidR="00183AA0" w:rsidRPr="002445E1">
              <w:rPr>
                <w:rFonts w:cs="Arial"/>
                <w:i/>
                <w:sz w:val="40"/>
                <w:szCs w:val="40"/>
              </w:rPr>
              <w:t xml:space="preserve">to online telecommunications products </w:t>
            </w:r>
            <w:r w:rsidRPr="002445E1">
              <w:rPr>
                <w:rFonts w:cs="Arial"/>
                <w:i/>
                <w:sz w:val="40"/>
                <w:szCs w:val="40"/>
              </w:rPr>
              <w:t>for consumers with cognitive disabilities</w:t>
            </w:r>
          </w:p>
          <w:p w14:paraId="0AD12F80" w14:textId="1D64D36F" w:rsidR="008A7527" w:rsidRPr="008A7527" w:rsidRDefault="008A7527" w:rsidP="008A7527">
            <w:pPr>
              <w:jc w:val="center"/>
              <w:rPr>
                <w:b/>
                <w:lang w:val="en-US"/>
              </w:rPr>
            </w:pPr>
            <w:r>
              <w:rPr>
                <w:rFonts w:ascii="Arial" w:hAnsi="Arial" w:cs="Arial"/>
                <w:sz w:val="40"/>
                <w:szCs w:val="40"/>
                <w:lang w:val="en-US"/>
              </w:rPr>
              <w:br/>
            </w:r>
            <w:r w:rsidR="008D5CDC">
              <w:rPr>
                <w:rFonts w:ascii="Arial" w:hAnsi="Arial" w:cs="Arial"/>
                <w:b/>
                <w:sz w:val="40"/>
                <w:szCs w:val="40"/>
                <w:lang w:val="en-US"/>
              </w:rPr>
              <w:t xml:space="preserve">SUMMARY </w:t>
            </w:r>
            <w:r w:rsidRPr="008A7527">
              <w:rPr>
                <w:rFonts w:ascii="Arial" w:hAnsi="Arial" w:cs="Arial"/>
                <w:b/>
                <w:sz w:val="40"/>
                <w:szCs w:val="40"/>
                <w:lang w:val="en-US"/>
              </w:rPr>
              <w:t>REPORT</w:t>
            </w:r>
          </w:p>
          <w:p w14:paraId="5A876678" w14:textId="67C1A483" w:rsidR="00C50D41" w:rsidRPr="00C50D41" w:rsidRDefault="00C50D41" w:rsidP="008A7527">
            <w:pPr>
              <w:rPr>
                <w:rFonts w:ascii="Arial" w:hAnsi="Arial" w:cs="Arial"/>
                <w:sz w:val="40"/>
                <w:szCs w:val="40"/>
                <w:lang w:val="en-US"/>
              </w:rPr>
            </w:pPr>
          </w:p>
        </w:tc>
      </w:tr>
      <w:tr w:rsidR="00954CA1" w:rsidRPr="00276790" w14:paraId="20EFD45B" w14:textId="77777777" w:rsidTr="00CB1C0B">
        <w:trPr>
          <w:trHeight w:val="720"/>
          <w:jc w:val="center"/>
        </w:trPr>
        <w:tc>
          <w:tcPr>
            <w:tcW w:w="5000" w:type="pct"/>
            <w:vAlign w:val="center"/>
          </w:tcPr>
          <w:p w14:paraId="2D834B63" w14:textId="640BD049" w:rsidR="00824A9E" w:rsidRPr="00276790" w:rsidRDefault="00824A9E" w:rsidP="008A7527">
            <w:pPr>
              <w:pStyle w:val="TITLE2"/>
              <w:ind w:left="0"/>
              <w:jc w:val="left"/>
            </w:pPr>
          </w:p>
        </w:tc>
      </w:tr>
      <w:tr w:rsidR="00954CA1" w:rsidRPr="00276790" w14:paraId="781F1F35" w14:textId="77777777" w:rsidTr="00CB1C0B">
        <w:trPr>
          <w:trHeight w:val="360"/>
          <w:jc w:val="center"/>
        </w:trPr>
        <w:tc>
          <w:tcPr>
            <w:tcW w:w="5000" w:type="pct"/>
            <w:vAlign w:val="center"/>
          </w:tcPr>
          <w:p w14:paraId="2BB27429" w14:textId="77777777" w:rsidR="00954CA1" w:rsidRPr="00276790" w:rsidRDefault="00954CA1" w:rsidP="008A7527">
            <w:pPr>
              <w:pStyle w:val="NoSpacing"/>
            </w:pPr>
          </w:p>
        </w:tc>
      </w:tr>
      <w:tr w:rsidR="00954CA1" w:rsidRPr="00276790" w14:paraId="7A422DB2" w14:textId="77777777" w:rsidTr="00CB1C0B">
        <w:trPr>
          <w:trHeight w:val="360"/>
          <w:jc w:val="center"/>
        </w:trPr>
        <w:tc>
          <w:tcPr>
            <w:tcW w:w="5000" w:type="pct"/>
            <w:vAlign w:val="center"/>
          </w:tcPr>
          <w:p w14:paraId="5CFD3E0C" w14:textId="3F05F824" w:rsidR="00954CA1" w:rsidRPr="002445E1" w:rsidRDefault="00CB71C2" w:rsidP="00954CA1">
            <w:pPr>
              <w:pStyle w:val="NoSpacing"/>
              <w:jc w:val="center"/>
              <w:rPr>
                <w:rFonts w:ascii="Arial" w:hAnsi="Arial"/>
                <w:bCs/>
                <w:sz w:val="24"/>
                <w:szCs w:val="24"/>
              </w:rPr>
            </w:pPr>
            <w:r w:rsidRPr="002445E1">
              <w:rPr>
                <w:rFonts w:ascii="Arial" w:hAnsi="Arial"/>
                <w:bCs/>
                <w:sz w:val="24"/>
                <w:szCs w:val="24"/>
                <w:lang w:val="en-AU"/>
              </w:rPr>
              <w:t xml:space="preserve">Yvette Maker, </w:t>
            </w:r>
            <w:r w:rsidR="0082352C" w:rsidRPr="002445E1">
              <w:rPr>
                <w:rFonts w:ascii="Arial" w:hAnsi="Arial"/>
                <w:bCs/>
                <w:sz w:val="24"/>
                <w:szCs w:val="24"/>
                <w:lang w:val="en-AU"/>
              </w:rPr>
              <w:t xml:space="preserve">Jeannie Marie Paterson, </w:t>
            </w:r>
            <w:r w:rsidRPr="002445E1">
              <w:rPr>
                <w:rFonts w:ascii="Arial" w:hAnsi="Arial"/>
                <w:bCs/>
                <w:sz w:val="24"/>
                <w:szCs w:val="24"/>
                <w:lang w:val="en-AU"/>
              </w:rPr>
              <w:t xml:space="preserve">Bernadette McSherry, </w:t>
            </w:r>
            <w:r w:rsidR="00882553" w:rsidRPr="002445E1">
              <w:rPr>
                <w:rFonts w:ascii="Arial" w:hAnsi="Arial"/>
                <w:bCs/>
                <w:sz w:val="24"/>
                <w:szCs w:val="24"/>
                <w:lang w:val="en-AU"/>
              </w:rPr>
              <w:br/>
            </w:r>
            <w:r w:rsidR="00201E2B" w:rsidRPr="002445E1">
              <w:rPr>
                <w:rFonts w:ascii="Arial" w:hAnsi="Arial"/>
                <w:bCs/>
                <w:sz w:val="24"/>
                <w:szCs w:val="24"/>
                <w:lang w:val="en-AU"/>
              </w:rPr>
              <w:t xml:space="preserve">Lisa Brophy, </w:t>
            </w:r>
            <w:r w:rsidR="00882553" w:rsidRPr="002445E1">
              <w:rPr>
                <w:rFonts w:ascii="Arial" w:hAnsi="Arial"/>
                <w:bCs/>
                <w:sz w:val="24"/>
                <w:szCs w:val="24"/>
                <w:lang w:val="en-AU"/>
              </w:rPr>
              <w:t>A</w:t>
            </w:r>
            <w:r w:rsidR="0082352C" w:rsidRPr="002445E1">
              <w:rPr>
                <w:rFonts w:ascii="Arial" w:hAnsi="Arial"/>
                <w:bCs/>
                <w:sz w:val="24"/>
                <w:szCs w:val="24"/>
                <w:lang w:val="en-AU"/>
              </w:rPr>
              <w:t>nna Arstein-Kerslake, Alex Callahan and Eugene Teo</w:t>
            </w:r>
          </w:p>
        </w:tc>
      </w:tr>
      <w:tr w:rsidR="00954CA1" w:rsidRPr="00276790" w14:paraId="44F82DE1" w14:textId="77777777" w:rsidTr="00CB1C0B">
        <w:trPr>
          <w:trHeight w:val="360"/>
          <w:jc w:val="center"/>
        </w:trPr>
        <w:tc>
          <w:tcPr>
            <w:tcW w:w="5000" w:type="pct"/>
            <w:vAlign w:val="center"/>
          </w:tcPr>
          <w:p w14:paraId="57DFEF9D" w14:textId="3627DE6E" w:rsidR="00954CA1" w:rsidRPr="002445E1" w:rsidRDefault="00954CA1" w:rsidP="00AE36AE">
            <w:pPr>
              <w:pStyle w:val="NoSpacing"/>
              <w:jc w:val="center"/>
              <w:rPr>
                <w:rFonts w:ascii="Arial" w:hAnsi="Arial"/>
                <w:bCs/>
                <w:sz w:val="24"/>
                <w:szCs w:val="24"/>
              </w:rPr>
            </w:pPr>
          </w:p>
        </w:tc>
      </w:tr>
    </w:tbl>
    <w:p w14:paraId="0004F466" w14:textId="328CF342" w:rsidR="005F7BA2" w:rsidRPr="00276790" w:rsidRDefault="002445E1" w:rsidP="00E84EA1">
      <w:pPr>
        <w:sectPr w:rsidR="005F7BA2" w:rsidRPr="00276790" w:rsidSect="00EA0FC1">
          <w:footerReference w:type="default" r:id="rId8"/>
          <w:pgSz w:w="11906" w:h="16838"/>
          <w:pgMar w:top="1440" w:right="1440" w:bottom="1440" w:left="1440" w:header="708" w:footer="708" w:gutter="0"/>
          <w:pgNumType w:start="0"/>
          <w:cols w:space="708"/>
          <w:titlePg/>
          <w:docGrid w:linePitch="360"/>
        </w:sectPr>
      </w:pPr>
      <w:r w:rsidRPr="00103A40">
        <w:rPr>
          <w:rFonts w:cstheme="minorHAnsi"/>
          <w:noProof/>
          <w:sz w:val="26"/>
          <w:szCs w:val="26"/>
          <w:lang w:val="en-US"/>
        </w:rPr>
        <w:drawing>
          <wp:anchor distT="0" distB="0" distL="114300" distR="114300" simplePos="0" relativeHeight="251668480" behindDoc="0" locked="0" layoutInCell="1" allowOverlap="1" wp14:anchorId="58067496" wp14:editId="645D07E3">
            <wp:simplePos x="0" y="0"/>
            <wp:positionH relativeFrom="margin">
              <wp:align>right</wp:align>
            </wp:positionH>
            <wp:positionV relativeFrom="paragraph">
              <wp:posOffset>1711960</wp:posOffset>
            </wp:positionV>
            <wp:extent cx="2139950" cy="1104900"/>
            <wp:effectExtent l="0" t="0" r="0" b="0"/>
            <wp:wrapSquare wrapText="bothSides"/>
            <wp:docPr id="235" name="Picture 235"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AN_Blue_logo_descriptor_centered_BLACK_CMYK-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9950" cy="1104900"/>
                    </a:xfrm>
                    <a:prstGeom prst="rect">
                      <a:avLst/>
                    </a:prstGeom>
                  </pic:spPr>
                </pic:pic>
              </a:graphicData>
            </a:graphic>
            <wp14:sizeRelH relativeFrom="margin">
              <wp14:pctWidth>0</wp14:pctWidth>
            </wp14:sizeRelH>
            <wp14:sizeRelV relativeFrom="margin">
              <wp14:pctHeight>0</wp14:pctHeight>
            </wp14:sizeRelV>
          </wp:anchor>
        </w:drawing>
      </w:r>
      <w:r w:rsidR="00BF0536" w:rsidRPr="00276790">
        <w:rPr>
          <w:noProof/>
          <w:lang w:val="en-US"/>
        </w:rPr>
        <w:drawing>
          <wp:anchor distT="0" distB="0" distL="114300" distR="114300" simplePos="0" relativeHeight="251666432" behindDoc="1" locked="0" layoutInCell="1" allowOverlap="1" wp14:anchorId="014EE33B" wp14:editId="433D73FF">
            <wp:simplePos x="0" y="0"/>
            <wp:positionH relativeFrom="column">
              <wp:posOffset>295275</wp:posOffset>
            </wp:positionH>
            <wp:positionV relativeFrom="paragraph">
              <wp:posOffset>1445260</wp:posOffset>
            </wp:positionV>
            <wp:extent cx="1368425" cy="1368425"/>
            <wp:effectExtent l="0" t="0" r="317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68425" cy="136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3E8B4" w14:textId="016833AD" w:rsidR="00183AA0" w:rsidRPr="002445E1" w:rsidRDefault="00183AA0" w:rsidP="00E84EA1">
      <w:pPr>
        <w:rPr>
          <w:bCs/>
        </w:rPr>
      </w:pPr>
      <w:proofErr w:type="gramStart"/>
      <w:r w:rsidRPr="002445E1">
        <w:rPr>
          <w:bCs/>
        </w:rPr>
        <w:lastRenderedPageBreak/>
        <w:t>Thanks</w:t>
      </w:r>
      <w:proofErr w:type="gramEnd"/>
      <w:r w:rsidRPr="002445E1">
        <w:rPr>
          <w:bCs/>
        </w:rPr>
        <w:t xml:space="preserve"> a </w:t>
      </w:r>
      <w:r w:rsidR="003C50A4" w:rsidRPr="002445E1">
        <w:rPr>
          <w:bCs/>
        </w:rPr>
        <w:t>b</w:t>
      </w:r>
      <w:r w:rsidRPr="002445E1">
        <w:rPr>
          <w:bCs/>
        </w:rPr>
        <w:t xml:space="preserve">undle: Improving support and access to online telecommunications products for consumers with cognitive disabilities </w:t>
      </w:r>
    </w:p>
    <w:p w14:paraId="15932920" w14:textId="76FDA195" w:rsidR="005D69DE" w:rsidRPr="002445E1" w:rsidRDefault="008D5CDC" w:rsidP="00E84EA1">
      <w:pPr>
        <w:rPr>
          <w:bCs/>
        </w:rPr>
      </w:pPr>
      <w:r w:rsidRPr="002445E1">
        <w:rPr>
          <w:bCs/>
        </w:rPr>
        <w:t>Summary</w:t>
      </w:r>
      <w:r w:rsidR="005D69DE" w:rsidRPr="002445E1">
        <w:rPr>
          <w:bCs/>
        </w:rPr>
        <w:t xml:space="preserve"> report</w:t>
      </w:r>
    </w:p>
    <w:p w14:paraId="51542EC1" w14:textId="1A7D7017" w:rsidR="00B37BFE" w:rsidRPr="002445E1" w:rsidRDefault="00B37BFE" w:rsidP="00E84EA1">
      <w:r w:rsidRPr="002445E1">
        <w:t>Authored by</w:t>
      </w:r>
      <w:r w:rsidR="0082352C" w:rsidRPr="002445E1">
        <w:rPr>
          <w:bCs/>
        </w:rPr>
        <w:t xml:space="preserve"> </w:t>
      </w:r>
      <w:r w:rsidR="00CB71C2" w:rsidRPr="002445E1">
        <w:rPr>
          <w:bCs/>
        </w:rPr>
        <w:t xml:space="preserve">Yvette Maker, Jeannie Marie Paterson, </w:t>
      </w:r>
      <w:r w:rsidR="0082352C" w:rsidRPr="002445E1">
        <w:rPr>
          <w:bCs/>
        </w:rPr>
        <w:t xml:space="preserve">Bernadette McSherry, Lisa Brophy, </w:t>
      </w:r>
      <w:r w:rsidR="00ED0A81" w:rsidRPr="002445E1">
        <w:rPr>
          <w:bCs/>
        </w:rPr>
        <w:br/>
      </w:r>
      <w:r w:rsidR="0082352C" w:rsidRPr="002445E1">
        <w:rPr>
          <w:bCs/>
        </w:rPr>
        <w:t>Anna Arstein-Kerslake, Alex Callahan and Eugene Teo</w:t>
      </w:r>
    </w:p>
    <w:p w14:paraId="259288EB" w14:textId="1065A694" w:rsidR="00B37BFE" w:rsidRPr="002445E1" w:rsidRDefault="00B37BFE" w:rsidP="00E84EA1">
      <w:r w:rsidRPr="002445E1">
        <w:t xml:space="preserve">Published in </w:t>
      </w:r>
      <w:r w:rsidR="0082352C" w:rsidRPr="002445E1">
        <w:rPr>
          <w:bCs/>
        </w:rPr>
        <w:t>2018</w:t>
      </w:r>
    </w:p>
    <w:p w14:paraId="019B5AF1" w14:textId="77777777" w:rsidR="00B37BFE" w:rsidRPr="00276790" w:rsidRDefault="00B37BFE" w:rsidP="00E84EA1">
      <w:r w:rsidRPr="00276790">
        <w:t>The operation of the Australian Communications Consumer Action Network is made possible</w:t>
      </w:r>
      <w:r w:rsidR="009D0CDA" w:rsidRPr="00276790">
        <w:t xml:space="preserve"> by funding provided by the Commonwealth of Australia under section 593 of the </w:t>
      </w:r>
      <w:r w:rsidR="009D0CDA" w:rsidRPr="00276790">
        <w:rPr>
          <w:i/>
          <w:iCs/>
        </w:rPr>
        <w:t>Telecommunications Act 1997</w:t>
      </w:r>
      <w:r w:rsidR="009D0CDA" w:rsidRPr="00276790">
        <w:t>. This funding is recovered from charges on telecommunications carriers.</w:t>
      </w:r>
    </w:p>
    <w:p w14:paraId="3FFC9289" w14:textId="2DF5E660" w:rsidR="009D0CDA" w:rsidRPr="00276790" w:rsidRDefault="0082352C" w:rsidP="00E84EA1">
      <w:r w:rsidRPr="00276790">
        <w:t>Melbourne Social Equity Institute</w:t>
      </w:r>
      <w:r w:rsidR="009D0CDA" w:rsidRPr="00276790">
        <w:br/>
        <w:t>Website:</w:t>
      </w:r>
      <w:r w:rsidR="00CE42FD" w:rsidRPr="00276790">
        <w:t xml:space="preserve"> </w:t>
      </w:r>
      <w:hyperlink r:id="rId11" w:history="1">
        <w:r w:rsidRPr="00276790">
          <w:rPr>
            <w:rStyle w:val="Hyperlink"/>
          </w:rPr>
          <w:t>socialequity.unimelb.edu.au</w:t>
        </w:r>
      </w:hyperlink>
      <w:r w:rsidRPr="00276790">
        <w:rPr>
          <w:b/>
          <w:bCs/>
        </w:rPr>
        <w:t xml:space="preserve"> </w:t>
      </w:r>
      <w:r w:rsidR="009D0CDA" w:rsidRPr="00276790">
        <w:br/>
        <w:t>Email:</w:t>
      </w:r>
      <w:r w:rsidR="00CE42FD" w:rsidRPr="00276790">
        <w:t xml:space="preserve"> </w:t>
      </w:r>
      <w:hyperlink r:id="rId12" w:history="1">
        <w:r w:rsidR="00E26931" w:rsidRPr="00276790">
          <w:rPr>
            <w:rStyle w:val="Hyperlink"/>
          </w:rPr>
          <w:t>social-equity@unimelb.edu.au</w:t>
        </w:r>
      </w:hyperlink>
      <w:r w:rsidR="00E26931" w:rsidRPr="00276790">
        <w:t xml:space="preserve"> </w:t>
      </w:r>
    </w:p>
    <w:p w14:paraId="0B273952" w14:textId="4CE3EAA9" w:rsidR="004514E9" w:rsidRDefault="009D0CDA" w:rsidP="00E84EA1">
      <w:r w:rsidRPr="00276790">
        <w:t>Australian Communications Consumer Action Network</w:t>
      </w:r>
      <w:r w:rsidRPr="00276790">
        <w:br/>
        <w:t xml:space="preserve">Website: </w:t>
      </w:r>
      <w:hyperlink r:id="rId13" w:tooltip="ACCAN website [opens in separate window]" w:history="1">
        <w:r w:rsidR="00550884" w:rsidRPr="00276790">
          <w:rPr>
            <w:rStyle w:val="Hyperlink"/>
          </w:rPr>
          <w:t>accan.org.au</w:t>
        </w:r>
      </w:hyperlink>
      <w:r w:rsidR="00550884" w:rsidRPr="00276790">
        <w:t xml:space="preserve"> </w:t>
      </w:r>
      <w:r w:rsidRPr="00276790">
        <w:br/>
        <w:t xml:space="preserve">Email: </w:t>
      </w:r>
      <w:hyperlink r:id="rId14" w:history="1">
        <w:r w:rsidR="00550884" w:rsidRPr="00276790">
          <w:rPr>
            <w:rStyle w:val="Hyperlink"/>
          </w:rPr>
          <w:t>grants@accan.org.au</w:t>
        </w:r>
      </w:hyperlink>
      <w:r w:rsidR="00550884" w:rsidRPr="00276790">
        <w:t xml:space="preserve"> </w:t>
      </w:r>
      <w:r w:rsidRPr="00276790">
        <w:br/>
        <w:t>Telephone: 02 9288 4000</w:t>
      </w:r>
    </w:p>
    <w:p w14:paraId="578E7A72" w14:textId="5077488D" w:rsidR="009D0CDA" w:rsidRPr="00276790" w:rsidRDefault="009D0CDA" w:rsidP="004514E9">
      <w:pPr>
        <w:spacing w:line="240" w:lineRule="auto"/>
      </w:pPr>
      <w:r w:rsidRPr="00276790">
        <w:br/>
      </w:r>
      <w:r w:rsidR="00550884" w:rsidRPr="00276790">
        <w:t xml:space="preserve">If you are deaf, or have a hearing or speech impairment, contact us through the National Relay Service: </w:t>
      </w:r>
      <w:hyperlink r:id="rId15" w:tooltip="Relay Service website [opens in separate window]" w:history="1">
        <w:r w:rsidR="00550884" w:rsidRPr="00276790">
          <w:rPr>
            <w:rStyle w:val="Hyperlink"/>
          </w:rPr>
          <w:t>www.relayservice.gov.au</w:t>
        </w:r>
      </w:hyperlink>
      <w:r w:rsidR="00550884" w:rsidRPr="00276790">
        <w:t>.</w:t>
      </w:r>
    </w:p>
    <w:p w14:paraId="5BAAE8EC" w14:textId="01586378" w:rsidR="00793F5F" w:rsidRPr="00276790" w:rsidRDefault="00F73079" w:rsidP="00793F5F">
      <w:pPr>
        <w:autoSpaceDE w:val="0"/>
        <w:autoSpaceDN w:val="0"/>
        <w:adjustRightInd w:val="0"/>
      </w:pPr>
      <w:r w:rsidRPr="00276790">
        <w:rPr>
          <w:noProof/>
          <w:lang w:val="en-US"/>
        </w:rPr>
        <w:drawing>
          <wp:inline distT="0" distB="0" distL="0" distR="0" wp14:anchorId="4A6FFFF6" wp14:editId="6C1F2196">
            <wp:extent cx="1114179" cy="400009"/>
            <wp:effectExtent l="0" t="0" r="3810" b="6985"/>
            <wp:docPr id="1" name="Picture 464"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464" title="Creative Commons logo"/>
                    <pic:cNvPicPr>
                      <a:picLocks noChangeAspect="1" noChangeArrowheads="1"/>
                    </pic:cNvPicPr>
                  </pic:nvPicPr>
                  <pic:blipFill>
                    <a:blip r:embed="rId16" cstate="print"/>
                    <a:srcRect/>
                    <a:stretch>
                      <a:fillRect/>
                    </a:stretch>
                  </pic:blipFill>
                  <pic:spPr bwMode="auto">
                    <a:xfrm>
                      <a:off x="0" y="0"/>
                      <a:ext cx="1113790" cy="399415"/>
                    </a:xfrm>
                    <a:prstGeom prst="rect">
                      <a:avLst/>
                    </a:prstGeom>
                    <a:noFill/>
                    <a:ln w="9525">
                      <a:noFill/>
                      <a:miter lim="800000"/>
                      <a:headEnd/>
                      <a:tailEnd/>
                    </a:ln>
                  </pic:spPr>
                </pic:pic>
              </a:graphicData>
            </a:graphic>
          </wp:inline>
        </w:drawing>
      </w:r>
    </w:p>
    <w:p w14:paraId="46B68711" w14:textId="6C607141" w:rsidR="00793F5F" w:rsidRPr="00276790" w:rsidRDefault="00793F5F" w:rsidP="00793F5F">
      <w:pPr>
        <w:autoSpaceDE w:val="0"/>
        <w:autoSpaceDN w:val="0"/>
        <w:adjustRightInd w:val="0"/>
      </w:pPr>
      <w:r w:rsidRPr="00276790">
        <w:t xml:space="preserve">This work is copyright, licensed under the Creative Commons Attribution </w:t>
      </w:r>
      <w:r w:rsidR="00ED072C" w:rsidRPr="00276790">
        <w:t>4</w:t>
      </w:r>
      <w:r w:rsidRPr="00276790">
        <w:t xml:space="preserve">.0 </w:t>
      </w:r>
      <w:r w:rsidR="00ED072C" w:rsidRPr="00276790">
        <w:t>International</w:t>
      </w:r>
      <w:r w:rsidRPr="00276790">
        <w:t xml:space="preserve"> Licence. You are free to cite, copy, communicate and adapt this work, </w:t>
      </w:r>
      <w:r w:rsidR="004514E9">
        <w:t>providing</w:t>
      </w:r>
      <w:r w:rsidRPr="00276790">
        <w:t xml:space="preserve"> you attribute the authors and </w:t>
      </w:r>
      <w:r w:rsidR="00CE42FD" w:rsidRPr="00276790">
        <w:t>“</w:t>
      </w:r>
      <w:r w:rsidR="0039666C">
        <w:t xml:space="preserve">the </w:t>
      </w:r>
      <w:r w:rsidR="0082352C" w:rsidRPr="00276790">
        <w:t>Melbourne Social Equity Institute</w:t>
      </w:r>
      <w:r w:rsidRPr="00276790">
        <w:t xml:space="preserve">, supported by a grant from the Australian Communications Consumer Action Network”. </w:t>
      </w:r>
      <w:r w:rsidR="00ED072C" w:rsidRPr="00276790">
        <w:t>To view a copy of this licenc</w:t>
      </w:r>
      <w:r w:rsidRPr="00276790">
        <w:t xml:space="preserve">e, visit </w:t>
      </w:r>
      <w:hyperlink r:id="rId17" w:tooltip="Creative commons licensing website [opens in separate window]" w:history="1">
        <w:r w:rsidR="00ED072C" w:rsidRPr="00276790">
          <w:rPr>
            <w:rStyle w:val="Hyperlink"/>
          </w:rPr>
          <w:t>http://creativecommons.org/licenses/by/4.0/</w:t>
        </w:r>
      </w:hyperlink>
    </w:p>
    <w:p w14:paraId="63686F24" w14:textId="4473983E" w:rsidR="00EA0FC1" w:rsidRPr="00276790" w:rsidRDefault="00793F5F">
      <w:pPr>
        <w:rPr>
          <w:color w:val="000000" w:themeColor="text1"/>
        </w:rPr>
      </w:pPr>
      <w:r w:rsidRPr="00276790">
        <w:rPr>
          <w:color w:val="000000"/>
        </w:rPr>
        <w:t xml:space="preserve">This work can be cited as: </w:t>
      </w:r>
      <w:bookmarkStart w:id="0" w:name="_Toc354411510"/>
      <w:r w:rsidR="00CB71C2" w:rsidRPr="00276790">
        <w:rPr>
          <w:color w:val="000000"/>
        </w:rPr>
        <w:t>Maker,</w:t>
      </w:r>
      <w:r w:rsidR="00654208">
        <w:rPr>
          <w:color w:val="000000"/>
        </w:rPr>
        <w:t xml:space="preserve"> Yvette;</w:t>
      </w:r>
      <w:r w:rsidR="00CB71C2" w:rsidRPr="00276790">
        <w:rPr>
          <w:color w:val="000000"/>
        </w:rPr>
        <w:t xml:space="preserve"> Paterson,</w:t>
      </w:r>
      <w:r w:rsidR="00654208">
        <w:rPr>
          <w:color w:val="000000"/>
        </w:rPr>
        <w:t xml:space="preserve"> Jeannie Marie;</w:t>
      </w:r>
      <w:r w:rsidR="004D6A02" w:rsidRPr="00276790">
        <w:rPr>
          <w:color w:val="000000"/>
        </w:rPr>
        <w:t xml:space="preserve"> </w:t>
      </w:r>
      <w:r w:rsidR="006F78DE" w:rsidRPr="00276790">
        <w:rPr>
          <w:color w:val="000000"/>
        </w:rPr>
        <w:t>McSherry</w:t>
      </w:r>
      <w:r w:rsidR="00CB71C2" w:rsidRPr="00276790">
        <w:rPr>
          <w:color w:val="000000"/>
        </w:rPr>
        <w:t>,</w:t>
      </w:r>
      <w:r w:rsidR="00654208">
        <w:rPr>
          <w:color w:val="000000"/>
        </w:rPr>
        <w:t xml:space="preserve"> Bernadette;</w:t>
      </w:r>
      <w:r w:rsidR="004D6A02" w:rsidRPr="00276790">
        <w:rPr>
          <w:color w:val="000000"/>
        </w:rPr>
        <w:t xml:space="preserve"> </w:t>
      </w:r>
      <w:r w:rsidR="006F78DE" w:rsidRPr="00276790">
        <w:rPr>
          <w:color w:val="000000"/>
        </w:rPr>
        <w:t>Brophy</w:t>
      </w:r>
      <w:r w:rsidR="00CD47D3" w:rsidRPr="00276790">
        <w:rPr>
          <w:color w:val="000000"/>
        </w:rPr>
        <w:t>,</w:t>
      </w:r>
      <w:r w:rsidR="00654208">
        <w:rPr>
          <w:color w:val="000000"/>
        </w:rPr>
        <w:t xml:space="preserve"> Lisa;</w:t>
      </w:r>
      <w:r w:rsidR="004D6A02" w:rsidRPr="00276790">
        <w:rPr>
          <w:color w:val="000000"/>
        </w:rPr>
        <w:t xml:space="preserve"> </w:t>
      </w:r>
      <w:r w:rsidR="00CD47D3" w:rsidRPr="00276790">
        <w:rPr>
          <w:color w:val="000000"/>
        </w:rPr>
        <w:t>Arstein-Kerslake,</w:t>
      </w:r>
      <w:r w:rsidR="00654208">
        <w:rPr>
          <w:color w:val="000000"/>
        </w:rPr>
        <w:t xml:space="preserve"> Anna;</w:t>
      </w:r>
      <w:r w:rsidR="004D6A02" w:rsidRPr="00276790">
        <w:rPr>
          <w:color w:val="000000"/>
        </w:rPr>
        <w:t xml:space="preserve"> </w:t>
      </w:r>
      <w:r w:rsidR="00CD47D3" w:rsidRPr="00276790">
        <w:rPr>
          <w:color w:val="000000"/>
        </w:rPr>
        <w:t>Callahan</w:t>
      </w:r>
      <w:r w:rsidR="00654208">
        <w:rPr>
          <w:color w:val="000000"/>
        </w:rPr>
        <w:t>, Alex</w:t>
      </w:r>
      <w:r w:rsidR="00CD47D3" w:rsidRPr="00276790">
        <w:rPr>
          <w:color w:val="000000"/>
        </w:rPr>
        <w:t xml:space="preserve"> and</w:t>
      </w:r>
      <w:r w:rsidR="004D6A02" w:rsidRPr="00276790">
        <w:rPr>
          <w:color w:val="000000"/>
        </w:rPr>
        <w:t xml:space="preserve"> </w:t>
      </w:r>
      <w:r w:rsidR="00CD47D3" w:rsidRPr="00276790">
        <w:rPr>
          <w:color w:val="000000"/>
        </w:rPr>
        <w:t>Teo,</w:t>
      </w:r>
      <w:r w:rsidR="009A52B8" w:rsidRPr="00276790">
        <w:rPr>
          <w:color w:val="000000"/>
        </w:rPr>
        <w:t xml:space="preserve"> </w:t>
      </w:r>
      <w:r w:rsidR="00654208">
        <w:rPr>
          <w:color w:val="000000"/>
        </w:rPr>
        <w:t>Eugene (</w:t>
      </w:r>
      <w:r w:rsidR="00824A9E" w:rsidRPr="00276790">
        <w:rPr>
          <w:color w:val="000000"/>
        </w:rPr>
        <w:t>201</w:t>
      </w:r>
      <w:r w:rsidR="006F78DE" w:rsidRPr="00276790">
        <w:rPr>
          <w:color w:val="000000"/>
        </w:rPr>
        <w:t>8</w:t>
      </w:r>
      <w:r w:rsidR="00654208">
        <w:rPr>
          <w:color w:val="000000"/>
        </w:rPr>
        <w:t>)</w:t>
      </w:r>
      <w:r w:rsidR="00183AA0" w:rsidRPr="00276790">
        <w:rPr>
          <w:color w:val="000000"/>
        </w:rPr>
        <w:t xml:space="preserve"> </w:t>
      </w:r>
      <w:r w:rsidR="00183AA0" w:rsidRPr="00276790">
        <w:rPr>
          <w:i/>
          <w:color w:val="000000"/>
        </w:rPr>
        <w:t>Thanks a bundle:</w:t>
      </w:r>
      <w:r w:rsidR="00824A9E" w:rsidRPr="00276790">
        <w:rPr>
          <w:i/>
          <w:color w:val="000000"/>
        </w:rPr>
        <w:t xml:space="preserve"> </w:t>
      </w:r>
      <w:r w:rsidR="00183AA0" w:rsidRPr="00276790">
        <w:rPr>
          <w:i/>
          <w:color w:val="000000"/>
        </w:rPr>
        <w:t>Improving support and access to online telecommunications products for consumers with cognitive disabilities</w:t>
      </w:r>
      <w:r w:rsidR="00824A9E" w:rsidRPr="00276790">
        <w:rPr>
          <w:color w:val="000000"/>
        </w:rPr>
        <w:t xml:space="preserve">, </w:t>
      </w:r>
      <w:r w:rsidR="005D69DE">
        <w:rPr>
          <w:color w:val="000000"/>
        </w:rPr>
        <w:t>S</w:t>
      </w:r>
      <w:r w:rsidR="008D5CDC">
        <w:rPr>
          <w:color w:val="000000"/>
        </w:rPr>
        <w:t>ummary</w:t>
      </w:r>
      <w:r w:rsidR="005D69DE">
        <w:rPr>
          <w:color w:val="000000"/>
        </w:rPr>
        <w:t xml:space="preserve"> report, </w:t>
      </w:r>
      <w:r w:rsidR="00824A9E" w:rsidRPr="00276790">
        <w:rPr>
          <w:color w:val="000000"/>
        </w:rPr>
        <w:t>Australian Communications Consumer Action Network, Sydney.</w:t>
      </w:r>
    </w:p>
    <w:p w14:paraId="370CBC9B" w14:textId="77777777" w:rsidR="009414EC" w:rsidRDefault="009414EC">
      <w:pPr>
        <w:spacing w:after="0" w:line="240" w:lineRule="auto"/>
        <w:rPr>
          <w:rFonts w:eastAsia="Times New Roman" w:cs="Calibri"/>
          <w:bCs/>
          <w:color w:val="244061"/>
          <w:kern w:val="32"/>
          <w:sz w:val="52"/>
          <w:szCs w:val="52"/>
        </w:rPr>
      </w:pPr>
      <w:r>
        <w:br w:type="page"/>
      </w:r>
    </w:p>
    <w:p w14:paraId="47A36CF2" w14:textId="1781FB84" w:rsidR="00CB71C2" w:rsidRPr="00276790" w:rsidRDefault="003358D9" w:rsidP="00BC1A54">
      <w:pPr>
        <w:pStyle w:val="Heading1"/>
        <w:numPr>
          <w:ilvl w:val="0"/>
          <w:numId w:val="8"/>
        </w:numPr>
      </w:pPr>
      <w:r>
        <w:lastRenderedPageBreak/>
        <w:t>Introduction</w:t>
      </w:r>
    </w:p>
    <w:p w14:paraId="4AF427B2" w14:textId="2CB7A09E" w:rsidR="00270D02" w:rsidRDefault="000F4A62" w:rsidP="00CA2C36">
      <w:pPr>
        <w:jc w:val="both"/>
        <w:rPr>
          <w:rFonts w:asciiTheme="minorHAnsi" w:hAnsiTheme="minorHAnsi" w:cstheme="minorHAnsi"/>
          <w:sz w:val="24"/>
          <w:szCs w:val="24"/>
        </w:rPr>
      </w:pPr>
      <w:r w:rsidRPr="00276790">
        <w:rPr>
          <w:rFonts w:asciiTheme="minorHAnsi" w:hAnsiTheme="minorHAnsi" w:cstheme="minorHAnsi"/>
          <w:sz w:val="24"/>
          <w:szCs w:val="24"/>
        </w:rPr>
        <w:t xml:space="preserve">Access to </w:t>
      </w:r>
      <w:r w:rsidR="00483998">
        <w:rPr>
          <w:rFonts w:asciiTheme="minorHAnsi" w:hAnsiTheme="minorHAnsi" w:cstheme="minorHAnsi"/>
          <w:sz w:val="24"/>
          <w:szCs w:val="24"/>
        </w:rPr>
        <w:t xml:space="preserve">computers, </w:t>
      </w:r>
      <w:r w:rsidRPr="00276790">
        <w:rPr>
          <w:rFonts w:asciiTheme="minorHAnsi" w:hAnsiTheme="minorHAnsi" w:cstheme="minorHAnsi"/>
          <w:sz w:val="24"/>
          <w:szCs w:val="24"/>
        </w:rPr>
        <w:t>mobile phones,</w:t>
      </w:r>
      <w:r w:rsidR="00483998" w:rsidRPr="00276790" w:rsidDel="00483998">
        <w:rPr>
          <w:rFonts w:asciiTheme="minorHAnsi" w:hAnsiTheme="minorHAnsi" w:cstheme="minorHAnsi"/>
          <w:sz w:val="24"/>
          <w:szCs w:val="24"/>
        </w:rPr>
        <w:t xml:space="preserve"> </w:t>
      </w:r>
      <w:r w:rsidRPr="00276790">
        <w:rPr>
          <w:rFonts w:asciiTheme="minorHAnsi" w:hAnsiTheme="minorHAnsi" w:cstheme="minorHAnsi"/>
          <w:sz w:val="24"/>
          <w:szCs w:val="24"/>
        </w:rPr>
        <w:t xml:space="preserve">home </w:t>
      </w:r>
      <w:r>
        <w:rPr>
          <w:rFonts w:asciiTheme="minorHAnsi" w:hAnsiTheme="minorHAnsi" w:cstheme="minorHAnsi"/>
          <w:sz w:val="24"/>
          <w:szCs w:val="24"/>
        </w:rPr>
        <w:t>phones</w:t>
      </w:r>
      <w:r w:rsidR="00483998">
        <w:rPr>
          <w:rFonts w:asciiTheme="minorHAnsi" w:hAnsiTheme="minorHAnsi" w:cstheme="minorHAnsi"/>
          <w:sz w:val="24"/>
          <w:szCs w:val="24"/>
        </w:rPr>
        <w:t>, tablets</w:t>
      </w:r>
      <w:r>
        <w:rPr>
          <w:rFonts w:asciiTheme="minorHAnsi" w:hAnsiTheme="minorHAnsi" w:cstheme="minorHAnsi"/>
          <w:sz w:val="24"/>
          <w:szCs w:val="24"/>
        </w:rPr>
        <w:t xml:space="preserve"> and internet services is</w:t>
      </w:r>
      <w:r w:rsidRPr="00276790">
        <w:rPr>
          <w:rFonts w:asciiTheme="minorHAnsi" w:hAnsiTheme="minorHAnsi" w:cstheme="minorHAnsi"/>
          <w:sz w:val="24"/>
          <w:szCs w:val="24"/>
        </w:rPr>
        <w:t xml:space="preserve"> increasingly important for Australians to keep in touch with friends, family and colleagues, access services and organise </w:t>
      </w:r>
      <w:r w:rsidR="007F7683">
        <w:rPr>
          <w:rFonts w:asciiTheme="minorHAnsi" w:hAnsiTheme="minorHAnsi" w:cstheme="minorHAnsi"/>
          <w:sz w:val="24"/>
          <w:szCs w:val="24"/>
        </w:rPr>
        <w:t>activities</w:t>
      </w:r>
      <w:r w:rsidRPr="00276790">
        <w:rPr>
          <w:rFonts w:asciiTheme="minorHAnsi" w:hAnsiTheme="minorHAnsi" w:cstheme="minorHAnsi"/>
          <w:sz w:val="24"/>
          <w:szCs w:val="24"/>
        </w:rPr>
        <w:t>.</w:t>
      </w:r>
      <w:r w:rsidR="00DA71AE" w:rsidRPr="00276790">
        <w:rPr>
          <w:rStyle w:val="FootnoteReference"/>
          <w:rFonts w:asciiTheme="minorHAnsi" w:hAnsiTheme="minorHAnsi" w:cstheme="minorBidi"/>
          <w:sz w:val="24"/>
          <w:szCs w:val="24"/>
        </w:rPr>
        <w:footnoteReference w:id="2"/>
      </w:r>
      <w:r w:rsidRPr="00276790">
        <w:rPr>
          <w:rFonts w:asciiTheme="minorHAnsi" w:hAnsiTheme="minorHAnsi" w:cstheme="minorHAnsi"/>
          <w:sz w:val="24"/>
          <w:szCs w:val="24"/>
        </w:rPr>
        <w:t xml:space="preserve"> </w:t>
      </w:r>
      <w:r w:rsidR="00E003BC">
        <w:rPr>
          <w:rFonts w:asciiTheme="minorHAnsi" w:hAnsiTheme="minorHAnsi" w:cstheme="minorHAnsi"/>
          <w:sz w:val="24"/>
          <w:szCs w:val="24"/>
        </w:rPr>
        <w:t xml:space="preserve">However, </w:t>
      </w:r>
      <w:r w:rsidR="00E003BC">
        <w:rPr>
          <w:rFonts w:asciiTheme="minorHAnsi" w:hAnsiTheme="minorHAnsi" w:cstheme="minorBidi"/>
          <w:sz w:val="24"/>
          <w:szCs w:val="24"/>
        </w:rPr>
        <w:t>pe</w:t>
      </w:r>
      <w:r w:rsidR="00C440DF" w:rsidRPr="00276790">
        <w:rPr>
          <w:rFonts w:asciiTheme="minorHAnsi" w:hAnsiTheme="minorHAnsi" w:cstheme="minorBidi"/>
          <w:sz w:val="24"/>
          <w:szCs w:val="24"/>
        </w:rPr>
        <w:t>ople with cognitive disabilities</w:t>
      </w:r>
      <w:r w:rsidR="00AC53FA">
        <w:rPr>
          <w:rFonts w:asciiTheme="minorHAnsi" w:hAnsiTheme="minorHAnsi" w:cstheme="minorBidi"/>
          <w:sz w:val="24"/>
          <w:szCs w:val="24"/>
        </w:rPr>
        <w:t>,</w:t>
      </w:r>
      <w:r w:rsidR="00C440DF" w:rsidRPr="00276790">
        <w:rPr>
          <w:rFonts w:asciiTheme="minorHAnsi" w:hAnsiTheme="minorHAnsi" w:cstheme="minorBidi"/>
          <w:sz w:val="24"/>
          <w:szCs w:val="24"/>
        </w:rPr>
        <w:t xml:space="preserve"> </w:t>
      </w:r>
      <w:r w:rsidR="00AC53FA">
        <w:rPr>
          <w:rFonts w:asciiTheme="minorHAnsi" w:hAnsiTheme="minorHAnsi" w:cstheme="minorHAnsi"/>
          <w:sz w:val="24"/>
          <w:szCs w:val="24"/>
        </w:rPr>
        <w:t>who</w:t>
      </w:r>
      <w:r w:rsidR="00AC53FA" w:rsidRPr="00276790">
        <w:rPr>
          <w:rFonts w:asciiTheme="minorHAnsi" w:hAnsiTheme="minorHAnsi" w:cstheme="minorHAnsi"/>
          <w:sz w:val="24"/>
          <w:szCs w:val="24"/>
        </w:rPr>
        <w:t xml:space="preserve"> may have difficulties with learning, memory, conc</w:t>
      </w:r>
      <w:r w:rsidR="00AC53FA">
        <w:rPr>
          <w:rFonts w:asciiTheme="minorHAnsi" w:hAnsiTheme="minorHAnsi" w:cstheme="minorHAnsi"/>
          <w:sz w:val="24"/>
          <w:szCs w:val="24"/>
        </w:rPr>
        <w:t xml:space="preserve">entration and/or decision-making, </w:t>
      </w:r>
      <w:r w:rsidR="00C440DF" w:rsidRPr="00276790">
        <w:rPr>
          <w:rFonts w:asciiTheme="minorHAnsi" w:hAnsiTheme="minorHAnsi" w:cstheme="minorBidi"/>
          <w:sz w:val="24"/>
          <w:szCs w:val="24"/>
        </w:rPr>
        <w:t xml:space="preserve">must deal with a range of barriers to accessing telecommunications services. </w:t>
      </w:r>
      <w:r w:rsidR="00C440DF" w:rsidRPr="00276790">
        <w:rPr>
          <w:rFonts w:asciiTheme="minorHAnsi" w:hAnsiTheme="minorHAnsi" w:cstheme="minorHAnsi"/>
          <w:sz w:val="24"/>
          <w:szCs w:val="24"/>
        </w:rPr>
        <w:t>There are many different types of products available</w:t>
      </w:r>
      <w:r w:rsidR="007F7683">
        <w:rPr>
          <w:rFonts w:asciiTheme="minorHAnsi" w:hAnsiTheme="minorHAnsi" w:cstheme="minorHAnsi"/>
          <w:sz w:val="24"/>
          <w:szCs w:val="24"/>
        </w:rPr>
        <w:t>.</w:t>
      </w:r>
      <w:r w:rsidR="00C440DF" w:rsidRPr="00276790">
        <w:rPr>
          <w:rFonts w:asciiTheme="minorHAnsi" w:hAnsiTheme="minorHAnsi" w:cstheme="minorHAnsi"/>
          <w:sz w:val="24"/>
          <w:szCs w:val="24"/>
        </w:rPr>
        <w:t xml:space="preserve"> </w:t>
      </w:r>
      <w:r w:rsidR="007F7683">
        <w:rPr>
          <w:rFonts w:asciiTheme="minorHAnsi" w:hAnsiTheme="minorHAnsi" w:cstheme="minorHAnsi"/>
          <w:sz w:val="24"/>
          <w:szCs w:val="24"/>
        </w:rPr>
        <w:t>They may be</w:t>
      </w:r>
      <w:r w:rsidR="00C440DF" w:rsidRPr="00276790">
        <w:rPr>
          <w:rFonts w:asciiTheme="minorHAnsi" w:hAnsiTheme="minorHAnsi" w:cstheme="minorHAnsi"/>
          <w:sz w:val="24"/>
          <w:szCs w:val="24"/>
        </w:rPr>
        <w:t xml:space="preserve"> bundled in many different combinations and the pricing arrangements are complex. Requirements in the Telecommunications Consumer Protections Code (‘the Telecommunications Code’) go part of the way to ensuring that consumers are provided with the information they need to make decision</w:t>
      </w:r>
      <w:r w:rsidR="007F7683">
        <w:rPr>
          <w:rFonts w:asciiTheme="minorHAnsi" w:hAnsiTheme="minorHAnsi" w:cstheme="minorHAnsi"/>
          <w:sz w:val="24"/>
          <w:szCs w:val="24"/>
        </w:rPr>
        <w:t>s</w:t>
      </w:r>
      <w:r w:rsidR="00C440DF" w:rsidRPr="00276790">
        <w:rPr>
          <w:rFonts w:asciiTheme="minorHAnsi" w:hAnsiTheme="minorHAnsi" w:cstheme="minorHAnsi"/>
          <w:sz w:val="24"/>
          <w:szCs w:val="24"/>
        </w:rPr>
        <w:t>.</w:t>
      </w:r>
      <w:r w:rsidR="00EA0CCF">
        <w:rPr>
          <w:rStyle w:val="FootnoteReference"/>
          <w:rFonts w:asciiTheme="minorHAnsi" w:hAnsiTheme="minorHAnsi" w:cstheme="minorHAnsi"/>
          <w:sz w:val="24"/>
          <w:szCs w:val="24"/>
        </w:rPr>
        <w:footnoteReference w:id="3"/>
      </w:r>
      <w:r w:rsidR="00C440DF" w:rsidRPr="00276790">
        <w:rPr>
          <w:rFonts w:asciiTheme="minorHAnsi" w:hAnsiTheme="minorHAnsi" w:cstheme="minorHAnsi"/>
          <w:sz w:val="24"/>
          <w:szCs w:val="24"/>
        </w:rPr>
        <w:t xml:space="preserve"> But these requirements do not generally go far enough to </w:t>
      </w:r>
      <w:r w:rsidR="00C440DF">
        <w:rPr>
          <w:rFonts w:asciiTheme="minorHAnsi" w:hAnsiTheme="minorHAnsi" w:cstheme="minorHAnsi"/>
          <w:sz w:val="24"/>
          <w:szCs w:val="24"/>
        </w:rPr>
        <w:t>ensure</w:t>
      </w:r>
      <w:r w:rsidR="00C440DF" w:rsidRPr="00276790">
        <w:rPr>
          <w:rFonts w:asciiTheme="minorHAnsi" w:hAnsiTheme="minorHAnsi" w:cstheme="minorHAnsi"/>
          <w:sz w:val="24"/>
          <w:szCs w:val="24"/>
        </w:rPr>
        <w:t xml:space="preserve"> people with cognitive disabilities</w:t>
      </w:r>
      <w:r w:rsidR="00C440DF">
        <w:rPr>
          <w:rFonts w:asciiTheme="minorHAnsi" w:hAnsiTheme="minorHAnsi" w:cstheme="minorHAnsi"/>
          <w:sz w:val="24"/>
          <w:szCs w:val="24"/>
        </w:rPr>
        <w:t xml:space="preserve"> have sufficient information or support to</w:t>
      </w:r>
      <w:r w:rsidR="00C440DF" w:rsidRPr="00276790">
        <w:rPr>
          <w:rFonts w:asciiTheme="minorHAnsi" w:hAnsiTheme="minorHAnsi" w:cstheme="minorHAnsi"/>
          <w:sz w:val="24"/>
          <w:szCs w:val="24"/>
        </w:rPr>
        <w:t xml:space="preserve"> access telecommunications products</w:t>
      </w:r>
      <w:r w:rsidR="00C440DF">
        <w:rPr>
          <w:rFonts w:asciiTheme="minorHAnsi" w:hAnsiTheme="minorHAnsi" w:cstheme="minorHAnsi"/>
          <w:sz w:val="24"/>
          <w:szCs w:val="24"/>
        </w:rPr>
        <w:t xml:space="preserve"> on an equal basis with others</w:t>
      </w:r>
      <w:r w:rsidR="00C440DF" w:rsidRPr="00276790">
        <w:rPr>
          <w:rFonts w:asciiTheme="minorHAnsi" w:hAnsiTheme="minorHAnsi" w:cstheme="minorHAnsi"/>
          <w:sz w:val="24"/>
          <w:szCs w:val="24"/>
        </w:rPr>
        <w:t xml:space="preserve">. </w:t>
      </w:r>
    </w:p>
    <w:p w14:paraId="34B4D2C2" w14:textId="48FC3A94" w:rsidR="00C440DF" w:rsidRDefault="00C440DF" w:rsidP="00CA2C36">
      <w:pPr>
        <w:jc w:val="both"/>
        <w:rPr>
          <w:rFonts w:asciiTheme="minorHAnsi" w:hAnsiTheme="minorHAnsi" w:cstheme="minorHAnsi"/>
          <w:sz w:val="24"/>
          <w:szCs w:val="24"/>
        </w:rPr>
      </w:pPr>
      <w:r w:rsidRPr="00276790">
        <w:rPr>
          <w:rFonts w:asciiTheme="minorHAnsi" w:hAnsiTheme="minorHAnsi" w:cstheme="minorBidi"/>
          <w:sz w:val="24"/>
          <w:szCs w:val="24"/>
        </w:rPr>
        <w:t>One issue is that telecommunications suppliers’ information and communications are not tailored to the requirements of people with cognitive disabilities.</w:t>
      </w:r>
      <w:r w:rsidRPr="00276790">
        <w:rPr>
          <w:rStyle w:val="FootnoteReference"/>
          <w:rFonts w:asciiTheme="minorHAnsi" w:hAnsiTheme="minorHAnsi" w:cstheme="minorBidi"/>
          <w:sz w:val="24"/>
          <w:szCs w:val="24"/>
        </w:rPr>
        <w:footnoteReference w:id="4"/>
      </w:r>
      <w:r w:rsidRPr="00276790">
        <w:rPr>
          <w:rFonts w:asciiTheme="minorHAnsi" w:hAnsiTheme="minorHAnsi" w:cstheme="minorBidi"/>
          <w:sz w:val="24"/>
          <w:szCs w:val="24"/>
        </w:rPr>
        <w:t xml:space="preserve"> </w:t>
      </w:r>
      <w:r w:rsidR="0092193A">
        <w:rPr>
          <w:rFonts w:asciiTheme="minorHAnsi" w:hAnsiTheme="minorHAnsi" w:cstheme="minorHAnsi"/>
          <w:sz w:val="24"/>
          <w:szCs w:val="24"/>
        </w:rPr>
        <w:t>A</w:t>
      </w:r>
      <w:r w:rsidRPr="00276790">
        <w:rPr>
          <w:rFonts w:asciiTheme="minorHAnsi" w:hAnsiTheme="minorHAnsi" w:cstheme="minorHAnsi"/>
          <w:sz w:val="24"/>
          <w:szCs w:val="24"/>
        </w:rPr>
        <w:t>lthough many consumers will use the internet to look for the products they want or need, important</w:t>
      </w:r>
      <w:r w:rsidRPr="00276790">
        <w:rPr>
          <w:rFonts w:asciiTheme="minorHAnsi" w:hAnsiTheme="minorHAnsi" w:cstheme="minorBidi"/>
          <w:sz w:val="24"/>
          <w:szCs w:val="24"/>
        </w:rPr>
        <w:t xml:space="preserve"> information about </w:t>
      </w:r>
      <w:r w:rsidR="00C45277">
        <w:rPr>
          <w:rFonts w:asciiTheme="minorHAnsi" w:hAnsiTheme="minorHAnsi" w:cstheme="minorBidi"/>
          <w:sz w:val="24"/>
          <w:szCs w:val="24"/>
        </w:rPr>
        <w:t xml:space="preserve">these </w:t>
      </w:r>
      <w:r w:rsidRPr="00276790">
        <w:rPr>
          <w:rFonts w:asciiTheme="minorHAnsi" w:hAnsiTheme="minorHAnsi" w:cstheme="minorBidi"/>
          <w:sz w:val="24"/>
          <w:szCs w:val="24"/>
        </w:rPr>
        <w:t xml:space="preserve">products, the contracting process and contractual rights and obligations is not provided online in easy-to-understand formats. </w:t>
      </w:r>
      <w:r w:rsidRPr="00276790">
        <w:rPr>
          <w:rFonts w:asciiTheme="minorHAnsi" w:hAnsiTheme="minorHAnsi" w:cstheme="minorHAnsi"/>
          <w:sz w:val="24"/>
          <w:szCs w:val="24"/>
        </w:rPr>
        <w:t>Little online support is available</w:t>
      </w:r>
      <w:r w:rsidR="00C45277">
        <w:rPr>
          <w:rFonts w:asciiTheme="minorHAnsi" w:hAnsiTheme="minorHAnsi" w:cstheme="minorHAnsi"/>
          <w:sz w:val="24"/>
          <w:szCs w:val="24"/>
        </w:rPr>
        <w:t>.</w:t>
      </w:r>
      <w:r w:rsidR="002B187E">
        <w:rPr>
          <w:rFonts w:asciiTheme="minorHAnsi" w:hAnsiTheme="minorHAnsi" w:cstheme="minorHAnsi"/>
          <w:sz w:val="24"/>
          <w:szCs w:val="24"/>
        </w:rPr>
        <w:t xml:space="preserve"> </w:t>
      </w:r>
      <w:r w:rsidR="00344712">
        <w:rPr>
          <w:rFonts w:asciiTheme="minorHAnsi" w:hAnsiTheme="minorHAnsi" w:cstheme="minorHAnsi"/>
          <w:sz w:val="24"/>
          <w:szCs w:val="24"/>
        </w:rPr>
        <w:t xml:space="preserve">This has serious implications for the exercise of </w:t>
      </w:r>
      <w:r w:rsidR="00483998">
        <w:rPr>
          <w:rFonts w:asciiTheme="minorHAnsi" w:hAnsiTheme="minorHAnsi" w:cstheme="minorHAnsi"/>
          <w:sz w:val="24"/>
          <w:szCs w:val="24"/>
        </w:rPr>
        <w:t>the</w:t>
      </w:r>
      <w:r w:rsidR="00344712">
        <w:rPr>
          <w:rFonts w:asciiTheme="minorHAnsi" w:hAnsiTheme="minorHAnsi" w:cstheme="minorHAnsi"/>
          <w:sz w:val="24"/>
          <w:szCs w:val="24"/>
        </w:rPr>
        <w:t xml:space="preserve"> consumer rights and, more fundamentally, the human rights of people with cognitive disabilities to </w:t>
      </w:r>
      <w:r w:rsidR="00CE5F30">
        <w:rPr>
          <w:rFonts w:asciiTheme="minorHAnsi" w:hAnsiTheme="minorHAnsi" w:cstheme="minorHAnsi"/>
          <w:sz w:val="24"/>
          <w:szCs w:val="24"/>
        </w:rPr>
        <w:t xml:space="preserve">make </w:t>
      </w:r>
      <w:r w:rsidR="00C45277">
        <w:rPr>
          <w:rFonts w:asciiTheme="minorHAnsi" w:hAnsiTheme="minorHAnsi" w:cstheme="minorHAnsi"/>
          <w:sz w:val="24"/>
          <w:szCs w:val="24"/>
        </w:rPr>
        <w:t xml:space="preserve">their own </w:t>
      </w:r>
      <w:r w:rsidR="00CE5F30">
        <w:rPr>
          <w:rFonts w:asciiTheme="minorHAnsi" w:hAnsiTheme="minorHAnsi" w:cstheme="minorHAnsi"/>
          <w:sz w:val="24"/>
          <w:szCs w:val="24"/>
        </w:rPr>
        <w:t>decisions.</w:t>
      </w:r>
    </w:p>
    <w:p w14:paraId="5704037A" w14:textId="06AFF4C5" w:rsidR="00AD1888" w:rsidRDefault="003358D9" w:rsidP="003358D9">
      <w:pPr>
        <w:autoSpaceDE w:val="0"/>
        <w:autoSpaceDN w:val="0"/>
        <w:adjustRightInd w:val="0"/>
        <w:spacing w:before="120" w:after="120"/>
        <w:contextualSpacing/>
        <w:jc w:val="both"/>
        <w:rPr>
          <w:rFonts w:asciiTheme="minorHAnsi" w:hAnsiTheme="minorHAnsi" w:cstheme="minorBidi"/>
          <w:sz w:val="24"/>
          <w:szCs w:val="24"/>
        </w:rPr>
      </w:pPr>
      <w:r w:rsidRPr="00276790">
        <w:rPr>
          <w:rFonts w:asciiTheme="minorHAnsi" w:hAnsiTheme="minorHAnsi" w:cstheme="minorBidi"/>
          <w:sz w:val="24"/>
          <w:szCs w:val="24"/>
        </w:rPr>
        <w:t>This</w:t>
      </w:r>
      <w:r w:rsidR="00BC7CC2">
        <w:rPr>
          <w:rFonts w:asciiTheme="minorHAnsi" w:hAnsiTheme="minorHAnsi" w:cstheme="minorBidi"/>
          <w:sz w:val="24"/>
          <w:szCs w:val="24"/>
        </w:rPr>
        <w:t xml:space="preserve"> </w:t>
      </w:r>
      <w:r w:rsidR="00EA0CCF">
        <w:rPr>
          <w:rFonts w:asciiTheme="minorHAnsi" w:hAnsiTheme="minorHAnsi" w:cstheme="minorBidi"/>
          <w:sz w:val="24"/>
          <w:szCs w:val="24"/>
        </w:rPr>
        <w:t xml:space="preserve">summary </w:t>
      </w:r>
      <w:r w:rsidRPr="00276790">
        <w:rPr>
          <w:rFonts w:asciiTheme="minorHAnsi" w:hAnsiTheme="minorHAnsi" w:cstheme="minorBidi"/>
          <w:sz w:val="24"/>
          <w:szCs w:val="24"/>
        </w:rPr>
        <w:t xml:space="preserve">report presents </w:t>
      </w:r>
      <w:r w:rsidR="00BC7CC2">
        <w:rPr>
          <w:rFonts w:asciiTheme="minorHAnsi" w:hAnsiTheme="minorHAnsi" w:cstheme="minorBidi"/>
          <w:sz w:val="24"/>
          <w:szCs w:val="24"/>
        </w:rPr>
        <w:t xml:space="preserve">an abridged version of </w:t>
      </w:r>
      <w:r w:rsidRPr="00276790">
        <w:rPr>
          <w:rFonts w:asciiTheme="minorHAnsi" w:hAnsiTheme="minorHAnsi" w:cstheme="minorBidi"/>
          <w:sz w:val="24"/>
          <w:szCs w:val="24"/>
        </w:rPr>
        <w:t xml:space="preserve">the results of a </w:t>
      </w:r>
      <w:r>
        <w:rPr>
          <w:rFonts w:asciiTheme="minorHAnsi" w:hAnsiTheme="minorHAnsi" w:cstheme="minorBidi"/>
          <w:sz w:val="24"/>
          <w:szCs w:val="24"/>
        </w:rPr>
        <w:t xml:space="preserve">2018 </w:t>
      </w:r>
      <w:r w:rsidRPr="00276790">
        <w:rPr>
          <w:rFonts w:asciiTheme="minorHAnsi" w:hAnsiTheme="minorHAnsi" w:cstheme="minorBidi"/>
          <w:sz w:val="24"/>
          <w:szCs w:val="24"/>
        </w:rPr>
        <w:t>study conducted by an interdisciplinary research team</w:t>
      </w:r>
      <w:r>
        <w:rPr>
          <w:rFonts w:asciiTheme="minorHAnsi" w:hAnsiTheme="minorHAnsi" w:cstheme="minorBidi"/>
          <w:sz w:val="24"/>
          <w:szCs w:val="24"/>
        </w:rPr>
        <w:t>,</w:t>
      </w:r>
      <w:r w:rsidRPr="00276790">
        <w:rPr>
          <w:rFonts w:asciiTheme="minorHAnsi" w:hAnsiTheme="minorHAnsi" w:cstheme="minorBidi"/>
          <w:sz w:val="24"/>
          <w:szCs w:val="24"/>
        </w:rPr>
        <w:t xml:space="preserve"> which was supported by the Melbourne Social Equity Institute.</w:t>
      </w:r>
    </w:p>
    <w:p w14:paraId="1E0A3AAF" w14:textId="77777777" w:rsidR="00AD1888" w:rsidRDefault="00AD1888" w:rsidP="003358D9">
      <w:pPr>
        <w:autoSpaceDE w:val="0"/>
        <w:autoSpaceDN w:val="0"/>
        <w:adjustRightInd w:val="0"/>
        <w:spacing w:before="120" w:after="120"/>
        <w:contextualSpacing/>
        <w:jc w:val="both"/>
        <w:rPr>
          <w:rFonts w:asciiTheme="minorHAnsi" w:hAnsiTheme="minorHAnsi" w:cstheme="minorBidi"/>
          <w:sz w:val="24"/>
          <w:szCs w:val="24"/>
        </w:rPr>
      </w:pPr>
    </w:p>
    <w:p w14:paraId="387F5821" w14:textId="5006557B" w:rsidR="003358D9" w:rsidRPr="00276790" w:rsidRDefault="003358D9" w:rsidP="003358D9">
      <w:pPr>
        <w:autoSpaceDE w:val="0"/>
        <w:autoSpaceDN w:val="0"/>
        <w:adjustRightInd w:val="0"/>
        <w:spacing w:before="120" w:after="120"/>
        <w:contextualSpacing/>
        <w:jc w:val="both"/>
        <w:rPr>
          <w:rFonts w:asciiTheme="minorHAnsi" w:hAnsiTheme="minorHAnsi" w:cstheme="minorBidi"/>
          <w:sz w:val="24"/>
          <w:szCs w:val="24"/>
        </w:rPr>
      </w:pPr>
      <w:r w:rsidRPr="00276790">
        <w:rPr>
          <w:rFonts w:asciiTheme="minorHAnsi" w:hAnsiTheme="minorHAnsi" w:cstheme="minorBidi"/>
          <w:sz w:val="24"/>
          <w:szCs w:val="24"/>
        </w:rPr>
        <w:t>Th</w:t>
      </w:r>
      <w:r>
        <w:rPr>
          <w:rFonts w:asciiTheme="minorHAnsi" w:hAnsiTheme="minorHAnsi" w:cstheme="minorBidi"/>
          <w:sz w:val="24"/>
          <w:szCs w:val="24"/>
        </w:rPr>
        <w:t>e</w:t>
      </w:r>
      <w:r w:rsidRPr="00276790">
        <w:rPr>
          <w:rFonts w:asciiTheme="minorHAnsi" w:hAnsiTheme="minorHAnsi" w:cstheme="minorBidi"/>
          <w:sz w:val="24"/>
          <w:szCs w:val="24"/>
        </w:rPr>
        <w:t xml:space="preserve"> study aimed to:</w:t>
      </w:r>
    </w:p>
    <w:p w14:paraId="0864CF12" w14:textId="77777777" w:rsidR="003358D9" w:rsidRPr="00276790" w:rsidRDefault="003358D9" w:rsidP="00BC1A54">
      <w:pPr>
        <w:pStyle w:val="ListParagraph"/>
        <w:numPr>
          <w:ilvl w:val="0"/>
          <w:numId w:val="3"/>
        </w:numPr>
        <w:autoSpaceDE w:val="0"/>
        <w:autoSpaceDN w:val="0"/>
        <w:adjustRightInd w:val="0"/>
        <w:spacing w:before="120" w:after="120"/>
        <w:ind w:left="360"/>
        <w:jc w:val="both"/>
        <w:rPr>
          <w:rFonts w:asciiTheme="minorHAnsi" w:hAnsiTheme="minorHAnsi" w:cstheme="minorBidi"/>
        </w:rPr>
      </w:pPr>
      <w:r>
        <w:rPr>
          <w:rFonts w:asciiTheme="minorHAnsi" w:hAnsiTheme="minorHAnsi" w:cstheme="minorBidi"/>
        </w:rPr>
        <w:t>i</w:t>
      </w:r>
      <w:r w:rsidRPr="00276790">
        <w:rPr>
          <w:rFonts w:asciiTheme="minorHAnsi" w:hAnsiTheme="minorHAnsi" w:cstheme="minorBidi"/>
        </w:rPr>
        <w:t xml:space="preserve">ncrease awareness among telecommunications suppliers of </w:t>
      </w:r>
      <w:r w:rsidRPr="00276790">
        <w:rPr>
          <w:rFonts w:asciiTheme="minorHAnsi" w:hAnsiTheme="minorHAnsi" w:cstheme="minorHAnsi"/>
        </w:rPr>
        <w:t>their legal obligations</w:t>
      </w:r>
      <w:r w:rsidRPr="00276790">
        <w:rPr>
          <w:rFonts w:asciiTheme="minorHAnsi" w:hAnsiTheme="minorHAnsi" w:cstheme="minorHAnsi"/>
          <w:sz w:val="22"/>
          <w:szCs w:val="22"/>
        </w:rPr>
        <w:t xml:space="preserve"> </w:t>
      </w:r>
      <w:r w:rsidRPr="00276790">
        <w:rPr>
          <w:rFonts w:asciiTheme="minorHAnsi" w:hAnsiTheme="minorHAnsi" w:cstheme="minorBidi"/>
        </w:rPr>
        <w:t>in relation to consumers with cognitive disabilities, as well as the corporate, social and economic benefits of making se</w:t>
      </w:r>
      <w:r>
        <w:rPr>
          <w:rFonts w:asciiTheme="minorHAnsi" w:hAnsiTheme="minorHAnsi" w:cstheme="minorBidi"/>
        </w:rPr>
        <w:t>rvices more accessible and available to them;</w:t>
      </w:r>
    </w:p>
    <w:p w14:paraId="1E689A4A" w14:textId="77777777" w:rsidR="003358D9" w:rsidRPr="00276790" w:rsidRDefault="003358D9" w:rsidP="003358D9">
      <w:pPr>
        <w:pStyle w:val="ListParagraph"/>
        <w:autoSpaceDE w:val="0"/>
        <w:autoSpaceDN w:val="0"/>
        <w:adjustRightInd w:val="0"/>
        <w:spacing w:before="120" w:after="120"/>
        <w:ind w:left="0"/>
        <w:rPr>
          <w:rFonts w:asciiTheme="minorHAnsi" w:hAnsiTheme="minorHAnsi" w:cstheme="minorHAnsi"/>
        </w:rPr>
      </w:pPr>
    </w:p>
    <w:p w14:paraId="2DF3DDEE" w14:textId="735AC289" w:rsidR="003358D9" w:rsidRPr="00276790" w:rsidRDefault="003358D9" w:rsidP="00BC1A54">
      <w:pPr>
        <w:pStyle w:val="ListParagraph"/>
        <w:numPr>
          <w:ilvl w:val="0"/>
          <w:numId w:val="3"/>
        </w:numPr>
        <w:autoSpaceDE w:val="0"/>
        <w:autoSpaceDN w:val="0"/>
        <w:adjustRightInd w:val="0"/>
        <w:spacing w:before="120" w:after="120"/>
        <w:ind w:left="360"/>
        <w:jc w:val="both"/>
        <w:rPr>
          <w:rFonts w:asciiTheme="minorHAnsi" w:hAnsiTheme="minorHAnsi" w:cstheme="minorBidi"/>
        </w:rPr>
      </w:pPr>
      <w:r>
        <w:rPr>
          <w:rFonts w:asciiTheme="minorHAnsi" w:hAnsiTheme="minorHAnsi" w:cstheme="minorBidi"/>
        </w:rPr>
        <w:t>a</w:t>
      </w:r>
      <w:r w:rsidRPr="00276790">
        <w:rPr>
          <w:rFonts w:asciiTheme="minorHAnsi" w:hAnsiTheme="minorHAnsi" w:cstheme="minorBidi"/>
        </w:rPr>
        <w:t>ssess the extent to which telecommunications suppliers’ online information about choosing a product and getting help or assistance complies with the Telecommunications Code requirements about disclosure and clarity and human rights requirements in relation to</w:t>
      </w:r>
      <w:r>
        <w:rPr>
          <w:rFonts w:asciiTheme="minorHAnsi" w:hAnsiTheme="minorHAnsi" w:cstheme="minorBidi"/>
        </w:rPr>
        <w:t xml:space="preserve"> accessibility and the exercise of legal capacity by</w:t>
      </w:r>
      <w:r w:rsidRPr="00276790">
        <w:rPr>
          <w:rFonts w:asciiTheme="minorHAnsi" w:hAnsiTheme="minorHAnsi" w:cstheme="minorBidi"/>
        </w:rPr>
        <w:t xml:space="preserve"> consume</w:t>
      </w:r>
      <w:r>
        <w:rPr>
          <w:rFonts w:asciiTheme="minorHAnsi" w:hAnsiTheme="minorHAnsi" w:cstheme="minorBidi"/>
        </w:rPr>
        <w:t>rs with cognitive disabilities;</w:t>
      </w:r>
      <w:r w:rsidR="00C45277">
        <w:rPr>
          <w:rFonts w:asciiTheme="minorHAnsi" w:hAnsiTheme="minorHAnsi" w:cstheme="minorBidi"/>
        </w:rPr>
        <w:t xml:space="preserve"> and</w:t>
      </w:r>
    </w:p>
    <w:p w14:paraId="7F95AD27" w14:textId="77777777" w:rsidR="003358D9" w:rsidRPr="00276790" w:rsidRDefault="003358D9" w:rsidP="003358D9">
      <w:pPr>
        <w:pStyle w:val="ListParagraph"/>
        <w:autoSpaceDE w:val="0"/>
        <w:autoSpaceDN w:val="0"/>
        <w:adjustRightInd w:val="0"/>
        <w:spacing w:before="120" w:after="120"/>
        <w:ind w:left="0"/>
        <w:rPr>
          <w:rFonts w:asciiTheme="minorHAnsi" w:hAnsiTheme="minorHAnsi" w:cstheme="minorHAnsi"/>
        </w:rPr>
      </w:pPr>
    </w:p>
    <w:p w14:paraId="50BBD9B4" w14:textId="575665A0" w:rsidR="00AD1888" w:rsidRPr="00A728A6" w:rsidRDefault="003358D9" w:rsidP="00AD1888">
      <w:pPr>
        <w:pStyle w:val="ListParagraph"/>
        <w:numPr>
          <w:ilvl w:val="0"/>
          <w:numId w:val="5"/>
        </w:numPr>
        <w:ind w:left="360"/>
        <w:jc w:val="both"/>
        <w:rPr>
          <w:rFonts w:asciiTheme="minorHAnsi" w:hAnsiTheme="minorHAnsi" w:cstheme="minorHAnsi"/>
        </w:rPr>
      </w:pPr>
      <w:r>
        <w:rPr>
          <w:rFonts w:asciiTheme="minorHAnsi" w:hAnsiTheme="minorHAnsi" w:cstheme="minorBidi"/>
        </w:rPr>
        <w:t>s</w:t>
      </w:r>
      <w:r w:rsidRPr="00276790">
        <w:rPr>
          <w:rFonts w:asciiTheme="minorHAnsi" w:hAnsiTheme="minorHAnsi" w:cstheme="minorBidi"/>
        </w:rPr>
        <w:t>upport good outcomes for consumers by developing</w:t>
      </w:r>
      <w:r w:rsidR="00083F4E">
        <w:rPr>
          <w:rFonts w:asciiTheme="minorHAnsi" w:hAnsiTheme="minorHAnsi" w:cstheme="minorBidi"/>
        </w:rPr>
        <w:t>, in consultation with People with Disability Australia and the Victorian Mental Illness Awareness Council (</w:t>
      </w:r>
      <w:r w:rsidR="002445E1">
        <w:rPr>
          <w:rFonts w:asciiTheme="minorHAnsi" w:hAnsiTheme="minorHAnsi" w:cstheme="minorBidi"/>
        </w:rPr>
        <w:t>‘</w:t>
      </w:r>
      <w:r w:rsidR="00083F4E">
        <w:rPr>
          <w:rFonts w:asciiTheme="minorHAnsi" w:hAnsiTheme="minorHAnsi" w:cstheme="minorBidi"/>
        </w:rPr>
        <w:t>VMIAC</w:t>
      </w:r>
      <w:r w:rsidR="002445E1">
        <w:rPr>
          <w:rFonts w:asciiTheme="minorHAnsi" w:hAnsiTheme="minorHAnsi" w:cstheme="minorBidi"/>
        </w:rPr>
        <w:t>’</w:t>
      </w:r>
      <w:r w:rsidR="00083F4E">
        <w:rPr>
          <w:rFonts w:asciiTheme="minorHAnsi" w:hAnsiTheme="minorHAnsi" w:cstheme="minorBidi"/>
        </w:rPr>
        <w:t>),</w:t>
      </w:r>
      <w:r w:rsidRPr="00276790">
        <w:rPr>
          <w:rFonts w:asciiTheme="minorHAnsi" w:hAnsiTheme="minorHAnsi" w:cstheme="minorBidi"/>
        </w:rPr>
        <w:t xml:space="preserve"> practical guidance for telecommunications suppliers to </w:t>
      </w:r>
      <w:r w:rsidRPr="00276790">
        <w:rPr>
          <w:rFonts w:asciiTheme="minorHAnsi" w:hAnsiTheme="minorHAnsi" w:cstheme="minorHAnsi"/>
        </w:rPr>
        <w:t xml:space="preserve">provide accessible information </w:t>
      </w:r>
      <w:r w:rsidRPr="00276790">
        <w:rPr>
          <w:rFonts w:asciiTheme="minorHAnsi" w:hAnsiTheme="minorHAnsi" w:cstheme="minorBidi"/>
        </w:rPr>
        <w:t>for consumers with cognitive disabiliti</w:t>
      </w:r>
      <w:r>
        <w:rPr>
          <w:rFonts w:asciiTheme="minorHAnsi" w:hAnsiTheme="minorHAnsi" w:cstheme="minorBidi"/>
        </w:rPr>
        <w:t>es</w:t>
      </w:r>
      <w:r w:rsidRPr="00276790">
        <w:rPr>
          <w:rFonts w:asciiTheme="minorHAnsi" w:hAnsiTheme="minorHAnsi" w:cstheme="minorHAnsi"/>
        </w:rPr>
        <w:t xml:space="preserve"> about selecting a phone</w:t>
      </w:r>
      <w:r>
        <w:rPr>
          <w:rFonts w:asciiTheme="minorHAnsi" w:hAnsiTheme="minorHAnsi" w:cstheme="minorHAnsi"/>
        </w:rPr>
        <w:t xml:space="preserve">, tablet or internet service, managing the cost, </w:t>
      </w:r>
      <w:r w:rsidRPr="00276790">
        <w:rPr>
          <w:rFonts w:asciiTheme="minorHAnsi" w:hAnsiTheme="minorHAnsi" w:cstheme="minorHAnsi"/>
        </w:rPr>
        <w:t>and what to do when problems arise</w:t>
      </w:r>
      <w:r>
        <w:rPr>
          <w:rFonts w:asciiTheme="minorHAnsi" w:hAnsiTheme="minorHAnsi" w:cstheme="minorBidi"/>
        </w:rPr>
        <w:t>.</w:t>
      </w:r>
    </w:p>
    <w:p w14:paraId="18235755" w14:textId="77777777" w:rsidR="00402491" w:rsidRDefault="00402491" w:rsidP="000F4A62">
      <w:pPr>
        <w:jc w:val="both"/>
        <w:rPr>
          <w:rFonts w:asciiTheme="minorHAnsi" w:hAnsiTheme="minorHAnsi" w:cstheme="minorHAnsi"/>
          <w:sz w:val="24"/>
          <w:szCs w:val="24"/>
        </w:rPr>
      </w:pPr>
    </w:p>
    <w:p w14:paraId="473D5CD4" w14:textId="5711E34D" w:rsidR="00CA2C36" w:rsidRDefault="003C487B" w:rsidP="00BC1A54">
      <w:pPr>
        <w:pStyle w:val="Heading1"/>
        <w:numPr>
          <w:ilvl w:val="0"/>
          <w:numId w:val="8"/>
        </w:numPr>
      </w:pPr>
      <w:r>
        <w:t>Supplier</w:t>
      </w:r>
      <w:r w:rsidR="00CA2C36">
        <w:t>s’ obligations</w:t>
      </w:r>
      <w:r w:rsidR="0073121A">
        <w:t xml:space="preserve"> to consumers with cognitive disabilities</w:t>
      </w:r>
    </w:p>
    <w:p w14:paraId="75E07FC8" w14:textId="2B62389E" w:rsidR="0036325B" w:rsidRDefault="0036325B" w:rsidP="00702E8D">
      <w:pPr>
        <w:pStyle w:val="Heading2"/>
        <w:numPr>
          <w:ilvl w:val="1"/>
          <w:numId w:val="8"/>
        </w:numPr>
      </w:pPr>
      <w:r>
        <w:t>Consumer</w:t>
      </w:r>
      <w:r w:rsidR="001A5D92">
        <w:t xml:space="preserve"> </w:t>
      </w:r>
      <w:r w:rsidR="001A5D92" w:rsidRPr="001B552D">
        <w:t>protection</w:t>
      </w:r>
    </w:p>
    <w:p w14:paraId="6D674602" w14:textId="1F07C90C" w:rsidR="00F74EBA" w:rsidRPr="008075A7" w:rsidRDefault="00AD60FA" w:rsidP="00AD60FA">
      <w:pPr>
        <w:autoSpaceDE w:val="0"/>
        <w:autoSpaceDN w:val="0"/>
        <w:adjustRightInd w:val="0"/>
        <w:spacing w:before="240"/>
        <w:jc w:val="both"/>
        <w:rPr>
          <w:rFonts w:asciiTheme="minorHAnsi" w:hAnsiTheme="minorHAnsi" w:cstheme="minorHAnsi"/>
        </w:rPr>
      </w:pPr>
      <w:r w:rsidRPr="00276790">
        <w:rPr>
          <w:rFonts w:asciiTheme="minorHAnsi" w:hAnsiTheme="minorHAnsi" w:cstheme="minorBidi"/>
          <w:sz w:val="24"/>
          <w:szCs w:val="24"/>
        </w:rPr>
        <w:t>Protection for telecommunications consumers is provided through the telecommunications-specific provisions in the Telecommunications Code and the general consumer protections in the Australian Consumer Law.</w:t>
      </w:r>
      <w:r w:rsidRPr="00276790">
        <w:rPr>
          <w:rStyle w:val="FootnoteReference"/>
          <w:rFonts w:asciiTheme="minorHAnsi" w:hAnsiTheme="minorHAnsi" w:cstheme="minorBidi"/>
          <w:sz w:val="24"/>
          <w:szCs w:val="24"/>
        </w:rPr>
        <w:footnoteReference w:id="5"/>
      </w:r>
      <w:r w:rsidRPr="00276790">
        <w:rPr>
          <w:rFonts w:asciiTheme="minorHAnsi" w:hAnsiTheme="minorHAnsi" w:cstheme="minorBidi"/>
          <w:sz w:val="24"/>
          <w:szCs w:val="24"/>
        </w:rPr>
        <w:t xml:space="preserve"> The Australian Consumer Law contains provisions that aim to set a base standard of fairness in the content of contracts and the quality of goods and services provided</w:t>
      </w:r>
      <w:r w:rsidR="0073121A" w:rsidRPr="00276790">
        <w:rPr>
          <w:rFonts w:asciiTheme="minorHAnsi" w:hAnsiTheme="minorHAnsi" w:cs="Arial"/>
          <w:color w:val="000000" w:themeColor="text1"/>
          <w:sz w:val="24"/>
          <w:szCs w:val="24"/>
        </w:rPr>
        <w:t xml:space="preserve"> </w:t>
      </w:r>
      <w:r w:rsidR="002445E1">
        <w:rPr>
          <w:rFonts w:asciiTheme="minorHAnsi" w:hAnsiTheme="minorHAnsi" w:cstheme="minorBidi"/>
          <w:sz w:val="24"/>
          <w:szCs w:val="24"/>
        </w:rPr>
        <w:t>and allows</w:t>
      </w:r>
      <w:r w:rsidRPr="00276790">
        <w:rPr>
          <w:rFonts w:asciiTheme="minorHAnsi" w:hAnsiTheme="minorHAnsi" w:cstheme="minorBidi"/>
          <w:sz w:val="24"/>
          <w:szCs w:val="24"/>
        </w:rPr>
        <w:t xml:space="preserve"> contracts to be set aside where they are procured by misleading, unconscionable or coercive conduct.</w:t>
      </w:r>
      <w:r w:rsidR="00A23256">
        <w:rPr>
          <w:rStyle w:val="FootnoteReference"/>
          <w:rFonts w:asciiTheme="minorHAnsi" w:hAnsiTheme="minorHAnsi" w:cstheme="minorBidi"/>
          <w:sz w:val="24"/>
          <w:szCs w:val="24"/>
        </w:rPr>
        <w:footnoteReference w:id="6"/>
      </w:r>
      <w:r w:rsidR="00A23256" w:rsidRPr="00276790">
        <w:rPr>
          <w:rFonts w:asciiTheme="minorHAnsi" w:hAnsiTheme="minorHAnsi" w:cstheme="minorBidi"/>
          <w:sz w:val="24"/>
          <w:szCs w:val="24"/>
        </w:rPr>
        <w:t xml:space="preserve"> </w:t>
      </w:r>
      <w:r w:rsidRPr="00276790">
        <w:rPr>
          <w:rFonts w:asciiTheme="minorHAnsi" w:hAnsiTheme="minorHAnsi" w:cstheme="minorBidi"/>
          <w:sz w:val="24"/>
          <w:szCs w:val="24"/>
        </w:rPr>
        <w:t xml:space="preserve">However, this regime operates </w:t>
      </w:r>
      <w:r w:rsidRPr="00276790">
        <w:rPr>
          <w:rFonts w:asciiTheme="minorHAnsi" w:hAnsiTheme="minorHAnsi" w:cstheme="minorHAnsi"/>
          <w:sz w:val="24"/>
          <w:szCs w:val="24"/>
        </w:rPr>
        <w:t xml:space="preserve">to </w:t>
      </w:r>
      <w:r>
        <w:rPr>
          <w:rFonts w:asciiTheme="minorHAnsi" w:hAnsiTheme="minorHAnsi" w:cstheme="minorHAnsi"/>
          <w:sz w:val="24"/>
          <w:szCs w:val="24"/>
        </w:rPr>
        <w:t>offer re</w:t>
      </w:r>
      <w:r w:rsidR="00C45277">
        <w:rPr>
          <w:rFonts w:asciiTheme="minorHAnsi" w:hAnsiTheme="minorHAnsi" w:cstheme="minorHAnsi"/>
          <w:sz w:val="24"/>
          <w:szCs w:val="24"/>
        </w:rPr>
        <w:t>medies</w:t>
      </w:r>
      <w:r>
        <w:rPr>
          <w:rFonts w:asciiTheme="minorHAnsi" w:hAnsiTheme="minorHAnsi" w:cstheme="minorHAnsi"/>
          <w:sz w:val="24"/>
          <w:szCs w:val="24"/>
        </w:rPr>
        <w:t xml:space="preserve"> </w:t>
      </w:r>
      <w:r w:rsidRPr="00276790">
        <w:rPr>
          <w:rFonts w:asciiTheme="minorHAnsi" w:hAnsiTheme="minorHAnsi" w:cstheme="minorHAnsi"/>
          <w:sz w:val="24"/>
          <w:szCs w:val="24"/>
        </w:rPr>
        <w:t xml:space="preserve">after </w:t>
      </w:r>
      <w:r>
        <w:rPr>
          <w:rFonts w:asciiTheme="minorHAnsi" w:hAnsiTheme="minorHAnsi" w:cstheme="minorHAnsi"/>
          <w:sz w:val="24"/>
          <w:szCs w:val="24"/>
        </w:rPr>
        <w:t>things</w:t>
      </w:r>
      <w:r w:rsidRPr="00276790">
        <w:rPr>
          <w:rFonts w:asciiTheme="minorHAnsi" w:hAnsiTheme="minorHAnsi" w:cstheme="minorHAnsi"/>
          <w:sz w:val="24"/>
          <w:szCs w:val="24"/>
        </w:rPr>
        <w:t xml:space="preserve"> have gone wrong</w:t>
      </w:r>
      <w:r w:rsidR="00C45277">
        <w:rPr>
          <w:rFonts w:asciiTheme="minorHAnsi" w:hAnsiTheme="minorHAnsi" w:cstheme="minorHAnsi"/>
          <w:sz w:val="24"/>
          <w:szCs w:val="24"/>
        </w:rPr>
        <w:t>. For</w:t>
      </w:r>
      <w:r w:rsidRPr="00276790">
        <w:rPr>
          <w:rFonts w:asciiTheme="minorHAnsi" w:hAnsiTheme="minorHAnsi" w:cstheme="minorBidi"/>
          <w:sz w:val="24"/>
          <w:szCs w:val="24"/>
        </w:rPr>
        <w:t xml:space="preserve"> consumers with cognitive disabilities, </w:t>
      </w:r>
      <w:r w:rsidR="00C45277">
        <w:rPr>
          <w:rFonts w:asciiTheme="minorHAnsi" w:hAnsiTheme="minorHAnsi" w:cstheme="minorBidi"/>
          <w:sz w:val="24"/>
          <w:szCs w:val="24"/>
        </w:rPr>
        <w:t>the law</w:t>
      </w:r>
      <w:r w:rsidRPr="00276790">
        <w:rPr>
          <w:rFonts w:asciiTheme="minorHAnsi" w:hAnsiTheme="minorHAnsi" w:cstheme="minorBidi"/>
          <w:sz w:val="24"/>
          <w:szCs w:val="24"/>
        </w:rPr>
        <w:t xml:space="preserve"> is based on setting aside contracts that are obtained with ‘impaired’ consent</w:t>
      </w:r>
      <w:r w:rsidR="008075A7">
        <w:rPr>
          <w:rFonts w:asciiTheme="minorHAnsi" w:hAnsiTheme="minorHAnsi" w:cstheme="minorBidi"/>
          <w:sz w:val="24"/>
          <w:szCs w:val="24"/>
        </w:rPr>
        <w:t>.</w:t>
      </w:r>
      <w:r w:rsidR="00D40F44">
        <w:rPr>
          <w:rStyle w:val="FootnoteReference"/>
          <w:rFonts w:asciiTheme="minorHAnsi" w:hAnsiTheme="minorHAnsi" w:cstheme="minorBidi"/>
          <w:sz w:val="24"/>
          <w:szCs w:val="24"/>
        </w:rPr>
        <w:footnoteReference w:id="7"/>
      </w:r>
    </w:p>
    <w:p w14:paraId="252C30E0" w14:textId="77777777" w:rsidR="008F0D49" w:rsidRDefault="008075A7" w:rsidP="00AD60FA">
      <w:pPr>
        <w:autoSpaceDE w:val="0"/>
        <w:autoSpaceDN w:val="0"/>
        <w:adjustRightInd w:val="0"/>
        <w:spacing w:before="240"/>
        <w:jc w:val="both"/>
        <w:rPr>
          <w:rFonts w:asciiTheme="minorHAnsi" w:hAnsiTheme="minorHAnsi" w:cs="Arial"/>
          <w:sz w:val="24"/>
          <w:szCs w:val="24"/>
        </w:rPr>
      </w:pPr>
      <w:r>
        <w:rPr>
          <w:rFonts w:asciiTheme="minorHAnsi" w:hAnsiTheme="minorHAnsi" w:cstheme="minorHAnsi"/>
          <w:sz w:val="24"/>
          <w:szCs w:val="24"/>
        </w:rPr>
        <w:t>T</w:t>
      </w:r>
      <w:r w:rsidR="00AD60FA" w:rsidRPr="00276790">
        <w:rPr>
          <w:rFonts w:asciiTheme="minorHAnsi" w:hAnsiTheme="minorHAnsi" w:cstheme="minorHAnsi"/>
          <w:sz w:val="24"/>
          <w:szCs w:val="24"/>
        </w:rPr>
        <w:t xml:space="preserve">he Telecommunications Code requires suppliers to give consumers critical information about the contract terms that govern the products they are interested in purchasing in a clear manner. </w:t>
      </w:r>
      <w:r w:rsidR="008F0D49">
        <w:rPr>
          <w:rFonts w:asciiTheme="minorHAnsi" w:hAnsiTheme="minorHAnsi" w:cs="Arial"/>
          <w:sz w:val="24"/>
          <w:szCs w:val="24"/>
        </w:rPr>
        <w:t>T</w:t>
      </w:r>
      <w:r w:rsidR="00455FF5" w:rsidRPr="00276790">
        <w:rPr>
          <w:rFonts w:asciiTheme="minorHAnsi" w:hAnsiTheme="minorHAnsi" w:cs="Arial"/>
          <w:sz w:val="24"/>
          <w:szCs w:val="24"/>
        </w:rPr>
        <w:t>elecommunications suppliers must</w:t>
      </w:r>
      <w:r w:rsidR="008F0D49">
        <w:rPr>
          <w:rFonts w:asciiTheme="minorHAnsi" w:hAnsiTheme="minorHAnsi" w:cs="Arial"/>
          <w:sz w:val="24"/>
          <w:szCs w:val="24"/>
        </w:rPr>
        <w:t>:</w:t>
      </w:r>
    </w:p>
    <w:p w14:paraId="3915A46A" w14:textId="4188D2AC" w:rsidR="008F0D49" w:rsidRDefault="00455FF5" w:rsidP="008F0D49">
      <w:pPr>
        <w:pStyle w:val="ListParagraph"/>
        <w:numPr>
          <w:ilvl w:val="0"/>
          <w:numId w:val="5"/>
        </w:numPr>
        <w:autoSpaceDE w:val="0"/>
        <w:autoSpaceDN w:val="0"/>
        <w:adjustRightInd w:val="0"/>
        <w:spacing w:before="240"/>
        <w:ind w:left="426"/>
        <w:jc w:val="both"/>
        <w:rPr>
          <w:rFonts w:asciiTheme="minorHAnsi" w:hAnsiTheme="minorHAnsi" w:cs="Arial"/>
        </w:rPr>
      </w:pPr>
      <w:r w:rsidRPr="008F0D49">
        <w:rPr>
          <w:rFonts w:asciiTheme="minorHAnsi" w:hAnsiTheme="minorHAnsi" w:cs="Arial"/>
        </w:rPr>
        <w:t>communicate with consumers in ‘plain language’</w:t>
      </w:r>
      <w:r w:rsidR="008F0D49">
        <w:rPr>
          <w:rFonts w:asciiTheme="minorHAnsi" w:hAnsiTheme="minorHAnsi" w:cs="Arial"/>
        </w:rPr>
        <w:t>;</w:t>
      </w:r>
      <w:r w:rsidRPr="008F0D49">
        <w:rPr>
          <w:rFonts w:asciiTheme="minorHAnsi" w:hAnsiTheme="minorHAnsi" w:cs="Arial"/>
        </w:rPr>
        <w:t xml:space="preserve"> </w:t>
      </w:r>
    </w:p>
    <w:p w14:paraId="745E5B47" w14:textId="77777777" w:rsidR="00DD0DB4" w:rsidRDefault="00DD0DB4" w:rsidP="00DD0DB4">
      <w:pPr>
        <w:pStyle w:val="ListParagraph"/>
        <w:autoSpaceDE w:val="0"/>
        <w:autoSpaceDN w:val="0"/>
        <w:adjustRightInd w:val="0"/>
        <w:spacing w:before="240"/>
        <w:ind w:left="426"/>
        <w:jc w:val="both"/>
        <w:rPr>
          <w:rFonts w:asciiTheme="minorHAnsi" w:hAnsiTheme="minorHAnsi" w:cs="Arial"/>
        </w:rPr>
      </w:pPr>
    </w:p>
    <w:p w14:paraId="27EB2FF9" w14:textId="0F5B6EB4" w:rsidR="00DD0DB4" w:rsidRPr="00DD0DB4" w:rsidRDefault="00455FF5" w:rsidP="00DD0DB4">
      <w:pPr>
        <w:pStyle w:val="ListParagraph"/>
        <w:numPr>
          <w:ilvl w:val="0"/>
          <w:numId w:val="5"/>
        </w:numPr>
        <w:autoSpaceDE w:val="0"/>
        <w:autoSpaceDN w:val="0"/>
        <w:adjustRightInd w:val="0"/>
        <w:spacing w:before="240"/>
        <w:ind w:left="426"/>
        <w:jc w:val="both"/>
        <w:rPr>
          <w:rFonts w:asciiTheme="minorHAnsi" w:hAnsiTheme="minorHAnsi" w:cs="Arial"/>
        </w:rPr>
      </w:pPr>
      <w:r w:rsidRPr="008F0D49">
        <w:rPr>
          <w:rFonts w:asciiTheme="minorHAnsi" w:hAnsiTheme="minorHAnsi" w:cs="Arial"/>
        </w:rPr>
        <w:t>ensure that any information provided to consumers is ‘clear, accurate, free of material omissions, relevant, current and… timely’</w:t>
      </w:r>
      <w:r w:rsidR="0001529D">
        <w:rPr>
          <w:rFonts w:asciiTheme="minorHAnsi" w:hAnsiTheme="minorHAnsi" w:cs="Arial"/>
        </w:rPr>
        <w:t>; and</w:t>
      </w:r>
      <w:r w:rsidR="00DD0DB4">
        <w:rPr>
          <w:rFonts w:asciiTheme="minorHAnsi" w:hAnsiTheme="minorHAnsi" w:cs="Arial"/>
        </w:rPr>
        <w:tab/>
      </w:r>
      <w:r w:rsidRPr="008F0D49">
        <w:rPr>
          <w:rFonts w:asciiTheme="minorHAnsi" w:hAnsiTheme="minorHAnsi" w:cs="Arial"/>
        </w:rPr>
        <w:t xml:space="preserve"> </w:t>
      </w:r>
      <w:r w:rsidR="00DD0DB4">
        <w:rPr>
          <w:rFonts w:asciiTheme="minorHAnsi" w:hAnsiTheme="minorHAnsi" w:cs="Arial"/>
        </w:rPr>
        <w:br/>
      </w:r>
    </w:p>
    <w:p w14:paraId="42C7E56A" w14:textId="1D92F35A" w:rsidR="0001529D" w:rsidRPr="0001529D" w:rsidRDefault="00455FF5" w:rsidP="008F0D49">
      <w:pPr>
        <w:pStyle w:val="ListParagraph"/>
        <w:numPr>
          <w:ilvl w:val="0"/>
          <w:numId w:val="5"/>
        </w:numPr>
        <w:autoSpaceDE w:val="0"/>
        <w:autoSpaceDN w:val="0"/>
        <w:adjustRightInd w:val="0"/>
        <w:spacing w:before="240"/>
        <w:ind w:left="426"/>
        <w:jc w:val="both"/>
        <w:rPr>
          <w:rFonts w:asciiTheme="minorHAnsi" w:hAnsiTheme="minorHAnsi" w:cs="Arial"/>
        </w:rPr>
      </w:pPr>
      <w:r w:rsidRPr="008F0D49">
        <w:rPr>
          <w:rFonts w:asciiTheme="minorHAnsi" w:hAnsiTheme="minorHAnsi" w:cs="Arial"/>
        </w:rPr>
        <w:lastRenderedPageBreak/>
        <w:t xml:space="preserve">ensure sales staff are trained to promote products in ‘a fair and accurate manner to assist </w:t>
      </w:r>
      <w:r w:rsidRPr="0001529D">
        <w:rPr>
          <w:rFonts w:asciiTheme="minorHAnsi" w:hAnsiTheme="minorHAnsi" w:cs="Arial"/>
        </w:rPr>
        <w:t>consumers in making informed purchasing decisions’.</w:t>
      </w:r>
      <w:r w:rsidR="00D3433F" w:rsidRPr="00276790">
        <w:rPr>
          <w:rStyle w:val="FootnoteReference"/>
          <w:rFonts w:asciiTheme="minorHAnsi" w:hAnsiTheme="minorHAnsi" w:cs="Arial"/>
        </w:rPr>
        <w:footnoteReference w:id="8"/>
      </w:r>
    </w:p>
    <w:p w14:paraId="2EF6FA6B" w14:textId="342A6A06" w:rsidR="00D93D71" w:rsidRDefault="00686B7C" w:rsidP="00AD60FA">
      <w:pPr>
        <w:autoSpaceDE w:val="0"/>
        <w:autoSpaceDN w:val="0"/>
        <w:adjustRightInd w:val="0"/>
        <w:spacing w:before="240"/>
        <w:jc w:val="both"/>
        <w:rPr>
          <w:rFonts w:asciiTheme="minorHAnsi" w:eastAsia="Times New Roman" w:hAnsiTheme="minorHAnsi"/>
          <w:sz w:val="24"/>
          <w:szCs w:val="24"/>
          <w:lang w:val="en-GB" w:eastAsia="en-GB"/>
        </w:rPr>
      </w:pPr>
      <w:r>
        <w:rPr>
          <w:rFonts w:asciiTheme="minorHAnsi" w:hAnsiTheme="minorHAnsi" w:cs="Arial"/>
          <w:sz w:val="24"/>
          <w:szCs w:val="24"/>
        </w:rPr>
        <w:t>The</w:t>
      </w:r>
      <w:r w:rsidRPr="00276790">
        <w:rPr>
          <w:rFonts w:asciiTheme="minorHAnsi" w:hAnsiTheme="minorHAnsi" w:cs="Arial"/>
          <w:sz w:val="24"/>
          <w:szCs w:val="24"/>
        </w:rPr>
        <w:t xml:space="preserve"> clarity</w:t>
      </w:r>
      <w:r>
        <w:rPr>
          <w:rFonts w:asciiTheme="minorHAnsi" w:hAnsiTheme="minorHAnsi" w:cs="Arial"/>
          <w:sz w:val="24"/>
          <w:szCs w:val="24"/>
        </w:rPr>
        <w:t xml:space="preserve"> of information on websites</w:t>
      </w:r>
      <w:r w:rsidRPr="00276790">
        <w:rPr>
          <w:rFonts w:asciiTheme="minorHAnsi" w:hAnsiTheme="minorHAnsi" w:cs="Arial"/>
          <w:sz w:val="24"/>
          <w:szCs w:val="24"/>
        </w:rPr>
        <w:t xml:space="preserve"> is specifically addressed by the Telecommunications Code. </w:t>
      </w:r>
      <w:r w:rsidR="002445E1">
        <w:rPr>
          <w:rFonts w:asciiTheme="minorHAnsi" w:hAnsiTheme="minorHAnsi" w:cs="Arial"/>
          <w:sz w:val="24"/>
          <w:szCs w:val="24"/>
        </w:rPr>
        <w:t>A supplier</w:t>
      </w:r>
      <w:r w:rsidR="00D93D71">
        <w:rPr>
          <w:rFonts w:asciiTheme="minorHAnsi" w:hAnsiTheme="minorHAnsi" w:cs="Arial"/>
          <w:sz w:val="24"/>
          <w:szCs w:val="24"/>
        </w:rPr>
        <w:t>:</w:t>
      </w:r>
    </w:p>
    <w:p w14:paraId="67D41607" w14:textId="58647F74" w:rsidR="00D93D71" w:rsidRDefault="00686B7C" w:rsidP="00D93D71">
      <w:pPr>
        <w:pStyle w:val="ListParagraph"/>
        <w:numPr>
          <w:ilvl w:val="0"/>
          <w:numId w:val="5"/>
        </w:numPr>
        <w:autoSpaceDE w:val="0"/>
        <w:autoSpaceDN w:val="0"/>
        <w:adjustRightInd w:val="0"/>
        <w:spacing w:before="240"/>
        <w:ind w:left="426"/>
        <w:jc w:val="both"/>
        <w:rPr>
          <w:rFonts w:asciiTheme="minorHAnsi" w:eastAsia="Times New Roman" w:hAnsiTheme="minorHAnsi"/>
          <w:lang w:val="en-GB" w:eastAsia="en-GB"/>
        </w:rPr>
      </w:pPr>
      <w:r w:rsidRPr="00D93D71">
        <w:rPr>
          <w:rFonts w:asciiTheme="minorHAnsi" w:eastAsia="Times New Roman" w:hAnsiTheme="minorHAnsi"/>
          <w:lang w:val="en-GB" w:eastAsia="en-GB"/>
        </w:rPr>
        <w:t>must ensure that ‘consumers can view and download all relevant terms and conditions of its Telecommunications Products from a website’</w:t>
      </w:r>
      <w:r w:rsidR="00D93D71">
        <w:rPr>
          <w:rFonts w:asciiTheme="minorHAnsi" w:eastAsia="Times New Roman" w:hAnsiTheme="minorHAnsi"/>
          <w:lang w:val="en-GB" w:eastAsia="en-GB"/>
        </w:rPr>
        <w:t>;</w:t>
      </w:r>
      <w:r w:rsidR="005B63CB" w:rsidRPr="00276790">
        <w:rPr>
          <w:rStyle w:val="FootnoteReference"/>
          <w:rFonts w:asciiTheme="minorHAnsi" w:eastAsia="Times New Roman" w:hAnsiTheme="minorHAnsi"/>
          <w:lang w:val="en-GB" w:eastAsia="en-GB"/>
        </w:rPr>
        <w:footnoteReference w:id="9"/>
      </w:r>
      <w:r w:rsidR="009B5C65">
        <w:rPr>
          <w:rFonts w:asciiTheme="minorHAnsi" w:eastAsia="Times New Roman" w:hAnsiTheme="minorHAnsi"/>
          <w:lang w:val="en-GB" w:eastAsia="en-GB"/>
        </w:rPr>
        <w:t xml:space="preserve"> and</w:t>
      </w:r>
    </w:p>
    <w:p w14:paraId="197B05F3" w14:textId="77777777" w:rsidR="009B5C65" w:rsidRDefault="009B5C65" w:rsidP="009B5C65">
      <w:pPr>
        <w:pStyle w:val="ListParagraph"/>
        <w:autoSpaceDE w:val="0"/>
        <w:autoSpaceDN w:val="0"/>
        <w:adjustRightInd w:val="0"/>
        <w:spacing w:before="240"/>
        <w:ind w:left="426"/>
        <w:jc w:val="both"/>
        <w:rPr>
          <w:rFonts w:asciiTheme="minorHAnsi" w:eastAsia="Times New Roman" w:hAnsiTheme="minorHAnsi"/>
          <w:lang w:val="en-GB" w:eastAsia="en-GB"/>
        </w:rPr>
      </w:pPr>
    </w:p>
    <w:p w14:paraId="1C3E8C49" w14:textId="2DED4C78" w:rsidR="00455FF5" w:rsidRPr="00D93D71" w:rsidRDefault="00D93D71" w:rsidP="00D93D71">
      <w:pPr>
        <w:pStyle w:val="ListParagraph"/>
        <w:numPr>
          <w:ilvl w:val="0"/>
          <w:numId w:val="5"/>
        </w:numPr>
        <w:autoSpaceDE w:val="0"/>
        <w:autoSpaceDN w:val="0"/>
        <w:adjustRightInd w:val="0"/>
        <w:spacing w:before="240"/>
        <w:ind w:left="426"/>
        <w:jc w:val="both"/>
        <w:rPr>
          <w:rFonts w:asciiTheme="minorHAnsi" w:eastAsia="Times New Roman" w:hAnsiTheme="minorHAnsi"/>
          <w:lang w:val="en-GB" w:eastAsia="en-GB"/>
        </w:rPr>
      </w:pPr>
      <w:r>
        <w:rPr>
          <w:rFonts w:asciiTheme="minorHAnsi" w:eastAsia="Times New Roman" w:hAnsiTheme="minorHAnsi"/>
          <w:lang w:val="en-GB" w:eastAsia="en-GB"/>
        </w:rPr>
        <w:t>s</w:t>
      </w:r>
      <w:r w:rsidR="00AB4A8E">
        <w:rPr>
          <w:rFonts w:asciiTheme="minorHAnsi" w:eastAsia="Times New Roman" w:hAnsiTheme="minorHAnsi"/>
          <w:lang w:val="en-GB" w:eastAsia="en-GB"/>
        </w:rPr>
        <w:t>hould</w:t>
      </w:r>
      <w:r w:rsidR="00686B7C" w:rsidRPr="00D93D71">
        <w:rPr>
          <w:rFonts w:asciiTheme="minorHAnsi" w:eastAsia="Times New Roman" w:hAnsiTheme="minorHAnsi"/>
          <w:lang w:val="en-GB" w:eastAsia="en-GB"/>
        </w:rPr>
        <w:t xml:space="preserve"> ‘have regard to its web content complying with the Web Content Accessibility Guidelines’ (‘the Web Guidelines’).</w:t>
      </w:r>
      <w:r w:rsidR="007566C8" w:rsidRPr="00276790">
        <w:rPr>
          <w:rStyle w:val="FootnoteReference"/>
          <w:rFonts w:asciiTheme="minorHAnsi" w:eastAsia="Times New Roman" w:hAnsiTheme="minorHAnsi"/>
          <w:lang w:val="en-GB" w:eastAsia="en-GB"/>
        </w:rPr>
        <w:footnoteReference w:id="10"/>
      </w:r>
      <w:r w:rsidR="00686B7C" w:rsidRPr="00D93D71">
        <w:rPr>
          <w:rFonts w:asciiTheme="minorHAnsi" w:hAnsiTheme="minorHAnsi" w:cs="Arial"/>
        </w:rPr>
        <w:t xml:space="preserve"> </w:t>
      </w:r>
      <w:r w:rsidR="00BC6FCB">
        <w:rPr>
          <w:rFonts w:asciiTheme="minorHAnsi" w:hAnsiTheme="minorHAnsi" w:cs="Arial"/>
        </w:rPr>
        <w:t xml:space="preserve">The </w:t>
      </w:r>
      <w:r w:rsidR="00686B7C" w:rsidRPr="00D93D71">
        <w:rPr>
          <w:rFonts w:asciiTheme="minorHAnsi" w:hAnsiTheme="minorHAnsi" w:cs="Arial"/>
        </w:rPr>
        <w:t xml:space="preserve">Web Guidelines provide a standard </w:t>
      </w:r>
      <w:r w:rsidR="00BC6FCB">
        <w:rPr>
          <w:rFonts w:asciiTheme="minorHAnsi" w:hAnsiTheme="minorHAnsi" w:cs="Arial"/>
        </w:rPr>
        <w:t>for ensuring web</w:t>
      </w:r>
      <w:r w:rsidR="00686B7C" w:rsidRPr="00D93D71">
        <w:rPr>
          <w:rFonts w:asciiTheme="minorHAnsi" w:hAnsiTheme="minorHAnsi" w:cs="Arial"/>
        </w:rPr>
        <w:t xml:space="preserve"> accessibility for people with disabilities</w:t>
      </w:r>
      <w:r w:rsidR="006C6938">
        <w:rPr>
          <w:rFonts w:asciiTheme="minorHAnsi" w:hAnsiTheme="minorHAnsi" w:cs="Arial"/>
        </w:rPr>
        <w:t xml:space="preserve"> and</w:t>
      </w:r>
      <w:r w:rsidR="00686B7C" w:rsidRPr="00D93D71">
        <w:rPr>
          <w:rFonts w:asciiTheme="minorHAnsi" w:eastAsia="Times New Roman" w:hAnsiTheme="minorHAnsi"/>
          <w:lang w:val="en-GB" w:eastAsia="en-GB"/>
        </w:rPr>
        <w:t xml:space="preserve"> </w:t>
      </w:r>
      <w:r w:rsidR="006C6938">
        <w:rPr>
          <w:rFonts w:asciiTheme="minorHAnsi" w:eastAsia="Times New Roman" w:hAnsiTheme="minorHAnsi"/>
          <w:lang w:val="en-GB" w:eastAsia="en-GB"/>
        </w:rPr>
        <w:t xml:space="preserve">include </w:t>
      </w:r>
      <w:r w:rsidR="00686B7C" w:rsidRPr="00D93D71">
        <w:rPr>
          <w:rFonts w:asciiTheme="minorHAnsi" w:eastAsia="Times New Roman" w:hAnsiTheme="minorHAnsi"/>
          <w:lang w:val="en-GB" w:eastAsia="en-GB"/>
        </w:rPr>
        <w:t xml:space="preserve">requirements that text be ‘content readable and understandable’ and </w:t>
      </w:r>
      <w:r w:rsidR="00E93D1B">
        <w:rPr>
          <w:rFonts w:asciiTheme="minorHAnsi" w:eastAsia="Times New Roman" w:hAnsiTheme="minorHAnsi"/>
          <w:lang w:val="en-GB" w:eastAsia="en-GB"/>
        </w:rPr>
        <w:t xml:space="preserve">that </w:t>
      </w:r>
      <w:r w:rsidR="00686B7C" w:rsidRPr="00D93D71">
        <w:rPr>
          <w:rFonts w:asciiTheme="minorHAnsi" w:eastAsia="Times New Roman" w:hAnsiTheme="minorHAnsi"/>
          <w:lang w:val="en-GB" w:eastAsia="en-GB"/>
        </w:rPr>
        <w:t>webpages ‘appear and operate in predictable ways’.</w:t>
      </w:r>
      <w:r w:rsidR="004E5411">
        <w:rPr>
          <w:rStyle w:val="FootnoteReference"/>
          <w:rFonts w:asciiTheme="minorHAnsi" w:eastAsia="Times New Roman" w:hAnsiTheme="minorHAnsi"/>
          <w:lang w:val="en-GB" w:eastAsia="en-GB"/>
        </w:rPr>
        <w:footnoteReference w:id="11"/>
      </w:r>
    </w:p>
    <w:p w14:paraId="6060E8DA" w14:textId="4F06E9E5" w:rsidR="008075A7" w:rsidRDefault="008075A7" w:rsidP="00AD60FA">
      <w:pPr>
        <w:autoSpaceDE w:val="0"/>
        <w:autoSpaceDN w:val="0"/>
        <w:adjustRightInd w:val="0"/>
        <w:spacing w:before="240"/>
        <w:jc w:val="both"/>
        <w:rPr>
          <w:rFonts w:asciiTheme="minorHAnsi" w:hAnsiTheme="minorHAnsi" w:cs="Arial"/>
          <w:sz w:val="24"/>
          <w:szCs w:val="24"/>
        </w:rPr>
      </w:pPr>
      <w:r w:rsidRPr="00276790">
        <w:rPr>
          <w:rFonts w:asciiTheme="minorHAnsi" w:hAnsiTheme="minorHAnsi" w:cs="Arial"/>
          <w:sz w:val="24"/>
          <w:szCs w:val="24"/>
        </w:rPr>
        <w:t xml:space="preserve">The Telecommunications Code contains rules designed to support consumers who have what it describes as ‘different’ or ‘special’ needs. It requires suppliers to communicate ‘in a way that is appropriate to the </w:t>
      </w:r>
      <w:r>
        <w:rPr>
          <w:rFonts w:asciiTheme="minorHAnsi" w:hAnsiTheme="minorHAnsi" w:cs="Arial"/>
          <w:sz w:val="24"/>
          <w:szCs w:val="24"/>
        </w:rPr>
        <w:t>C</w:t>
      </w:r>
      <w:r w:rsidRPr="00276790">
        <w:rPr>
          <w:rFonts w:asciiTheme="minorHAnsi" w:hAnsiTheme="minorHAnsi" w:cs="Arial"/>
          <w:sz w:val="24"/>
          <w:szCs w:val="24"/>
        </w:rPr>
        <w:t>onsumer’s communication needs including those with special needs’</w:t>
      </w:r>
      <w:r>
        <w:rPr>
          <w:rFonts w:asciiTheme="minorHAnsi" w:hAnsiTheme="minorHAnsi" w:cs="Arial"/>
          <w:sz w:val="24"/>
          <w:szCs w:val="24"/>
        </w:rPr>
        <w:t>.</w:t>
      </w:r>
      <w:r w:rsidRPr="00276790">
        <w:rPr>
          <w:rStyle w:val="FootnoteReference"/>
          <w:rFonts w:asciiTheme="minorHAnsi" w:hAnsiTheme="minorHAnsi" w:cs="Arial"/>
          <w:sz w:val="24"/>
          <w:szCs w:val="24"/>
        </w:rPr>
        <w:footnoteReference w:id="12"/>
      </w:r>
      <w:r w:rsidRPr="00276790">
        <w:rPr>
          <w:rFonts w:asciiTheme="minorHAnsi" w:hAnsiTheme="minorHAnsi" w:cs="Arial"/>
          <w:sz w:val="24"/>
          <w:szCs w:val="24"/>
        </w:rPr>
        <w:t xml:space="preserve"> The types of ‘special needs’ that suppliers should be aware of are not defined in the Telecommunications Code, and no detail is given about how to address them.</w:t>
      </w:r>
    </w:p>
    <w:p w14:paraId="011A1003" w14:textId="5A32417E" w:rsidR="00093F8E" w:rsidRPr="00276790" w:rsidRDefault="00093F8E" w:rsidP="00E93D1B">
      <w:pPr>
        <w:jc w:val="both"/>
        <w:rPr>
          <w:rFonts w:asciiTheme="minorHAnsi" w:hAnsiTheme="minorHAnsi" w:cs="Arial"/>
          <w:sz w:val="24"/>
          <w:szCs w:val="24"/>
        </w:rPr>
      </w:pPr>
      <w:r w:rsidRPr="00276790">
        <w:rPr>
          <w:rFonts w:asciiTheme="minorHAnsi" w:hAnsiTheme="minorHAnsi" w:cs="Arial"/>
          <w:sz w:val="24"/>
          <w:szCs w:val="24"/>
        </w:rPr>
        <w:t>The Telecommunications Code also</w:t>
      </w:r>
      <w:r>
        <w:rPr>
          <w:rFonts w:asciiTheme="minorHAnsi" w:hAnsiTheme="minorHAnsi" w:cs="Arial"/>
          <w:sz w:val="24"/>
          <w:szCs w:val="24"/>
        </w:rPr>
        <w:t xml:space="preserve"> obliges</w:t>
      </w:r>
      <w:r w:rsidRPr="00276790">
        <w:rPr>
          <w:rFonts w:asciiTheme="minorHAnsi" w:hAnsiTheme="minorHAnsi" w:cs="Arial"/>
          <w:sz w:val="24"/>
          <w:szCs w:val="24"/>
        </w:rPr>
        <w:t xml:space="preserve"> suppliers to </w:t>
      </w:r>
      <w:r w:rsidR="00C45277">
        <w:rPr>
          <w:rFonts w:asciiTheme="minorHAnsi" w:hAnsiTheme="minorHAnsi" w:cs="Arial"/>
          <w:sz w:val="24"/>
          <w:szCs w:val="24"/>
        </w:rPr>
        <w:t>provide</w:t>
      </w:r>
      <w:r w:rsidR="000003F4">
        <w:rPr>
          <w:rFonts w:asciiTheme="minorHAnsi" w:hAnsiTheme="minorHAnsi" w:cs="Arial"/>
          <w:sz w:val="24"/>
          <w:szCs w:val="24"/>
        </w:rPr>
        <w:t xml:space="preserve"> consumers with</w:t>
      </w:r>
      <w:r w:rsidR="00C45277">
        <w:rPr>
          <w:rFonts w:asciiTheme="minorHAnsi" w:hAnsiTheme="minorHAnsi" w:cs="Arial"/>
          <w:sz w:val="24"/>
          <w:szCs w:val="24"/>
        </w:rPr>
        <w:t xml:space="preserve"> a </w:t>
      </w:r>
      <w:r w:rsidRPr="00276790">
        <w:rPr>
          <w:rFonts w:asciiTheme="minorHAnsi" w:hAnsiTheme="minorHAnsi" w:cs="Arial"/>
          <w:sz w:val="24"/>
          <w:szCs w:val="24"/>
        </w:rPr>
        <w:t>Critical Information Summary</w:t>
      </w:r>
      <w:r w:rsidR="00E93D1B">
        <w:rPr>
          <w:rFonts w:asciiTheme="minorHAnsi" w:hAnsiTheme="minorHAnsi" w:cs="Arial"/>
          <w:sz w:val="24"/>
          <w:szCs w:val="24"/>
        </w:rPr>
        <w:t>,</w:t>
      </w:r>
      <w:r w:rsidR="00C45277">
        <w:rPr>
          <w:rFonts w:asciiTheme="minorHAnsi" w:hAnsiTheme="minorHAnsi" w:cs="Arial"/>
          <w:sz w:val="24"/>
          <w:szCs w:val="24"/>
        </w:rPr>
        <w:t xml:space="preserve"> which must include information about</w:t>
      </w:r>
      <w:r w:rsidRPr="00276790">
        <w:rPr>
          <w:rFonts w:asciiTheme="minorHAnsi" w:hAnsiTheme="minorHAnsi" w:cs="Arial"/>
          <w:sz w:val="24"/>
          <w:szCs w:val="24"/>
        </w:rPr>
        <w:t xml:space="preserve"> the minimum term for the product, pricing, dispute resolution and contact details for the Telecom</w:t>
      </w:r>
      <w:r w:rsidR="005454A3">
        <w:rPr>
          <w:rFonts w:asciiTheme="minorHAnsi" w:hAnsiTheme="minorHAnsi" w:cs="Arial"/>
          <w:sz w:val="24"/>
          <w:szCs w:val="24"/>
        </w:rPr>
        <w:t>munications Industry Ombudsman.</w:t>
      </w:r>
      <w:r w:rsidR="00287B6F" w:rsidRPr="00276790">
        <w:rPr>
          <w:rStyle w:val="FootnoteReference"/>
          <w:rFonts w:asciiTheme="minorHAnsi" w:hAnsiTheme="minorHAnsi" w:cs="Arial"/>
          <w:sz w:val="24"/>
          <w:szCs w:val="24"/>
        </w:rPr>
        <w:footnoteReference w:id="13"/>
      </w:r>
      <w:r w:rsidR="00E93D1B">
        <w:rPr>
          <w:rFonts w:asciiTheme="minorHAnsi" w:hAnsiTheme="minorHAnsi" w:cs="Arial"/>
          <w:sz w:val="24"/>
          <w:szCs w:val="24"/>
        </w:rPr>
        <w:t xml:space="preserve"> </w:t>
      </w:r>
      <w:r w:rsidR="00E93D1B" w:rsidRPr="00E93D1B">
        <w:rPr>
          <w:rFonts w:asciiTheme="minorHAnsi" w:hAnsiTheme="minorHAnsi" w:cs="Arial"/>
          <w:sz w:val="24"/>
          <w:szCs w:val="24"/>
        </w:rPr>
        <w:t>The Telecommunications Industry</w:t>
      </w:r>
      <w:r w:rsidR="00E93D1B">
        <w:rPr>
          <w:rFonts w:asciiTheme="minorHAnsi" w:hAnsiTheme="minorHAnsi" w:cs="Arial"/>
          <w:sz w:val="24"/>
          <w:szCs w:val="24"/>
        </w:rPr>
        <w:t xml:space="preserve"> </w:t>
      </w:r>
      <w:r w:rsidR="00E93D1B" w:rsidRPr="00E93D1B">
        <w:rPr>
          <w:rFonts w:asciiTheme="minorHAnsi" w:hAnsiTheme="minorHAnsi" w:cs="Arial"/>
          <w:sz w:val="24"/>
          <w:szCs w:val="24"/>
        </w:rPr>
        <w:t>Ombudsman provides free-of-charge dispute resolution services to residential</w:t>
      </w:r>
      <w:r w:rsidR="00E93D1B">
        <w:rPr>
          <w:rFonts w:asciiTheme="minorHAnsi" w:hAnsiTheme="minorHAnsi" w:cs="Arial"/>
          <w:sz w:val="24"/>
          <w:szCs w:val="24"/>
        </w:rPr>
        <w:t xml:space="preserve"> </w:t>
      </w:r>
      <w:r w:rsidR="00E93D1B" w:rsidRPr="00E93D1B">
        <w:rPr>
          <w:rFonts w:asciiTheme="minorHAnsi" w:hAnsiTheme="minorHAnsi" w:cs="Arial"/>
          <w:sz w:val="24"/>
          <w:szCs w:val="24"/>
        </w:rPr>
        <w:t>and small business consumers, including in relation to breaches of the Telecommunications</w:t>
      </w:r>
      <w:r w:rsidR="00E93D1B">
        <w:rPr>
          <w:rFonts w:asciiTheme="minorHAnsi" w:hAnsiTheme="minorHAnsi" w:cs="Arial"/>
          <w:sz w:val="24"/>
          <w:szCs w:val="24"/>
        </w:rPr>
        <w:t xml:space="preserve"> </w:t>
      </w:r>
      <w:r w:rsidR="00E93D1B" w:rsidRPr="00E93D1B">
        <w:rPr>
          <w:rFonts w:asciiTheme="minorHAnsi" w:hAnsiTheme="minorHAnsi" w:cs="Arial"/>
          <w:sz w:val="24"/>
          <w:szCs w:val="24"/>
        </w:rPr>
        <w:t>Code.</w:t>
      </w:r>
    </w:p>
    <w:p w14:paraId="380E1A49" w14:textId="6F3125E7" w:rsidR="007E1F73" w:rsidRDefault="0092226E" w:rsidP="00AD60FA">
      <w:pPr>
        <w:autoSpaceDE w:val="0"/>
        <w:autoSpaceDN w:val="0"/>
        <w:adjustRightInd w:val="0"/>
        <w:spacing w:before="240"/>
        <w:jc w:val="both"/>
        <w:rPr>
          <w:rFonts w:asciiTheme="minorHAnsi" w:hAnsiTheme="minorHAnsi" w:cstheme="minorBidi"/>
          <w:sz w:val="24"/>
          <w:szCs w:val="24"/>
        </w:rPr>
      </w:pPr>
      <w:r>
        <w:rPr>
          <w:rFonts w:asciiTheme="minorHAnsi" w:hAnsiTheme="minorHAnsi" w:cstheme="minorBidi"/>
          <w:sz w:val="24"/>
          <w:szCs w:val="24"/>
        </w:rPr>
        <w:t>T</w:t>
      </w:r>
      <w:r w:rsidR="00AD60FA" w:rsidRPr="00276790">
        <w:rPr>
          <w:rFonts w:asciiTheme="minorHAnsi" w:hAnsiTheme="minorHAnsi" w:cstheme="minorBidi"/>
          <w:sz w:val="24"/>
          <w:szCs w:val="24"/>
        </w:rPr>
        <w:t>here is no legal requirement in either the Telecommunications Code or the Australian Consumer Law</w:t>
      </w:r>
      <w:r w:rsidR="00AD60FA">
        <w:rPr>
          <w:rFonts w:asciiTheme="minorHAnsi" w:hAnsiTheme="minorHAnsi" w:cstheme="minorBidi"/>
          <w:sz w:val="24"/>
          <w:szCs w:val="24"/>
        </w:rPr>
        <w:t xml:space="preserve"> for</w:t>
      </w:r>
      <w:r w:rsidR="00AD60FA" w:rsidRPr="00276790">
        <w:rPr>
          <w:rFonts w:asciiTheme="minorHAnsi" w:hAnsiTheme="minorHAnsi" w:cstheme="minorBidi"/>
          <w:sz w:val="24"/>
          <w:szCs w:val="24"/>
        </w:rPr>
        <w:t xml:space="preserve"> suppliers</w:t>
      </w:r>
      <w:r w:rsidR="00AD60FA">
        <w:rPr>
          <w:rFonts w:asciiTheme="minorHAnsi" w:hAnsiTheme="minorHAnsi" w:cstheme="minorBidi"/>
          <w:sz w:val="24"/>
          <w:szCs w:val="24"/>
        </w:rPr>
        <w:t xml:space="preserve"> to</w:t>
      </w:r>
      <w:r w:rsidR="00AD60FA" w:rsidRPr="00276790">
        <w:rPr>
          <w:rFonts w:asciiTheme="minorHAnsi" w:hAnsiTheme="minorHAnsi" w:cstheme="minorBidi"/>
          <w:sz w:val="24"/>
          <w:szCs w:val="24"/>
        </w:rPr>
        <w:t xml:space="preserve"> </w:t>
      </w:r>
      <w:r w:rsidR="007D3E6E">
        <w:rPr>
          <w:rFonts w:asciiTheme="minorHAnsi" w:hAnsiTheme="minorHAnsi" w:cstheme="minorBidi"/>
          <w:sz w:val="24"/>
          <w:szCs w:val="24"/>
        </w:rPr>
        <w:t xml:space="preserve">take a more proactive stance towards the information and accessibility requirements of </w:t>
      </w:r>
      <w:r w:rsidR="00722FC3">
        <w:rPr>
          <w:rFonts w:asciiTheme="minorHAnsi" w:hAnsiTheme="minorHAnsi" w:cstheme="minorBidi"/>
          <w:sz w:val="24"/>
          <w:szCs w:val="24"/>
        </w:rPr>
        <w:t>consum</w:t>
      </w:r>
      <w:r w:rsidR="008E50DA">
        <w:rPr>
          <w:rFonts w:asciiTheme="minorHAnsi" w:hAnsiTheme="minorHAnsi" w:cstheme="minorBidi"/>
          <w:sz w:val="24"/>
          <w:szCs w:val="24"/>
        </w:rPr>
        <w:t>ers with cognitive disabilities</w:t>
      </w:r>
      <w:r w:rsidR="00722FC3">
        <w:rPr>
          <w:rFonts w:asciiTheme="minorHAnsi" w:hAnsiTheme="minorHAnsi" w:cstheme="minorBidi"/>
          <w:sz w:val="24"/>
          <w:szCs w:val="24"/>
        </w:rPr>
        <w:t xml:space="preserve"> by</w:t>
      </w:r>
      <w:r w:rsidR="008E50DA">
        <w:rPr>
          <w:rFonts w:asciiTheme="minorHAnsi" w:hAnsiTheme="minorHAnsi" w:cstheme="minorBidi"/>
          <w:sz w:val="24"/>
          <w:szCs w:val="24"/>
        </w:rPr>
        <w:t>,</w:t>
      </w:r>
      <w:r w:rsidR="00722FC3">
        <w:rPr>
          <w:rFonts w:asciiTheme="minorHAnsi" w:hAnsiTheme="minorHAnsi" w:cstheme="minorBidi"/>
          <w:sz w:val="24"/>
          <w:szCs w:val="24"/>
        </w:rPr>
        <w:t xml:space="preserve"> for instance</w:t>
      </w:r>
      <w:r w:rsidR="008E50DA">
        <w:rPr>
          <w:rFonts w:asciiTheme="minorHAnsi" w:hAnsiTheme="minorHAnsi" w:cstheme="minorBidi"/>
          <w:sz w:val="24"/>
          <w:szCs w:val="24"/>
        </w:rPr>
        <w:t>,</w:t>
      </w:r>
      <w:r w:rsidR="00722FC3">
        <w:rPr>
          <w:rFonts w:asciiTheme="minorHAnsi" w:hAnsiTheme="minorHAnsi" w:cstheme="minorBidi"/>
          <w:sz w:val="24"/>
          <w:szCs w:val="24"/>
        </w:rPr>
        <w:t xml:space="preserve"> providing</w:t>
      </w:r>
      <w:r w:rsidR="00C7384D" w:rsidRPr="00276790">
        <w:rPr>
          <w:rFonts w:asciiTheme="minorHAnsi" w:hAnsiTheme="minorHAnsi" w:cstheme="minorBidi"/>
          <w:sz w:val="24"/>
          <w:szCs w:val="24"/>
        </w:rPr>
        <w:t xml:space="preserve"> </w:t>
      </w:r>
      <w:r w:rsidR="00AD60FA" w:rsidRPr="00276790">
        <w:rPr>
          <w:rFonts w:asciiTheme="minorHAnsi" w:hAnsiTheme="minorHAnsi" w:cstheme="minorBidi"/>
          <w:sz w:val="24"/>
          <w:szCs w:val="24"/>
        </w:rPr>
        <w:t>information and assistance to help</w:t>
      </w:r>
      <w:r w:rsidR="004E30FB">
        <w:rPr>
          <w:rFonts w:asciiTheme="minorHAnsi" w:hAnsiTheme="minorHAnsi" w:cstheme="minorBidi"/>
          <w:sz w:val="24"/>
          <w:szCs w:val="24"/>
        </w:rPr>
        <w:t xml:space="preserve"> people make decisions about</w:t>
      </w:r>
      <w:r w:rsidR="00AD60FA" w:rsidRPr="00276790">
        <w:rPr>
          <w:rFonts w:asciiTheme="minorHAnsi" w:hAnsiTheme="minorHAnsi" w:cstheme="minorBidi"/>
          <w:sz w:val="24"/>
          <w:szCs w:val="24"/>
        </w:rPr>
        <w:t xml:space="preserve"> products and services, or develop</w:t>
      </w:r>
      <w:r w:rsidR="004E30FB">
        <w:rPr>
          <w:rFonts w:asciiTheme="minorHAnsi" w:hAnsiTheme="minorHAnsi" w:cstheme="minorBidi"/>
          <w:sz w:val="24"/>
          <w:szCs w:val="24"/>
        </w:rPr>
        <w:t>ing</w:t>
      </w:r>
      <w:r w:rsidR="00AD60FA" w:rsidRPr="00276790">
        <w:rPr>
          <w:rFonts w:asciiTheme="minorHAnsi" w:hAnsiTheme="minorHAnsi" w:cstheme="minorBidi"/>
          <w:sz w:val="24"/>
          <w:szCs w:val="24"/>
        </w:rPr>
        <w:t xml:space="preserve"> other means of facilitating equitable access to them. </w:t>
      </w:r>
    </w:p>
    <w:p w14:paraId="62ACC631" w14:textId="794E6D7A" w:rsidR="0036325B" w:rsidRDefault="001A5D92" w:rsidP="00702E8D">
      <w:pPr>
        <w:pStyle w:val="Heading2"/>
        <w:numPr>
          <w:ilvl w:val="1"/>
          <w:numId w:val="10"/>
        </w:numPr>
      </w:pPr>
      <w:r>
        <w:lastRenderedPageBreak/>
        <w:t>Human rights</w:t>
      </w:r>
    </w:p>
    <w:p w14:paraId="41BECFE1" w14:textId="6A90644B" w:rsidR="00702E8D" w:rsidRDefault="0036325B" w:rsidP="006235C1">
      <w:pPr>
        <w:spacing w:before="120" w:after="120"/>
        <w:jc w:val="both"/>
        <w:rPr>
          <w:rFonts w:asciiTheme="minorHAnsi" w:hAnsiTheme="minorHAnsi" w:cs="Arial"/>
          <w:sz w:val="24"/>
          <w:szCs w:val="24"/>
        </w:rPr>
      </w:pPr>
      <w:r w:rsidRPr="00276790">
        <w:rPr>
          <w:rFonts w:asciiTheme="minorHAnsi" w:hAnsiTheme="minorHAnsi" w:cs="Arial"/>
          <w:sz w:val="24"/>
          <w:szCs w:val="24"/>
        </w:rPr>
        <w:t>Australia has ratified the United Nations Convention on the Rights of Persons with Disabilities (‘the Convention’). The Convention sets out several rights that are relevant to consumers with cognitive disabilities and these rights have implications for telecommunications suppliers.</w:t>
      </w:r>
      <w:r w:rsidR="00702E8D">
        <w:rPr>
          <w:rFonts w:asciiTheme="minorHAnsi" w:hAnsiTheme="minorHAnsi" w:cs="Arial"/>
          <w:sz w:val="24"/>
          <w:szCs w:val="24"/>
        </w:rPr>
        <w:t xml:space="preserve"> </w:t>
      </w:r>
      <w:r w:rsidRPr="00276790">
        <w:rPr>
          <w:rFonts w:asciiTheme="minorHAnsi" w:hAnsiTheme="minorHAnsi" w:cs="Arial"/>
          <w:sz w:val="24"/>
          <w:szCs w:val="24"/>
        </w:rPr>
        <w:t xml:space="preserve">The most significant rights enshrined in the Convention are the right to accessibility and the right to </w:t>
      </w:r>
      <w:r w:rsidR="00AB03EA">
        <w:rPr>
          <w:rFonts w:asciiTheme="minorHAnsi" w:hAnsiTheme="minorHAnsi" w:cs="Arial"/>
          <w:sz w:val="24"/>
          <w:szCs w:val="24"/>
        </w:rPr>
        <w:t>equal recognition before the law</w:t>
      </w:r>
      <w:r w:rsidR="003669B7">
        <w:rPr>
          <w:rFonts w:asciiTheme="minorHAnsi" w:hAnsiTheme="minorHAnsi" w:cs="Arial"/>
          <w:sz w:val="24"/>
          <w:szCs w:val="24"/>
        </w:rPr>
        <w:t>;</w:t>
      </w:r>
      <w:r>
        <w:rPr>
          <w:rFonts w:asciiTheme="minorHAnsi" w:hAnsiTheme="minorHAnsi" w:cs="Arial"/>
          <w:sz w:val="24"/>
          <w:szCs w:val="24"/>
        </w:rPr>
        <w:t xml:space="preserve"> </w:t>
      </w:r>
      <w:r w:rsidR="003669B7">
        <w:rPr>
          <w:rFonts w:asciiTheme="minorHAnsi" w:hAnsiTheme="minorHAnsi" w:cs="Arial"/>
          <w:sz w:val="24"/>
          <w:szCs w:val="24"/>
        </w:rPr>
        <w:t>t</w:t>
      </w:r>
      <w:r w:rsidR="007A20E1">
        <w:rPr>
          <w:rFonts w:asciiTheme="minorHAnsi" w:hAnsiTheme="minorHAnsi" w:cs="Arial"/>
          <w:sz w:val="24"/>
          <w:szCs w:val="24"/>
        </w:rPr>
        <w:t>his includes the enjoyment of ‘legal capacity’ on an equal basis with others.</w:t>
      </w:r>
      <w:r w:rsidR="003669B7" w:rsidRPr="00276790">
        <w:rPr>
          <w:rStyle w:val="FootnoteReference"/>
          <w:rFonts w:asciiTheme="minorHAnsi" w:hAnsiTheme="minorHAnsi" w:cs="Arial"/>
          <w:sz w:val="24"/>
          <w:szCs w:val="24"/>
        </w:rPr>
        <w:footnoteReference w:id="14"/>
      </w:r>
    </w:p>
    <w:p w14:paraId="64F43BBD" w14:textId="72EA9F89" w:rsidR="0036325B" w:rsidRDefault="0036325B" w:rsidP="006235C1">
      <w:pPr>
        <w:spacing w:before="120" w:after="120"/>
        <w:jc w:val="both"/>
        <w:rPr>
          <w:rFonts w:asciiTheme="minorHAnsi" w:hAnsiTheme="minorHAnsi" w:cs="Arial"/>
          <w:sz w:val="24"/>
          <w:szCs w:val="24"/>
        </w:rPr>
      </w:pPr>
      <w:r>
        <w:rPr>
          <w:rFonts w:asciiTheme="minorHAnsi" w:hAnsiTheme="minorHAnsi" w:cs="Arial"/>
          <w:sz w:val="24"/>
          <w:szCs w:val="24"/>
        </w:rPr>
        <w:t>Article 9</w:t>
      </w:r>
      <w:bookmarkStart w:id="2" w:name="_GoBack"/>
      <w:bookmarkEnd w:id="2"/>
      <w:r w:rsidR="002445E1">
        <w:rPr>
          <w:rFonts w:asciiTheme="minorHAnsi" w:hAnsiTheme="minorHAnsi" w:cs="Arial"/>
          <w:sz w:val="24"/>
          <w:szCs w:val="24"/>
        </w:rPr>
        <w:t xml:space="preserve"> of the Convention </w:t>
      </w:r>
      <w:r w:rsidRPr="00276790">
        <w:rPr>
          <w:rFonts w:asciiTheme="minorHAnsi" w:hAnsiTheme="minorHAnsi" w:cs="Arial"/>
          <w:sz w:val="24"/>
          <w:szCs w:val="24"/>
        </w:rPr>
        <w:t xml:space="preserve">requires </w:t>
      </w:r>
      <w:r w:rsidR="009B2A8E">
        <w:rPr>
          <w:rFonts w:asciiTheme="minorHAnsi" w:hAnsiTheme="minorHAnsi" w:cs="Arial"/>
          <w:sz w:val="24"/>
          <w:szCs w:val="24"/>
        </w:rPr>
        <w:t>‘</w:t>
      </w:r>
      <w:r w:rsidRPr="00276790">
        <w:rPr>
          <w:rFonts w:asciiTheme="minorHAnsi" w:hAnsiTheme="minorHAnsi" w:cs="Arial"/>
          <w:sz w:val="24"/>
          <w:szCs w:val="24"/>
        </w:rPr>
        <w:t>appropriate measures to ensure to persons with disabilities access, on an equal basis with others, to … information and communications, including information and communications technologies and systems</w:t>
      </w:r>
      <w:r>
        <w:rPr>
          <w:rFonts w:asciiTheme="minorHAnsi" w:hAnsiTheme="minorHAnsi" w:cs="Arial"/>
          <w:sz w:val="24"/>
          <w:szCs w:val="24"/>
        </w:rPr>
        <w:t>.</w:t>
      </w:r>
      <w:r w:rsidRPr="00276790">
        <w:rPr>
          <w:rFonts w:asciiTheme="minorHAnsi" w:hAnsiTheme="minorHAnsi" w:cs="Arial"/>
          <w:sz w:val="24"/>
          <w:szCs w:val="24"/>
        </w:rPr>
        <w:t xml:space="preserve">’ </w:t>
      </w:r>
      <w:r w:rsidR="00702E8D">
        <w:rPr>
          <w:rFonts w:asciiTheme="minorHAnsi" w:hAnsiTheme="minorHAnsi" w:cs="Arial"/>
          <w:sz w:val="24"/>
          <w:szCs w:val="24"/>
        </w:rPr>
        <w:t>T</w:t>
      </w:r>
      <w:r w:rsidR="006235C1" w:rsidRPr="00276790">
        <w:rPr>
          <w:rFonts w:asciiTheme="minorHAnsi" w:hAnsiTheme="minorHAnsi" w:cs="Arial"/>
          <w:sz w:val="24"/>
          <w:szCs w:val="24"/>
        </w:rPr>
        <w:t xml:space="preserve">he Convention mainly creates obligations for </w:t>
      </w:r>
      <w:r w:rsidR="006235C1">
        <w:rPr>
          <w:rFonts w:asciiTheme="minorHAnsi" w:hAnsiTheme="minorHAnsi" w:cs="Arial"/>
          <w:sz w:val="24"/>
          <w:szCs w:val="24"/>
        </w:rPr>
        <w:t>states (</w:t>
      </w:r>
      <w:r w:rsidR="006235C1" w:rsidRPr="00276790">
        <w:rPr>
          <w:rFonts w:asciiTheme="minorHAnsi" w:hAnsiTheme="minorHAnsi" w:cs="Arial"/>
          <w:sz w:val="24"/>
          <w:szCs w:val="24"/>
        </w:rPr>
        <w:t>governments</w:t>
      </w:r>
      <w:r w:rsidR="006235C1">
        <w:rPr>
          <w:rFonts w:asciiTheme="minorHAnsi" w:hAnsiTheme="minorHAnsi" w:cs="Arial"/>
          <w:sz w:val="24"/>
          <w:szCs w:val="24"/>
        </w:rPr>
        <w:t>)</w:t>
      </w:r>
      <w:r w:rsidR="00702E8D">
        <w:rPr>
          <w:rFonts w:asciiTheme="minorHAnsi" w:hAnsiTheme="minorHAnsi" w:cs="Arial"/>
          <w:sz w:val="24"/>
          <w:szCs w:val="24"/>
        </w:rPr>
        <w:t>. However,</w:t>
      </w:r>
      <w:r w:rsidR="006235C1" w:rsidRPr="00276790">
        <w:rPr>
          <w:rFonts w:asciiTheme="minorHAnsi" w:hAnsiTheme="minorHAnsi" w:cs="Arial"/>
          <w:sz w:val="24"/>
          <w:szCs w:val="24"/>
        </w:rPr>
        <w:t xml:space="preserve"> the </w:t>
      </w:r>
      <w:r w:rsidR="00702E8D" w:rsidRPr="00276790">
        <w:rPr>
          <w:rFonts w:asciiTheme="minorHAnsi" w:hAnsiTheme="minorHAnsi" w:cs="Arial"/>
          <w:sz w:val="24"/>
          <w:szCs w:val="24"/>
        </w:rPr>
        <w:t>Committee on the Rights of Persons with Disabilities (‘</w:t>
      </w:r>
      <w:r w:rsidR="00702E8D">
        <w:rPr>
          <w:rFonts w:asciiTheme="minorHAnsi" w:hAnsiTheme="minorHAnsi" w:cs="Arial"/>
          <w:sz w:val="24"/>
          <w:szCs w:val="24"/>
        </w:rPr>
        <w:t>t</w:t>
      </w:r>
      <w:r w:rsidR="00702E8D" w:rsidRPr="00276790">
        <w:rPr>
          <w:rFonts w:asciiTheme="minorHAnsi" w:hAnsiTheme="minorHAnsi" w:cs="Arial"/>
          <w:sz w:val="24"/>
          <w:szCs w:val="24"/>
        </w:rPr>
        <w:t>he Committee’), which monitors the implementation of the Convention in Australia and other signator</w:t>
      </w:r>
      <w:r w:rsidR="00702E8D">
        <w:rPr>
          <w:rFonts w:asciiTheme="minorHAnsi" w:hAnsiTheme="minorHAnsi" w:cs="Arial"/>
          <w:sz w:val="24"/>
          <w:szCs w:val="24"/>
        </w:rPr>
        <w:t>ies</w:t>
      </w:r>
      <w:r w:rsidR="00702E8D" w:rsidRPr="00276790">
        <w:rPr>
          <w:rFonts w:asciiTheme="minorHAnsi" w:hAnsiTheme="minorHAnsi" w:cs="Arial"/>
          <w:sz w:val="24"/>
          <w:szCs w:val="24"/>
        </w:rPr>
        <w:t>,</w:t>
      </w:r>
      <w:r w:rsidR="00702E8D" w:rsidRPr="00276790">
        <w:rPr>
          <w:rStyle w:val="FootnoteReference"/>
          <w:rFonts w:asciiTheme="minorHAnsi" w:hAnsiTheme="minorHAnsi" w:cs="Arial"/>
          <w:sz w:val="24"/>
          <w:szCs w:val="24"/>
        </w:rPr>
        <w:footnoteReference w:id="15"/>
      </w:r>
      <w:r w:rsidR="00702E8D" w:rsidRPr="00276790">
        <w:rPr>
          <w:rFonts w:asciiTheme="minorHAnsi" w:hAnsiTheme="minorHAnsi" w:cs="Arial"/>
          <w:sz w:val="24"/>
          <w:szCs w:val="24"/>
        </w:rPr>
        <w:t xml:space="preserve"> </w:t>
      </w:r>
      <w:r w:rsidR="006235C1" w:rsidRPr="00276790">
        <w:rPr>
          <w:rFonts w:asciiTheme="minorHAnsi" w:hAnsiTheme="minorHAnsi" w:cs="Arial"/>
          <w:sz w:val="24"/>
          <w:szCs w:val="24"/>
        </w:rPr>
        <w:t xml:space="preserve"> has interpreted </w:t>
      </w:r>
      <w:r w:rsidR="003669B7">
        <w:rPr>
          <w:rFonts w:asciiTheme="minorHAnsi" w:hAnsiTheme="minorHAnsi" w:cs="Arial"/>
          <w:sz w:val="24"/>
          <w:szCs w:val="24"/>
        </w:rPr>
        <w:t>A</w:t>
      </w:r>
      <w:r w:rsidR="006235C1" w:rsidRPr="00276790">
        <w:rPr>
          <w:rFonts w:asciiTheme="minorHAnsi" w:hAnsiTheme="minorHAnsi" w:cs="Arial"/>
          <w:sz w:val="24"/>
          <w:szCs w:val="24"/>
        </w:rPr>
        <w:t xml:space="preserve">rticle 9 </w:t>
      </w:r>
      <w:r w:rsidR="006235C1">
        <w:rPr>
          <w:rFonts w:asciiTheme="minorHAnsi" w:hAnsiTheme="minorHAnsi" w:cs="Arial"/>
          <w:sz w:val="24"/>
          <w:szCs w:val="24"/>
        </w:rPr>
        <w:t xml:space="preserve">of the Convention </w:t>
      </w:r>
      <w:r w:rsidR="006235C1" w:rsidRPr="00276790">
        <w:rPr>
          <w:rFonts w:asciiTheme="minorHAnsi" w:hAnsiTheme="minorHAnsi" w:cs="Arial"/>
          <w:sz w:val="24"/>
          <w:szCs w:val="24"/>
        </w:rPr>
        <w:t>to also require private entities to ensure accessibility for people with disabilities.</w:t>
      </w:r>
      <w:r w:rsidR="006235C1" w:rsidRPr="00276790">
        <w:rPr>
          <w:rStyle w:val="FootnoteReference"/>
          <w:rFonts w:asciiTheme="minorHAnsi" w:hAnsiTheme="minorHAnsi" w:cs="Arial"/>
          <w:sz w:val="24"/>
          <w:szCs w:val="24"/>
        </w:rPr>
        <w:footnoteReference w:id="16"/>
      </w:r>
      <w:r w:rsidR="006235C1">
        <w:rPr>
          <w:rFonts w:asciiTheme="minorHAnsi" w:hAnsiTheme="minorHAnsi" w:cs="Arial"/>
          <w:sz w:val="24"/>
          <w:szCs w:val="24"/>
        </w:rPr>
        <w:t xml:space="preserve"> </w:t>
      </w:r>
      <w:r w:rsidR="00EB2B41" w:rsidRPr="00276790">
        <w:rPr>
          <w:rFonts w:asciiTheme="minorHAnsi" w:hAnsiTheme="minorHAnsi" w:cs="Arial"/>
          <w:sz w:val="24"/>
          <w:szCs w:val="24"/>
        </w:rPr>
        <w:t>Federal and State Australian discrimination law</w:t>
      </w:r>
      <w:r w:rsidR="00EB2B41">
        <w:rPr>
          <w:rFonts w:asciiTheme="minorHAnsi" w:hAnsiTheme="minorHAnsi" w:cs="Arial"/>
          <w:sz w:val="24"/>
          <w:szCs w:val="24"/>
        </w:rPr>
        <w:t>s</w:t>
      </w:r>
      <w:r w:rsidR="00EB2B41" w:rsidRPr="00276790">
        <w:rPr>
          <w:rFonts w:asciiTheme="minorHAnsi" w:hAnsiTheme="minorHAnsi" w:cs="Arial"/>
          <w:sz w:val="24"/>
          <w:szCs w:val="24"/>
        </w:rPr>
        <w:t xml:space="preserve"> also oblige suppliers to ensure that people with disabilities have access to goods and services on an equal basis with others.</w:t>
      </w:r>
      <w:r w:rsidR="00EB2B41" w:rsidRPr="00276790">
        <w:rPr>
          <w:rStyle w:val="FootnoteReference"/>
          <w:rFonts w:asciiTheme="minorHAnsi" w:hAnsiTheme="minorHAnsi" w:cs="Arial"/>
          <w:sz w:val="24"/>
          <w:szCs w:val="24"/>
        </w:rPr>
        <w:footnoteReference w:id="17"/>
      </w:r>
      <w:r w:rsidR="00EB2B41">
        <w:rPr>
          <w:rFonts w:asciiTheme="minorHAnsi" w:hAnsiTheme="minorHAnsi" w:cs="Arial"/>
          <w:sz w:val="24"/>
          <w:szCs w:val="24"/>
        </w:rPr>
        <w:t xml:space="preserve"> On this basis, t</w:t>
      </w:r>
      <w:r w:rsidRPr="00276790">
        <w:rPr>
          <w:rFonts w:asciiTheme="minorHAnsi" w:hAnsiTheme="minorHAnsi" w:cs="Arial"/>
          <w:sz w:val="24"/>
          <w:szCs w:val="24"/>
        </w:rPr>
        <w:t xml:space="preserve">elecommunications suppliers are expected to ensure that their information, websites, technology and communications are accessible. </w:t>
      </w:r>
    </w:p>
    <w:p w14:paraId="274273BB" w14:textId="3F849F10" w:rsidR="000815F5" w:rsidRDefault="000815F5" w:rsidP="00AD60FA">
      <w:pPr>
        <w:autoSpaceDE w:val="0"/>
        <w:autoSpaceDN w:val="0"/>
        <w:adjustRightInd w:val="0"/>
        <w:spacing w:before="240"/>
        <w:jc w:val="both"/>
        <w:rPr>
          <w:rFonts w:asciiTheme="minorHAnsi" w:hAnsiTheme="minorHAnsi" w:cs="Arial"/>
          <w:sz w:val="24"/>
          <w:szCs w:val="24"/>
        </w:rPr>
      </w:pPr>
      <w:r w:rsidRPr="00276790">
        <w:rPr>
          <w:rFonts w:asciiTheme="minorHAnsi" w:hAnsiTheme="minorHAnsi" w:cs="Arial"/>
          <w:sz w:val="24"/>
          <w:szCs w:val="24"/>
        </w:rPr>
        <w:t>People with cogniti</w:t>
      </w:r>
      <w:r w:rsidR="00C32915">
        <w:rPr>
          <w:rFonts w:asciiTheme="minorHAnsi" w:hAnsiTheme="minorHAnsi" w:cs="Arial"/>
          <w:sz w:val="24"/>
          <w:szCs w:val="24"/>
        </w:rPr>
        <w:t xml:space="preserve">ve disabilities face </w:t>
      </w:r>
      <w:proofErr w:type="gramStart"/>
      <w:r w:rsidR="00C32915">
        <w:rPr>
          <w:rFonts w:asciiTheme="minorHAnsi" w:hAnsiTheme="minorHAnsi" w:cs="Arial"/>
          <w:sz w:val="24"/>
          <w:szCs w:val="24"/>
        </w:rPr>
        <w:t xml:space="preserve">particular </w:t>
      </w:r>
      <w:r w:rsidRPr="00276790">
        <w:rPr>
          <w:rFonts w:asciiTheme="minorHAnsi" w:hAnsiTheme="minorHAnsi" w:cs="Arial"/>
          <w:sz w:val="24"/>
          <w:szCs w:val="24"/>
        </w:rPr>
        <w:t>barriers</w:t>
      </w:r>
      <w:proofErr w:type="gramEnd"/>
      <w:r w:rsidRPr="00276790">
        <w:rPr>
          <w:rFonts w:asciiTheme="minorHAnsi" w:hAnsiTheme="minorHAnsi" w:cs="Arial"/>
          <w:sz w:val="24"/>
          <w:szCs w:val="24"/>
        </w:rPr>
        <w:t xml:space="preserve"> when accessing information. According to </w:t>
      </w:r>
      <w:r w:rsidR="00702E8D">
        <w:rPr>
          <w:rFonts w:asciiTheme="minorHAnsi" w:hAnsiTheme="minorHAnsi" w:cs="Arial"/>
          <w:sz w:val="24"/>
          <w:szCs w:val="24"/>
        </w:rPr>
        <w:t xml:space="preserve">the Committee, </w:t>
      </w:r>
      <w:r w:rsidRPr="00276790">
        <w:rPr>
          <w:rFonts w:asciiTheme="minorHAnsi" w:hAnsiTheme="minorHAnsi" w:cs="Arial"/>
          <w:sz w:val="24"/>
          <w:szCs w:val="24"/>
        </w:rPr>
        <w:t>this can be remedied with the provision of information in easy-to-read, or ‘Easy English,’ formats (also called ‘Easy Read’ or ‘Accessible Written Information’).</w:t>
      </w:r>
      <w:r w:rsidRPr="00276790">
        <w:rPr>
          <w:rStyle w:val="FootnoteReference"/>
          <w:rFonts w:asciiTheme="minorHAnsi" w:hAnsiTheme="minorHAnsi" w:cs="Arial"/>
          <w:sz w:val="24"/>
          <w:szCs w:val="24"/>
        </w:rPr>
        <w:footnoteReference w:id="18"/>
      </w:r>
      <w:r w:rsidRPr="00276790">
        <w:rPr>
          <w:rFonts w:asciiTheme="minorHAnsi" w:hAnsiTheme="minorHAnsi" w:cs="Arial"/>
          <w:sz w:val="24"/>
          <w:szCs w:val="24"/>
        </w:rPr>
        <w:t xml:space="preserve"> This implies a greater obligation than the requirement in the Telecommunications Code to provide information in ‘plain language’.</w:t>
      </w:r>
    </w:p>
    <w:p w14:paraId="3510D742" w14:textId="5E66BC26" w:rsidR="00570DE0" w:rsidRDefault="000A698F" w:rsidP="000A698F">
      <w:pPr>
        <w:autoSpaceDE w:val="0"/>
        <w:autoSpaceDN w:val="0"/>
        <w:adjustRightInd w:val="0"/>
        <w:spacing w:before="240"/>
        <w:jc w:val="both"/>
        <w:rPr>
          <w:rFonts w:asciiTheme="minorHAnsi" w:hAnsiTheme="minorHAnsi" w:cs="Arial"/>
          <w:sz w:val="24"/>
          <w:szCs w:val="24"/>
        </w:rPr>
      </w:pPr>
      <w:r w:rsidRPr="006C36E3">
        <w:rPr>
          <w:rFonts w:asciiTheme="minorHAnsi" w:hAnsiTheme="minorHAnsi" w:cstheme="minorBidi"/>
          <w:sz w:val="24"/>
          <w:szCs w:val="24"/>
        </w:rPr>
        <w:t>Suppliers must also ensure that consumers who need support in making decisions have that support</w:t>
      </w:r>
      <w:r w:rsidRPr="00276790">
        <w:rPr>
          <w:rFonts w:asciiTheme="minorHAnsi" w:hAnsiTheme="minorHAnsi" w:cstheme="minorBidi"/>
          <w:sz w:val="24"/>
          <w:szCs w:val="24"/>
        </w:rPr>
        <w:t>.</w:t>
      </w:r>
      <w:r>
        <w:rPr>
          <w:rFonts w:asciiTheme="minorHAnsi" w:hAnsiTheme="minorHAnsi" w:cstheme="minorBidi"/>
          <w:sz w:val="24"/>
          <w:szCs w:val="24"/>
        </w:rPr>
        <w:t xml:space="preserve">  </w:t>
      </w:r>
      <w:r w:rsidR="00570DE0" w:rsidRPr="00276790">
        <w:rPr>
          <w:rFonts w:asciiTheme="minorHAnsi" w:hAnsiTheme="minorHAnsi" w:cs="Arial"/>
          <w:sz w:val="24"/>
          <w:szCs w:val="24"/>
        </w:rPr>
        <w:t xml:space="preserve">Article 12 of the Convention </w:t>
      </w:r>
      <w:r w:rsidR="006C36E3">
        <w:rPr>
          <w:rFonts w:asciiTheme="minorHAnsi" w:hAnsiTheme="minorHAnsi" w:cs="Arial"/>
          <w:sz w:val="24"/>
          <w:szCs w:val="24"/>
        </w:rPr>
        <w:t xml:space="preserve">sets out the right to equal recognition before the law. It </w:t>
      </w:r>
      <w:r w:rsidR="00570DE0">
        <w:rPr>
          <w:rFonts w:asciiTheme="minorHAnsi" w:hAnsiTheme="minorHAnsi" w:cs="Arial"/>
          <w:sz w:val="24"/>
          <w:szCs w:val="24"/>
        </w:rPr>
        <w:t>states that people with disabilities ‘enjoy legal capacity on an equal basis with others in all aspects of life’</w:t>
      </w:r>
      <w:r>
        <w:rPr>
          <w:rFonts w:asciiTheme="minorHAnsi" w:hAnsiTheme="minorHAnsi" w:cs="Arial"/>
          <w:sz w:val="24"/>
          <w:szCs w:val="24"/>
        </w:rPr>
        <w:t>.</w:t>
      </w:r>
      <w:r w:rsidR="00570DE0">
        <w:rPr>
          <w:rStyle w:val="FootnoteReference"/>
          <w:rFonts w:asciiTheme="minorHAnsi" w:hAnsiTheme="minorHAnsi" w:cs="Arial"/>
          <w:sz w:val="24"/>
          <w:szCs w:val="24"/>
        </w:rPr>
        <w:footnoteReference w:id="19"/>
      </w:r>
      <w:r>
        <w:rPr>
          <w:rFonts w:asciiTheme="minorHAnsi" w:hAnsiTheme="minorHAnsi" w:cs="Arial"/>
          <w:sz w:val="24"/>
          <w:szCs w:val="24"/>
        </w:rPr>
        <w:t xml:space="preserve"> </w:t>
      </w:r>
      <w:r w:rsidRPr="00276790">
        <w:rPr>
          <w:rFonts w:asciiTheme="minorHAnsi" w:hAnsiTheme="minorHAnsi" w:cs="Arial"/>
          <w:sz w:val="24"/>
          <w:szCs w:val="24"/>
        </w:rPr>
        <w:t xml:space="preserve">Recognition of legal capacity means persons with disabilities can make their </w:t>
      </w:r>
      <w:r w:rsidRPr="00276790">
        <w:rPr>
          <w:rFonts w:asciiTheme="minorHAnsi" w:hAnsiTheme="minorHAnsi" w:cs="Arial"/>
          <w:sz w:val="24"/>
          <w:szCs w:val="24"/>
        </w:rPr>
        <w:lastRenderedPageBreak/>
        <w:t xml:space="preserve">own decisions (including legal decisions) </w:t>
      </w:r>
      <w:r w:rsidR="006235C1">
        <w:rPr>
          <w:rFonts w:asciiTheme="minorHAnsi" w:hAnsiTheme="minorHAnsi" w:cs="Arial"/>
          <w:sz w:val="24"/>
          <w:szCs w:val="24"/>
        </w:rPr>
        <w:t>based on</w:t>
      </w:r>
      <w:r w:rsidRPr="00276790">
        <w:rPr>
          <w:rFonts w:asciiTheme="minorHAnsi" w:hAnsiTheme="minorHAnsi" w:cs="Arial"/>
          <w:sz w:val="24"/>
          <w:szCs w:val="24"/>
        </w:rPr>
        <w:t xml:space="preserve"> what they want and need, </w:t>
      </w:r>
      <w:r w:rsidR="006C36E3">
        <w:rPr>
          <w:rFonts w:asciiTheme="minorHAnsi" w:hAnsiTheme="minorHAnsi" w:cs="Arial"/>
          <w:sz w:val="24"/>
          <w:szCs w:val="24"/>
        </w:rPr>
        <w:t>including consumer decisions such as</w:t>
      </w:r>
      <w:r w:rsidRPr="00276790">
        <w:rPr>
          <w:rFonts w:asciiTheme="minorHAnsi" w:hAnsiTheme="minorHAnsi" w:cs="Arial"/>
          <w:sz w:val="24"/>
          <w:szCs w:val="24"/>
        </w:rPr>
        <w:t xml:space="preserve"> entering a contract.</w:t>
      </w:r>
      <w:r w:rsidRPr="00276790">
        <w:rPr>
          <w:rStyle w:val="FootnoteReference"/>
          <w:rFonts w:asciiTheme="minorHAnsi" w:hAnsiTheme="minorHAnsi" w:cs="Arial"/>
          <w:sz w:val="24"/>
          <w:szCs w:val="24"/>
        </w:rPr>
        <w:footnoteReference w:id="20"/>
      </w:r>
      <w:r w:rsidR="00E207C1" w:rsidRPr="00E207C1">
        <w:rPr>
          <w:rFonts w:asciiTheme="minorHAnsi" w:hAnsiTheme="minorHAnsi" w:cs="Arial"/>
          <w:sz w:val="24"/>
          <w:szCs w:val="24"/>
        </w:rPr>
        <w:t xml:space="preserve"> </w:t>
      </w:r>
      <w:r w:rsidR="00E207C1" w:rsidRPr="00276790">
        <w:rPr>
          <w:rFonts w:asciiTheme="minorHAnsi" w:hAnsiTheme="minorHAnsi" w:cs="Arial"/>
          <w:sz w:val="24"/>
          <w:szCs w:val="24"/>
        </w:rPr>
        <w:t xml:space="preserve">This does not mean that all people are expected to make decisions on their own. </w:t>
      </w:r>
      <w:r w:rsidR="005702ED">
        <w:rPr>
          <w:rFonts w:asciiTheme="minorHAnsi" w:hAnsiTheme="minorHAnsi" w:cs="Arial"/>
          <w:sz w:val="24"/>
          <w:szCs w:val="24"/>
        </w:rPr>
        <w:t xml:space="preserve">Article 12 </w:t>
      </w:r>
      <w:r w:rsidR="009C669B">
        <w:rPr>
          <w:rFonts w:asciiTheme="minorHAnsi" w:hAnsiTheme="minorHAnsi" w:cs="Arial"/>
          <w:sz w:val="24"/>
          <w:szCs w:val="24"/>
        </w:rPr>
        <w:t>requires ‘</w:t>
      </w:r>
      <w:r w:rsidR="009C669B" w:rsidRPr="009C669B">
        <w:rPr>
          <w:rFonts w:asciiTheme="minorHAnsi" w:hAnsiTheme="minorHAnsi" w:cs="Arial"/>
          <w:sz w:val="24"/>
          <w:szCs w:val="24"/>
        </w:rPr>
        <w:t>access by persons with disabilities to the support they may require in exercising their legal capacity</w:t>
      </w:r>
      <w:r w:rsidR="009C669B">
        <w:rPr>
          <w:rFonts w:asciiTheme="minorHAnsi" w:hAnsiTheme="minorHAnsi" w:cs="Arial"/>
          <w:sz w:val="24"/>
          <w:szCs w:val="24"/>
        </w:rPr>
        <w:t>’</w:t>
      </w:r>
      <w:r w:rsidR="002445E1">
        <w:rPr>
          <w:rFonts w:asciiTheme="minorHAnsi" w:hAnsiTheme="minorHAnsi" w:cs="Arial"/>
          <w:sz w:val="24"/>
          <w:szCs w:val="24"/>
        </w:rPr>
        <w:t>; t</w:t>
      </w:r>
      <w:r w:rsidR="009C669B">
        <w:rPr>
          <w:rFonts w:asciiTheme="minorHAnsi" w:hAnsiTheme="minorHAnsi" w:cs="Arial"/>
          <w:sz w:val="24"/>
          <w:szCs w:val="24"/>
        </w:rPr>
        <w:t>his has been interpreted as requiring</w:t>
      </w:r>
      <w:r w:rsidR="00E207C1" w:rsidRPr="00276790">
        <w:rPr>
          <w:rFonts w:asciiTheme="minorHAnsi" w:hAnsiTheme="minorHAnsi" w:cs="Arial"/>
          <w:sz w:val="24"/>
          <w:szCs w:val="24"/>
        </w:rPr>
        <w:t xml:space="preserve"> ‘supported decision-making’.</w:t>
      </w:r>
      <w:r w:rsidR="00E207C1" w:rsidRPr="00276790">
        <w:rPr>
          <w:rStyle w:val="FootnoteReference"/>
          <w:rFonts w:asciiTheme="minorHAnsi" w:hAnsiTheme="minorHAnsi" w:cs="Arial"/>
          <w:sz w:val="24"/>
          <w:szCs w:val="24"/>
        </w:rPr>
        <w:footnoteReference w:id="21"/>
      </w:r>
      <w:r w:rsidR="00AC2C3A" w:rsidRPr="00AC2C3A">
        <w:rPr>
          <w:rFonts w:asciiTheme="minorHAnsi" w:hAnsiTheme="minorHAnsi" w:cs="Arial"/>
          <w:sz w:val="24"/>
          <w:szCs w:val="24"/>
        </w:rPr>
        <w:t xml:space="preserve"> </w:t>
      </w:r>
      <w:r w:rsidR="00AC2C3A" w:rsidRPr="00276790">
        <w:rPr>
          <w:rFonts w:asciiTheme="minorHAnsi" w:hAnsiTheme="minorHAnsi" w:cs="Arial"/>
          <w:sz w:val="24"/>
          <w:szCs w:val="24"/>
        </w:rPr>
        <w:t>In a supported decision-making arrangement, a person chooses another person or people for support in making one decision, or a range of</w:t>
      </w:r>
      <w:r w:rsidR="001E5794">
        <w:rPr>
          <w:rFonts w:asciiTheme="minorHAnsi" w:hAnsiTheme="minorHAnsi" w:cs="Arial"/>
          <w:sz w:val="24"/>
          <w:szCs w:val="24"/>
        </w:rPr>
        <w:t xml:space="preserve"> decisions. The role of supporters</w:t>
      </w:r>
      <w:r w:rsidR="00AC2C3A" w:rsidRPr="00276790">
        <w:rPr>
          <w:rFonts w:asciiTheme="minorHAnsi" w:hAnsiTheme="minorHAnsi" w:cs="Arial"/>
          <w:sz w:val="24"/>
          <w:szCs w:val="24"/>
        </w:rPr>
        <w:t xml:space="preserve"> is to ensure that the will and preferences</w:t>
      </w:r>
      <w:r w:rsidR="001E5794">
        <w:rPr>
          <w:rFonts w:asciiTheme="minorHAnsi" w:hAnsiTheme="minorHAnsi" w:cs="Arial"/>
          <w:sz w:val="24"/>
          <w:szCs w:val="24"/>
        </w:rPr>
        <w:t xml:space="preserve"> of those supported</w:t>
      </w:r>
      <w:r w:rsidR="00AC2C3A" w:rsidRPr="00276790">
        <w:rPr>
          <w:rFonts w:asciiTheme="minorHAnsi" w:hAnsiTheme="minorHAnsi" w:cs="Arial"/>
          <w:sz w:val="24"/>
          <w:szCs w:val="24"/>
        </w:rPr>
        <w:t xml:space="preserve"> are expressed and respected, rather than substituting their own judgement.</w:t>
      </w:r>
      <w:r w:rsidR="00AC2C3A" w:rsidRPr="00276790">
        <w:rPr>
          <w:rStyle w:val="FootnoteReference"/>
          <w:rFonts w:asciiTheme="minorHAnsi" w:hAnsiTheme="minorHAnsi" w:cs="Arial"/>
          <w:sz w:val="24"/>
          <w:szCs w:val="24"/>
        </w:rPr>
        <w:footnoteReference w:id="22"/>
      </w:r>
    </w:p>
    <w:p w14:paraId="628081E0" w14:textId="37D9B506" w:rsidR="00AC2C3A" w:rsidRDefault="00AC2C3A" w:rsidP="000A698F">
      <w:pPr>
        <w:autoSpaceDE w:val="0"/>
        <w:autoSpaceDN w:val="0"/>
        <w:adjustRightInd w:val="0"/>
        <w:spacing w:before="240"/>
        <w:jc w:val="both"/>
        <w:rPr>
          <w:rFonts w:asciiTheme="minorHAnsi" w:hAnsiTheme="minorHAnsi" w:cs="Arial"/>
          <w:sz w:val="24"/>
          <w:szCs w:val="24"/>
        </w:rPr>
      </w:pPr>
      <w:r w:rsidRPr="00276790">
        <w:rPr>
          <w:rFonts w:asciiTheme="minorHAnsi" w:hAnsiTheme="minorHAnsi" w:cs="Arial"/>
          <w:sz w:val="24"/>
          <w:szCs w:val="24"/>
        </w:rPr>
        <w:t>The right</w:t>
      </w:r>
      <w:r w:rsidR="00AB03EA">
        <w:rPr>
          <w:rFonts w:asciiTheme="minorHAnsi" w:hAnsiTheme="minorHAnsi" w:cs="Arial"/>
          <w:sz w:val="24"/>
          <w:szCs w:val="24"/>
        </w:rPr>
        <w:t xml:space="preserve"> to equal recognition before the law</w:t>
      </w:r>
      <w:r w:rsidRPr="00276790">
        <w:rPr>
          <w:rFonts w:asciiTheme="minorHAnsi" w:hAnsiTheme="minorHAnsi" w:cs="Arial"/>
          <w:sz w:val="24"/>
          <w:szCs w:val="24"/>
        </w:rPr>
        <w:t xml:space="preserve"> ha</w:t>
      </w:r>
      <w:r w:rsidR="00AB03EA">
        <w:rPr>
          <w:rFonts w:asciiTheme="minorHAnsi" w:hAnsiTheme="minorHAnsi" w:cs="Arial"/>
          <w:sz w:val="24"/>
          <w:szCs w:val="24"/>
        </w:rPr>
        <w:t>s</w:t>
      </w:r>
      <w:r w:rsidRPr="00276790">
        <w:rPr>
          <w:rFonts w:asciiTheme="minorHAnsi" w:hAnsiTheme="minorHAnsi" w:cs="Arial"/>
          <w:sz w:val="24"/>
          <w:szCs w:val="24"/>
        </w:rPr>
        <w:t xml:space="preserve"> several implications for telecommunications suppliers. Suppliers </w:t>
      </w:r>
      <w:r w:rsidR="002445E1">
        <w:rPr>
          <w:rFonts w:asciiTheme="minorHAnsi" w:hAnsiTheme="minorHAnsi" w:cs="Arial"/>
          <w:sz w:val="24"/>
          <w:szCs w:val="24"/>
        </w:rPr>
        <w:t>should ensure that consumers have the option of being</w:t>
      </w:r>
      <w:r w:rsidRPr="00276790">
        <w:rPr>
          <w:rFonts w:asciiTheme="minorHAnsi" w:hAnsiTheme="minorHAnsi" w:cs="Arial"/>
          <w:sz w:val="24"/>
          <w:szCs w:val="24"/>
        </w:rPr>
        <w:t xml:space="preserve"> supported to exercise their legal capacity when contracting for a service. It </w:t>
      </w:r>
      <w:r>
        <w:rPr>
          <w:rFonts w:asciiTheme="minorHAnsi" w:hAnsiTheme="minorHAnsi" w:cs="Arial"/>
          <w:sz w:val="24"/>
          <w:szCs w:val="24"/>
        </w:rPr>
        <w:t>will</w:t>
      </w:r>
      <w:r w:rsidRPr="00276790">
        <w:rPr>
          <w:rFonts w:asciiTheme="minorHAnsi" w:hAnsiTheme="minorHAnsi" w:cs="Arial"/>
          <w:sz w:val="24"/>
          <w:szCs w:val="24"/>
        </w:rPr>
        <w:t xml:space="preserve"> not </w:t>
      </w:r>
      <w:r>
        <w:rPr>
          <w:rFonts w:asciiTheme="minorHAnsi" w:hAnsiTheme="minorHAnsi" w:cs="Arial"/>
          <w:sz w:val="24"/>
          <w:szCs w:val="24"/>
        </w:rPr>
        <w:t xml:space="preserve">generally </w:t>
      </w:r>
      <w:r w:rsidRPr="00276790">
        <w:rPr>
          <w:rFonts w:asciiTheme="minorHAnsi" w:hAnsiTheme="minorHAnsi" w:cs="Arial"/>
          <w:sz w:val="24"/>
          <w:szCs w:val="24"/>
        </w:rPr>
        <w:t>be appropriate for suppliers to offer this support directly, because suppliers’ profit incentive</w:t>
      </w:r>
      <w:r>
        <w:rPr>
          <w:rFonts w:asciiTheme="minorHAnsi" w:hAnsiTheme="minorHAnsi" w:cs="Arial"/>
          <w:sz w:val="24"/>
          <w:szCs w:val="24"/>
        </w:rPr>
        <w:t xml:space="preserve"> can</w:t>
      </w:r>
      <w:r w:rsidRPr="00276790">
        <w:rPr>
          <w:rFonts w:asciiTheme="minorHAnsi" w:hAnsiTheme="minorHAnsi" w:cs="Arial"/>
          <w:sz w:val="24"/>
          <w:szCs w:val="24"/>
        </w:rPr>
        <w:t xml:space="preserve"> create a conflict of interest, and because a key principle of supported decision-making is that supported persons choose their own supporter(s), rather than having someone imposed on them</w:t>
      </w:r>
      <w:r>
        <w:rPr>
          <w:rFonts w:asciiTheme="minorHAnsi" w:hAnsiTheme="minorHAnsi" w:cs="Arial"/>
          <w:sz w:val="24"/>
          <w:szCs w:val="24"/>
        </w:rPr>
        <w:t>.</w:t>
      </w:r>
    </w:p>
    <w:p w14:paraId="13DCDDDE" w14:textId="77777777" w:rsidR="00D264BC" w:rsidRDefault="00AC2C3A" w:rsidP="00986B0E">
      <w:pPr>
        <w:spacing w:before="120" w:after="120"/>
        <w:jc w:val="both"/>
        <w:rPr>
          <w:rFonts w:asciiTheme="minorHAnsi" w:hAnsiTheme="minorHAnsi" w:cs="Arial"/>
          <w:sz w:val="24"/>
          <w:szCs w:val="24"/>
        </w:rPr>
      </w:pPr>
      <w:r w:rsidRPr="00276790">
        <w:rPr>
          <w:rFonts w:asciiTheme="minorHAnsi" w:hAnsiTheme="minorHAnsi" w:cs="Arial"/>
          <w:sz w:val="24"/>
          <w:szCs w:val="24"/>
        </w:rPr>
        <w:t xml:space="preserve">Suppliers can nevertheless facilitate supported decision-making and the exercise of legal </w:t>
      </w:r>
      <w:r w:rsidR="00D264BC">
        <w:rPr>
          <w:rFonts w:asciiTheme="minorHAnsi" w:hAnsiTheme="minorHAnsi" w:cs="Arial"/>
          <w:sz w:val="24"/>
          <w:szCs w:val="24"/>
        </w:rPr>
        <w:t>capacity through several means, including:</w:t>
      </w:r>
    </w:p>
    <w:p w14:paraId="172E5EA0" w14:textId="3A218F3F" w:rsidR="00D264BC" w:rsidRDefault="00D264BC" w:rsidP="00416518">
      <w:pPr>
        <w:pStyle w:val="ListParagraph"/>
        <w:numPr>
          <w:ilvl w:val="0"/>
          <w:numId w:val="9"/>
        </w:numPr>
        <w:spacing w:before="120" w:after="120"/>
        <w:ind w:left="360"/>
        <w:jc w:val="both"/>
        <w:rPr>
          <w:rFonts w:asciiTheme="minorHAnsi" w:hAnsiTheme="minorHAnsi" w:cs="Arial"/>
        </w:rPr>
      </w:pPr>
      <w:r>
        <w:rPr>
          <w:rFonts w:asciiTheme="minorHAnsi" w:hAnsiTheme="minorHAnsi" w:cs="Arial"/>
        </w:rPr>
        <w:t>providing</w:t>
      </w:r>
      <w:r w:rsidR="00AC2C3A" w:rsidRPr="00D264BC">
        <w:rPr>
          <w:rFonts w:asciiTheme="minorHAnsi" w:hAnsiTheme="minorHAnsi" w:cs="Arial"/>
        </w:rPr>
        <w:t xml:space="preserve"> </w:t>
      </w:r>
      <w:r w:rsidR="00613CA3">
        <w:rPr>
          <w:rFonts w:asciiTheme="minorHAnsi" w:hAnsiTheme="minorHAnsi" w:cs="Arial"/>
        </w:rPr>
        <w:t>consumers</w:t>
      </w:r>
      <w:r w:rsidR="00AC2C3A" w:rsidRPr="00D264BC">
        <w:rPr>
          <w:rFonts w:asciiTheme="minorHAnsi" w:hAnsiTheme="minorHAnsi" w:cs="Arial"/>
        </w:rPr>
        <w:t xml:space="preserve"> with the information they need to make de</w:t>
      </w:r>
      <w:r w:rsidR="002445E1">
        <w:rPr>
          <w:rFonts w:asciiTheme="minorHAnsi" w:hAnsiTheme="minorHAnsi" w:cs="Arial"/>
        </w:rPr>
        <w:t>cisions and ensuring</w:t>
      </w:r>
      <w:r w:rsidR="00AC2C3A" w:rsidRPr="00D264BC">
        <w:rPr>
          <w:rFonts w:asciiTheme="minorHAnsi" w:hAnsiTheme="minorHAnsi" w:cs="Arial"/>
        </w:rPr>
        <w:t xml:space="preserve"> that information is accessible in terms of both where it is located and th</w:t>
      </w:r>
      <w:r>
        <w:rPr>
          <w:rFonts w:asciiTheme="minorHAnsi" w:hAnsiTheme="minorHAnsi" w:cs="Arial"/>
        </w:rPr>
        <w:t>e form in which it is presented;</w:t>
      </w:r>
      <w:r w:rsidR="00AC2C3A" w:rsidRPr="00D264BC">
        <w:rPr>
          <w:rFonts w:asciiTheme="minorHAnsi" w:hAnsiTheme="minorHAnsi" w:cs="Arial"/>
        </w:rPr>
        <w:t xml:space="preserve"> </w:t>
      </w:r>
      <w:r>
        <w:rPr>
          <w:rFonts w:asciiTheme="minorHAnsi" w:hAnsiTheme="minorHAnsi" w:cs="Arial"/>
        </w:rPr>
        <w:t>and</w:t>
      </w:r>
    </w:p>
    <w:p w14:paraId="249EA9CC" w14:textId="77777777" w:rsidR="00D264BC" w:rsidRDefault="00D264BC" w:rsidP="00416518">
      <w:pPr>
        <w:pStyle w:val="ListParagraph"/>
        <w:spacing w:before="120" w:after="120"/>
        <w:ind w:left="360"/>
        <w:jc w:val="both"/>
        <w:rPr>
          <w:rFonts w:asciiTheme="minorHAnsi" w:hAnsiTheme="minorHAnsi" w:cs="Arial"/>
        </w:rPr>
      </w:pPr>
    </w:p>
    <w:p w14:paraId="4EA34E9F" w14:textId="220AA4D5" w:rsidR="00CA2C36" w:rsidRPr="00D264BC" w:rsidRDefault="00D264BC" w:rsidP="00416518">
      <w:pPr>
        <w:pStyle w:val="ListParagraph"/>
        <w:numPr>
          <w:ilvl w:val="0"/>
          <w:numId w:val="9"/>
        </w:numPr>
        <w:spacing w:before="120" w:after="120"/>
        <w:ind w:left="360"/>
        <w:jc w:val="both"/>
        <w:rPr>
          <w:rFonts w:asciiTheme="minorHAnsi" w:hAnsiTheme="minorHAnsi" w:cs="Arial"/>
        </w:rPr>
      </w:pPr>
      <w:proofErr w:type="spellStart"/>
      <w:r>
        <w:rPr>
          <w:rFonts w:asciiTheme="minorHAnsi" w:hAnsiTheme="minorHAnsi" w:cs="Arial"/>
        </w:rPr>
        <w:t>recognising</w:t>
      </w:r>
      <w:proofErr w:type="spellEnd"/>
      <w:r>
        <w:rPr>
          <w:rFonts w:asciiTheme="minorHAnsi" w:hAnsiTheme="minorHAnsi" w:cs="Arial"/>
        </w:rPr>
        <w:t xml:space="preserve"> and facilitating</w:t>
      </w:r>
      <w:r w:rsidR="00AC2C3A" w:rsidRPr="00D264BC">
        <w:rPr>
          <w:rFonts w:asciiTheme="minorHAnsi" w:hAnsiTheme="minorHAnsi" w:cs="Arial"/>
        </w:rPr>
        <w:t xml:space="preserve"> existing supported decision-making arrangements</w:t>
      </w:r>
      <w:r>
        <w:rPr>
          <w:rFonts w:asciiTheme="minorHAnsi" w:hAnsiTheme="minorHAnsi" w:cs="Arial"/>
        </w:rPr>
        <w:t xml:space="preserve"> by,</w:t>
      </w:r>
      <w:r w:rsidR="00AC2C3A" w:rsidRPr="00D264BC">
        <w:rPr>
          <w:rFonts w:asciiTheme="minorHAnsi" w:hAnsiTheme="minorHAnsi" w:cs="Arial"/>
        </w:rPr>
        <w:t xml:space="preserve"> for example, making provision for a third person to be involved in sales and follow-up conversations and processes, and/or to be listed on a </w:t>
      </w:r>
      <w:r w:rsidR="002445E1">
        <w:rPr>
          <w:rFonts w:asciiTheme="minorHAnsi" w:hAnsiTheme="minorHAnsi" w:cs="Arial"/>
        </w:rPr>
        <w:t>consumer</w:t>
      </w:r>
      <w:r w:rsidR="00AC2C3A" w:rsidRPr="00D264BC">
        <w:rPr>
          <w:rFonts w:asciiTheme="minorHAnsi" w:hAnsiTheme="minorHAnsi" w:cs="Arial"/>
        </w:rPr>
        <w:t>’s account with the</w:t>
      </w:r>
      <w:r>
        <w:rPr>
          <w:rFonts w:asciiTheme="minorHAnsi" w:hAnsiTheme="minorHAnsi" w:cs="Arial"/>
        </w:rPr>
        <w:t xml:space="preserve"> </w:t>
      </w:r>
      <w:r w:rsidR="002445E1">
        <w:rPr>
          <w:rFonts w:asciiTheme="minorHAnsi" w:hAnsiTheme="minorHAnsi" w:cs="Arial"/>
        </w:rPr>
        <w:t>consumer</w:t>
      </w:r>
      <w:r>
        <w:rPr>
          <w:rFonts w:asciiTheme="minorHAnsi" w:hAnsiTheme="minorHAnsi" w:cs="Arial"/>
        </w:rPr>
        <w:t>’s express permission.</w:t>
      </w:r>
    </w:p>
    <w:p w14:paraId="6A0BFC1B" w14:textId="169E7796" w:rsidR="00CA2C36" w:rsidRDefault="00CA2C36" w:rsidP="00702E8D">
      <w:pPr>
        <w:pStyle w:val="Heading1"/>
        <w:numPr>
          <w:ilvl w:val="0"/>
          <w:numId w:val="10"/>
        </w:numPr>
      </w:pPr>
      <w:r>
        <w:t>Previous research</w:t>
      </w:r>
    </w:p>
    <w:p w14:paraId="1D85EE96" w14:textId="40AAEE52" w:rsidR="00BB03B4" w:rsidRDefault="00AC2C3A" w:rsidP="00AC2C3A">
      <w:pPr>
        <w:spacing w:before="120" w:after="120"/>
        <w:jc w:val="both"/>
        <w:rPr>
          <w:rFonts w:asciiTheme="minorHAnsi" w:hAnsiTheme="minorHAnsi" w:cs="Arial"/>
          <w:sz w:val="24"/>
          <w:szCs w:val="24"/>
        </w:rPr>
      </w:pPr>
      <w:r w:rsidRPr="0043669F">
        <w:rPr>
          <w:rFonts w:asciiTheme="minorHAnsi" w:hAnsiTheme="minorHAnsi" w:cs="Arial"/>
          <w:sz w:val="24"/>
          <w:szCs w:val="24"/>
        </w:rPr>
        <w:t xml:space="preserve">The </w:t>
      </w:r>
      <w:r w:rsidR="008501CE" w:rsidRPr="0043669F">
        <w:rPr>
          <w:rFonts w:asciiTheme="minorHAnsi" w:hAnsiTheme="minorHAnsi" w:cs="Arial"/>
          <w:sz w:val="24"/>
          <w:szCs w:val="24"/>
        </w:rPr>
        <w:t>Australian Consumer Law</w:t>
      </w:r>
      <w:r w:rsidR="008501CE">
        <w:rPr>
          <w:rFonts w:asciiTheme="minorHAnsi" w:hAnsiTheme="minorHAnsi" w:cs="Arial"/>
          <w:sz w:val="24"/>
          <w:szCs w:val="24"/>
        </w:rPr>
        <w:t>, the</w:t>
      </w:r>
      <w:r w:rsidR="008501CE" w:rsidRPr="0043669F">
        <w:rPr>
          <w:rFonts w:asciiTheme="minorHAnsi" w:hAnsiTheme="minorHAnsi" w:cs="Arial"/>
          <w:sz w:val="24"/>
          <w:szCs w:val="24"/>
        </w:rPr>
        <w:t xml:space="preserve"> </w:t>
      </w:r>
      <w:r w:rsidRPr="0043669F">
        <w:rPr>
          <w:rFonts w:asciiTheme="minorHAnsi" w:hAnsiTheme="minorHAnsi" w:cs="Arial"/>
          <w:sz w:val="24"/>
          <w:szCs w:val="24"/>
        </w:rPr>
        <w:t xml:space="preserve">Telecommunications Code, and the Convention impose clear requirements on telecommunications suppliers to provide information </w:t>
      </w:r>
      <w:proofErr w:type="gramStart"/>
      <w:r w:rsidRPr="0043669F">
        <w:rPr>
          <w:rFonts w:asciiTheme="minorHAnsi" w:hAnsiTheme="minorHAnsi" w:cs="Arial"/>
          <w:sz w:val="24"/>
          <w:szCs w:val="24"/>
        </w:rPr>
        <w:t>in particular formats</w:t>
      </w:r>
      <w:proofErr w:type="gramEnd"/>
      <w:r w:rsidRPr="0043669F">
        <w:rPr>
          <w:rFonts w:asciiTheme="minorHAnsi" w:hAnsiTheme="minorHAnsi" w:cs="Arial"/>
          <w:sz w:val="24"/>
          <w:szCs w:val="24"/>
        </w:rPr>
        <w:t xml:space="preserve"> to respond to the needs of individual consumers, and to ensure that consumers with cognitive disabilities can access their services on an equal basis with others. Little previous </w:t>
      </w:r>
      <w:r w:rsidRPr="0043669F">
        <w:rPr>
          <w:rFonts w:asciiTheme="minorHAnsi" w:hAnsiTheme="minorHAnsi" w:cs="Arial"/>
          <w:sz w:val="24"/>
          <w:szCs w:val="24"/>
        </w:rPr>
        <w:lastRenderedPageBreak/>
        <w:t>research has looked specifically at the experiences, rights or needs of people with cognitive disabilities in the context of telecommun</w:t>
      </w:r>
      <w:r w:rsidR="00F46643">
        <w:rPr>
          <w:rFonts w:asciiTheme="minorHAnsi" w:hAnsiTheme="minorHAnsi" w:cs="Arial"/>
          <w:sz w:val="24"/>
          <w:szCs w:val="24"/>
        </w:rPr>
        <w:t>ications products and services.</w:t>
      </w:r>
      <w:r w:rsidR="00E54638" w:rsidRPr="00E54638">
        <w:rPr>
          <w:rFonts w:asciiTheme="minorHAnsi" w:hAnsiTheme="minorHAnsi" w:cs="Arial"/>
          <w:sz w:val="24"/>
          <w:szCs w:val="24"/>
        </w:rPr>
        <w:t xml:space="preserve"> </w:t>
      </w:r>
      <w:r w:rsidR="00E54638" w:rsidRPr="00276790">
        <w:rPr>
          <w:rFonts w:asciiTheme="minorHAnsi" w:hAnsiTheme="minorHAnsi" w:cs="Arial"/>
          <w:sz w:val="24"/>
          <w:szCs w:val="24"/>
        </w:rPr>
        <w:t>However, some studies have suggested that there are fundamental problems with current approaches to providing information and accessibility for</w:t>
      </w:r>
      <w:r w:rsidR="00E54638">
        <w:rPr>
          <w:rFonts w:asciiTheme="minorHAnsi" w:hAnsiTheme="minorHAnsi" w:cs="Arial"/>
          <w:sz w:val="24"/>
          <w:szCs w:val="24"/>
        </w:rPr>
        <w:t xml:space="preserve"> some or all</w:t>
      </w:r>
      <w:r w:rsidR="00E54638" w:rsidRPr="00276790">
        <w:rPr>
          <w:rFonts w:asciiTheme="minorHAnsi" w:hAnsiTheme="minorHAnsi" w:cs="Arial"/>
          <w:sz w:val="24"/>
          <w:szCs w:val="24"/>
        </w:rPr>
        <w:t xml:space="preserve"> c</w:t>
      </w:r>
      <w:r w:rsidR="00E54638">
        <w:rPr>
          <w:rFonts w:asciiTheme="minorHAnsi" w:hAnsiTheme="minorHAnsi" w:cs="Arial"/>
          <w:sz w:val="24"/>
          <w:szCs w:val="24"/>
        </w:rPr>
        <w:t>onsumers in other areas.</w:t>
      </w:r>
    </w:p>
    <w:p w14:paraId="7E1CD640" w14:textId="03375DB7" w:rsidR="00A9701F" w:rsidRPr="0043669F" w:rsidRDefault="00A9701F" w:rsidP="00702E8D">
      <w:pPr>
        <w:pStyle w:val="Heading2"/>
        <w:numPr>
          <w:ilvl w:val="1"/>
          <w:numId w:val="10"/>
        </w:numPr>
      </w:pPr>
      <w:r>
        <w:t>Consumer problems and barriers to access</w:t>
      </w:r>
    </w:p>
    <w:p w14:paraId="24DDA650" w14:textId="7D4FA51B" w:rsidR="00D72955" w:rsidRDefault="00D72955" w:rsidP="00C8368B">
      <w:pPr>
        <w:spacing w:before="120" w:after="120"/>
        <w:jc w:val="both"/>
        <w:rPr>
          <w:rFonts w:asciiTheme="minorHAnsi" w:hAnsiTheme="minorHAnsi" w:cs="Arial"/>
          <w:sz w:val="24"/>
          <w:szCs w:val="24"/>
        </w:rPr>
      </w:pPr>
      <w:r w:rsidRPr="0043669F">
        <w:rPr>
          <w:rFonts w:asciiTheme="minorHAnsi" w:hAnsiTheme="minorHAnsi" w:cs="Arial"/>
          <w:sz w:val="24"/>
          <w:szCs w:val="24"/>
        </w:rPr>
        <w:t>R</w:t>
      </w:r>
      <w:r w:rsidR="00AC2C3A" w:rsidRPr="0043669F">
        <w:rPr>
          <w:rFonts w:asciiTheme="minorHAnsi" w:hAnsiTheme="minorHAnsi" w:cs="Arial"/>
          <w:sz w:val="24"/>
          <w:szCs w:val="24"/>
        </w:rPr>
        <w:t>esearch</w:t>
      </w:r>
      <w:r w:rsidRPr="0043669F">
        <w:rPr>
          <w:rFonts w:asciiTheme="minorHAnsi" w:hAnsiTheme="minorHAnsi" w:cs="Arial"/>
          <w:sz w:val="24"/>
          <w:szCs w:val="24"/>
        </w:rPr>
        <w:t>ers have identified</w:t>
      </w:r>
      <w:r w:rsidR="00AC2C3A" w:rsidRPr="0043669F">
        <w:rPr>
          <w:rFonts w:asciiTheme="minorHAnsi" w:hAnsiTheme="minorHAnsi" w:cs="Arial"/>
          <w:sz w:val="24"/>
          <w:szCs w:val="24"/>
        </w:rPr>
        <w:t xml:space="preserve"> significant limits on the usefulness of information disclosure for empowering and protecting consumers in general</w:t>
      </w:r>
      <w:r w:rsidRPr="0043669F">
        <w:rPr>
          <w:rFonts w:asciiTheme="minorHAnsi" w:hAnsiTheme="minorHAnsi" w:cs="Arial"/>
          <w:sz w:val="24"/>
          <w:szCs w:val="24"/>
        </w:rPr>
        <w:t xml:space="preserve">. </w:t>
      </w:r>
      <w:r w:rsidR="00DB2771" w:rsidRPr="00276790">
        <w:rPr>
          <w:rFonts w:asciiTheme="minorHAnsi" w:eastAsia="Times New Roman" w:hAnsiTheme="minorHAnsi" w:cs="Calibri"/>
          <w:color w:val="000000"/>
          <w:sz w:val="24"/>
          <w:szCs w:val="24"/>
        </w:rPr>
        <w:t>F</w:t>
      </w:r>
      <w:r w:rsidR="00DB2771">
        <w:rPr>
          <w:rFonts w:asciiTheme="minorHAnsi" w:eastAsia="Times New Roman" w:hAnsiTheme="minorHAnsi" w:cs="Calibri"/>
          <w:color w:val="000000"/>
          <w:sz w:val="24"/>
          <w:szCs w:val="24"/>
        </w:rPr>
        <w:t>or example</w:t>
      </w:r>
      <w:r w:rsidR="00DB2771" w:rsidRPr="00276790">
        <w:rPr>
          <w:rFonts w:asciiTheme="minorHAnsi" w:eastAsia="Times New Roman" w:hAnsiTheme="minorHAnsi" w:cs="Calibri"/>
          <w:color w:val="000000"/>
          <w:sz w:val="24"/>
          <w:szCs w:val="24"/>
        </w:rPr>
        <w:t>, c</w:t>
      </w:r>
      <w:r w:rsidR="00DB2771" w:rsidRPr="00276790">
        <w:rPr>
          <w:rFonts w:asciiTheme="minorHAnsi" w:hAnsiTheme="minorHAnsi" w:cs="Arial"/>
          <w:sz w:val="24"/>
          <w:szCs w:val="24"/>
        </w:rPr>
        <w:t>onsumers may not read material provided to them because they do not have the time or the skills to do so.</w:t>
      </w:r>
      <w:r w:rsidR="00DB2771" w:rsidRPr="00276790">
        <w:rPr>
          <w:rStyle w:val="FootnoteReference"/>
          <w:rFonts w:asciiTheme="minorHAnsi" w:hAnsiTheme="minorHAnsi" w:cs="Arial"/>
          <w:sz w:val="24"/>
          <w:szCs w:val="24"/>
        </w:rPr>
        <w:footnoteReference w:id="23"/>
      </w:r>
      <w:r w:rsidR="00DB2771" w:rsidRPr="00276790">
        <w:rPr>
          <w:rFonts w:asciiTheme="minorHAnsi" w:hAnsiTheme="minorHAnsi" w:cs="Arial"/>
          <w:sz w:val="24"/>
          <w:szCs w:val="24"/>
        </w:rPr>
        <w:t xml:space="preserve"> </w:t>
      </w:r>
      <w:r w:rsidR="00DB2771">
        <w:rPr>
          <w:rFonts w:asciiTheme="minorHAnsi" w:eastAsia="Times New Roman" w:hAnsiTheme="minorHAnsi" w:cs="Calibri"/>
          <w:color w:val="000000"/>
          <w:sz w:val="24"/>
          <w:szCs w:val="24"/>
        </w:rPr>
        <w:t xml:space="preserve">In addition, </w:t>
      </w:r>
      <w:r w:rsidR="00DB2771" w:rsidRPr="00276790">
        <w:rPr>
          <w:rFonts w:asciiTheme="minorHAnsi" w:eastAsia="Times New Roman" w:hAnsiTheme="minorHAnsi" w:cs="Calibri"/>
          <w:color w:val="000000"/>
          <w:sz w:val="24"/>
          <w:szCs w:val="24"/>
        </w:rPr>
        <w:t>disclosure may not be effective for better decision-making where consumers have low levels of literacy and therefore cannot meaning</w:t>
      </w:r>
      <w:r w:rsidR="009E26B9">
        <w:rPr>
          <w:rFonts w:asciiTheme="minorHAnsi" w:eastAsia="Times New Roman" w:hAnsiTheme="minorHAnsi" w:cs="Calibri"/>
          <w:color w:val="000000"/>
          <w:sz w:val="24"/>
          <w:szCs w:val="24"/>
        </w:rPr>
        <w:t>fully extract information from</w:t>
      </w:r>
      <w:r w:rsidR="00DB2771" w:rsidRPr="00276790">
        <w:rPr>
          <w:rFonts w:asciiTheme="minorHAnsi" w:eastAsia="Times New Roman" w:hAnsiTheme="minorHAnsi" w:cs="Calibri"/>
          <w:color w:val="000000"/>
          <w:sz w:val="24"/>
          <w:szCs w:val="24"/>
        </w:rPr>
        <w:t xml:space="preserve"> disclosure documents, even if</w:t>
      </w:r>
      <w:r w:rsidR="009E26B9">
        <w:rPr>
          <w:rFonts w:asciiTheme="minorHAnsi" w:eastAsia="Times New Roman" w:hAnsiTheme="minorHAnsi" w:cs="Calibri"/>
          <w:color w:val="000000"/>
          <w:sz w:val="24"/>
          <w:szCs w:val="24"/>
        </w:rPr>
        <w:t xml:space="preserve"> they are</w:t>
      </w:r>
      <w:r w:rsidR="00DB2771" w:rsidRPr="00276790">
        <w:rPr>
          <w:rFonts w:asciiTheme="minorHAnsi" w:eastAsia="Times New Roman" w:hAnsiTheme="minorHAnsi" w:cs="Calibri"/>
          <w:color w:val="000000"/>
          <w:sz w:val="24"/>
          <w:szCs w:val="24"/>
        </w:rPr>
        <w:t xml:space="preserve"> written in relatively clear language.</w:t>
      </w:r>
      <w:r w:rsidR="00DB2771" w:rsidRPr="00276790">
        <w:rPr>
          <w:rStyle w:val="FootnoteReference"/>
          <w:rFonts w:asciiTheme="minorHAnsi" w:eastAsia="Times New Roman" w:hAnsiTheme="minorHAnsi" w:cs="Calibri"/>
          <w:color w:val="000000"/>
          <w:sz w:val="24"/>
          <w:szCs w:val="24"/>
        </w:rPr>
        <w:footnoteReference w:id="24"/>
      </w:r>
      <w:r w:rsidR="00DB2771" w:rsidRPr="00276790">
        <w:rPr>
          <w:rFonts w:asciiTheme="minorHAnsi" w:eastAsia="Times New Roman" w:hAnsiTheme="minorHAnsi" w:cs="Calibri"/>
          <w:color w:val="000000"/>
          <w:sz w:val="24"/>
          <w:szCs w:val="24"/>
        </w:rPr>
        <w:t xml:space="preserve"> </w:t>
      </w:r>
      <w:r w:rsidR="00DB2771">
        <w:rPr>
          <w:rFonts w:asciiTheme="minorHAnsi" w:hAnsiTheme="minorHAnsi" w:cs="Arial"/>
          <w:sz w:val="24"/>
          <w:szCs w:val="24"/>
        </w:rPr>
        <w:t>S</w:t>
      </w:r>
      <w:r w:rsidR="00DB2771" w:rsidRPr="00276790">
        <w:rPr>
          <w:rFonts w:asciiTheme="minorHAnsi" w:hAnsiTheme="minorHAnsi" w:cs="Arial"/>
          <w:sz w:val="24"/>
          <w:szCs w:val="24"/>
        </w:rPr>
        <w:t>tudies in behavioural economics</w:t>
      </w:r>
      <w:r w:rsidR="00DB2771">
        <w:rPr>
          <w:rFonts w:asciiTheme="minorHAnsi" w:hAnsiTheme="minorHAnsi" w:cs="Arial"/>
          <w:sz w:val="24"/>
          <w:szCs w:val="24"/>
        </w:rPr>
        <w:t xml:space="preserve"> further suggest that</w:t>
      </w:r>
      <w:r w:rsidR="00DB2771" w:rsidRPr="00276790">
        <w:rPr>
          <w:rFonts w:asciiTheme="minorHAnsi" w:hAnsiTheme="minorHAnsi" w:cs="Calibri"/>
          <w:color w:val="000000"/>
          <w:sz w:val="24"/>
          <w:szCs w:val="24"/>
        </w:rPr>
        <w:t xml:space="preserve"> consumers are not good at processing large amounts of information and tend to focus on a few key features,</w:t>
      </w:r>
      <w:r w:rsidR="00DB2771" w:rsidRPr="00276790">
        <w:rPr>
          <w:rStyle w:val="FootnoteReference"/>
          <w:rFonts w:asciiTheme="minorHAnsi" w:hAnsiTheme="minorHAnsi" w:cs="Calibri"/>
          <w:color w:val="000000"/>
          <w:sz w:val="24"/>
          <w:szCs w:val="24"/>
        </w:rPr>
        <w:footnoteReference w:id="25"/>
      </w:r>
      <w:r w:rsidR="00DB2771" w:rsidRPr="00276790">
        <w:rPr>
          <w:rFonts w:asciiTheme="minorHAnsi" w:hAnsiTheme="minorHAnsi" w:cs="Calibri"/>
          <w:color w:val="000000"/>
          <w:sz w:val="24"/>
          <w:szCs w:val="24"/>
        </w:rPr>
        <w:t xml:space="preserve"> such as price or brand</w:t>
      </w:r>
      <w:r w:rsidR="00DB2771">
        <w:rPr>
          <w:rFonts w:asciiTheme="minorHAnsi" w:hAnsiTheme="minorHAnsi" w:cs="Calibri"/>
          <w:color w:val="000000"/>
          <w:sz w:val="24"/>
          <w:szCs w:val="24"/>
        </w:rPr>
        <w:t>, when making decisions</w:t>
      </w:r>
      <w:r w:rsidR="00DB2771" w:rsidRPr="00276790">
        <w:rPr>
          <w:rFonts w:asciiTheme="minorHAnsi" w:hAnsiTheme="minorHAnsi" w:cs="Calibri"/>
          <w:color w:val="000000"/>
          <w:sz w:val="24"/>
          <w:szCs w:val="24"/>
        </w:rPr>
        <w:t xml:space="preserve">. </w:t>
      </w:r>
      <w:r w:rsidR="00C8368B">
        <w:rPr>
          <w:rFonts w:asciiTheme="minorHAnsi" w:hAnsiTheme="minorHAnsi" w:cstheme="minorBidi"/>
          <w:color w:val="000000"/>
          <w:sz w:val="24"/>
          <w:szCs w:val="24"/>
        </w:rPr>
        <w:t>This</w:t>
      </w:r>
      <w:r w:rsidR="00C8368B" w:rsidRPr="00276790">
        <w:rPr>
          <w:rFonts w:asciiTheme="minorHAnsi" w:hAnsiTheme="minorHAnsi" w:cstheme="minorBidi"/>
          <w:color w:val="000000"/>
          <w:sz w:val="24"/>
          <w:szCs w:val="24"/>
        </w:rPr>
        <w:t xml:space="preserve"> suggest</w:t>
      </w:r>
      <w:r w:rsidR="00C8368B">
        <w:rPr>
          <w:rFonts w:asciiTheme="minorHAnsi" w:hAnsiTheme="minorHAnsi" w:cstheme="minorBidi"/>
          <w:color w:val="000000"/>
          <w:sz w:val="24"/>
          <w:szCs w:val="24"/>
        </w:rPr>
        <w:t>s</w:t>
      </w:r>
      <w:r w:rsidR="00C8368B" w:rsidRPr="00276790">
        <w:rPr>
          <w:rFonts w:asciiTheme="minorHAnsi" w:hAnsiTheme="minorHAnsi" w:cstheme="minorBidi"/>
          <w:color w:val="000000"/>
          <w:sz w:val="24"/>
          <w:szCs w:val="24"/>
        </w:rPr>
        <w:t xml:space="preserve"> that merely providing more information to consumers is unlikely to improve their ability to select products suitable for their needs</w:t>
      </w:r>
      <w:r w:rsidR="00A75804">
        <w:rPr>
          <w:rFonts w:asciiTheme="minorHAnsi" w:hAnsiTheme="minorHAnsi" w:cstheme="minorBidi"/>
          <w:color w:val="000000"/>
          <w:sz w:val="24"/>
          <w:szCs w:val="24"/>
        </w:rPr>
        <w:t>.</w:t>
      </w:r>
    </w:p>
    <w:p w14:paraId="215612C1" w14:textId="3CAD67A3" w:rsidR="001731CD" w:rsidRPr="0043669F" w:rsidRDefault="001731CD" w:rsidP="00C8368B">
      <w:pPr>
        <w:spacing w:before="120" w:after="120"/>
        <w:jc w:val="both"/>
        <w:rPr>
          <w:rFonts w:asciiTheme="minorHAnsi" w:hAnsiTheme="minorHAnsi" w:cs="Arial"/>
          <w:sz w:val="24"/>
          <w:szCs w:val="24"/>
        </w:rPr>
      </w:pPr>
      <w:r>
        <w:rPr>
          <w:rFonts w:asciiTheme="minorHAnsi" w:hAnsiTheme="minorHAnsi" w:cs="Arial"/>
          <w:sz w:val="24"/>
          <w:szCs w:val="24"/>
        </w:rPr>
        <w:t xml:space="preserve">A few studies have </w:t>
      </w:r>
      <w:r w:rsidR="009E26B9">
        <w:rPr>
          <w:rFonts w:asciiTheme="minorHAnsi" w:hAnsiTheme="minorHAnsi" w:cs="Arial"/>
          <w:sz w:val="24"/>
          <w:szCs w:val="24"/>
        </w:rPr>
        <w:t>highlighted some</w:t>
      </w:r>
      <w:r>
        <w:rPr>
          <w:rFonts w:asciiTheme="minorHAnsi" w:hAnsiTheme="minorHAnsi" w:cs="Arial"/>
          <w:sz w:val="24"/>
          <w:szCs w:val="24"/>
        </w:rPr>
        <w:t xml:space="preserve"> additional </w:t>
      </w:r>
      <w:r w:rsidR="00423912">
        <w:rPr>
          <w:rFonts w:asciiTheme="minorHAnsi" w:hAnsiTheme="minorHAnsi" w:cs="Arial"/>
          <w:sz w:val="24"/>
          <w:szCs w:val="24"/>
        </w:rPr>
        <w:t>barriers to contracting</w:t>
      </w:r>
      <w:r w:rsidRPr="00276790">
        <w:rPr>
          <w:rFonts w:asciiTheme="minorHAnsi" w:hAnsiTheme="minorHAnsi" w:cs="Arial"/>
          <w:sz w:val="24"/>
          <w:szCs w:val="24"/>
        </w:rPr>
        <w:t xml:space="preserve"> </w:t>
      </w:r>
      <w:r w:rsidR="00423912">
        <w:rPr>
          <w:rFonts w:asciiTheme="minorHAnsi" w:hAnsiTheme="minorHAnsi" w:cs="Arial"/>
          <w:sz w:val="24"/>
          <w:szCs w:val="24"/>
        </w:rPr>
        <w:t>for</w:t>
      </w:r>
      <w:r w:rsidRPr="00276790">
        <w:rPr>
          <w:rFonts w:asciiTheme="minorHAnsi" w:hAnsiTheme="minorHAnsi" w:cs="Arial"/>
          <w:sz w:val="24"/>
          <w:szCs w:val="24"/>
        </w:rPr>
        <w:t xml:space="preserve"> consumers with cognitive disabilities</w:t>
      </w:r>
      <w:r>
        <w:rPr>
          <w:rFonts w:asciiTheme="minorHAnsi" w:hAnsiTheme="minorHAnsi" w:cs="Arial"/>
          <w:sz w:val="24"/>
          <w:szCs w:val="24"/>
        </w:rPr>
        <w:t xml:space="preserve">, </w:t>
      </w:r>
      <w:r w:rsidRPr="00276790">
        <w:rPr>
          <w:rFonts w:asciiTheme="minorHAnsi" w:hAnsiTheme="minorHAnsi" w:cs="Arial"/>
          <w:sz w:val="24"/>
          <w:szCs w:val="24"/>
        </w:rPr>
        <w:t>including ‘problems’ with understanding forms, brochures and other types of information</w:t>
      </w:r>
      <w:r w:rsidRPr="00276790">
        <w:rPr>
          <w:rStyle w:val="FootnoteReference"/>
          <w:rFonts w:asciiTheme="minorHAnsi" w:hAnsiTheme="minorHAnsi" w:cs="Arial"/>
          <w:sz w:val="24"/>
          <w:szCs w:val="24"/>
        </w:rPr>
        <w:footnoteReference w:id="26"/>
      </w:r>
      <w:r>
        <w:rPr>
          <w:rFonts w:asciiTheme="minorHAnsi" w:hAnsiTheme="minorHAnsi" w:cs="Arial"/>
          <w:sz w:val="24"/>
          <w:szCs w:val="24"/>
        </w:rPr>
        <w:t xml:space="preserve"> </w:t>
      </w:r>
      <w:r w:rsidR="009E26B9">
        <w:rPr>
          <w:rFonts w:asciiTheme="minorHAnsi" w:hAnsiTheme="minorHAnsi" w:cs="Arial"/>
          <w:sz w:val="24"/>
          <w:szCs w:val="24"/>
        </w:rPr>
        <w:t xml:space="preserve">and </w:t>
      </w:r>
      <w:r w:rsidRPr="00276790">
        <w:rPr>
          <w:rFonts w:asciiTheme="minorHAnsi" w:hAnsiTheme="minorHAnsi" w:cs="Arial"/>
          <w:sz w:val="24"/>
          <w:szCs w:val="24"/>
        </w:rPr>
        <w:t>complex terms and conditions, a lack of confidence in dealing with large companies, difficulties communicating with suppliers, and inadequate support for decision-making.</w:t>
      </w:r>
      <w:r w:rsidRPr="00276790">
        <w:rPr>
          <w:rStyle w:val="FootnoteReference"/>
          <w:rFonts w:asciiTheme="minorHAnsi" w:hAnsiTheme="minorHAnsi" w:cs="Arial"/>
          <w:sz w:val="24"/>
          <w:szCs w:val="24"/>
        </w:rPr>
        <w:footnoteReference w:id="27"/>
      </w:r>
    </w:p>
    <w:p w14:paraId="4F166D17" w14:textId="39497CD1" w:rsidR="00834D0B" w:rsidRDefault="00BF2AC1" w:rsidP="00AC2C3A">
      <w:pPr>
        <w:spacing w:before="120" w:after="120"/>
        <w:jc w:val="both"/>
        <w:rPr>
          <w:rFonts w:asciiTheme="minorHAnsi" w:hAnsiTheme="minorHAnsi" w:cs="Arial"/>
          <w:sz w:val="24"/>
          <w:szCs w:val="24"/>
        </w:rPr>
      </w:pPr>
      <w:r>
        <w:rPr>
          <w:rFonts w:asciiTheme="minorHAnsi" w:hAnsiTheme="minorHAnsi" w:cs="Arial"/>
          <w:sz w:val="24"/>
          <w:szCs w:val="24"/>
        </w:rPr>
        <w:t>R</w:t>
      </w:r>
      <w:r w:rsidR="00834D0B" w:rsidRPr="00276790">
        <w:rPr>
          <w:rFonts w:asciiTheme="minorHAnsi" w:hAnsiTheme="minorHAnsi" w:cs="Arial"/>
          <w:sz w:val="24"/>
          <w:szCs w:val="24"/>
        </w:rPr>
        <w:t>esearch indicates that technology can constitute another barrier to accessing telecommunications services and their benefits</w:t>
      </w:r>
      <w:r w:rsidR="009C669B">
        <w:rPr>
          <w:rFonts w:asciiTheme="minorHAnsi" w:hAnsiTheme="minorHAnsi" w:cs="Arial"/>
          <w:sz w:val="24"/>
          <w:szCs w:val="24"/>
        </w:rPr>
        <w:t xml:space="preserve"> because systems and processes are</w:t>
      </w:r>
      <w:r w:rsidR="00834D0B" w:rsidRPr="00276790">
        <w:rPr>
          <w:rFonts w:asciiTheme="minorHAnsi" w:hAnsiTheme="minorHAnsi" w:cs="Arial"/>
          <w:sz w:val="24"/>
          <w:szCs w:val="24"/>
        </w:rPr>
        <w:t xml:space="preserve"> not generally designed with people with cognitive disabilities in mind.</w:t>
      </w:r>
      <w:r w:rsidR="00834D0B" w:rsidRPr="00276790">
        <w:rPr>
          <w:rStyle w:val="FootnoteReference"/>
          <w:rFonts w:asciiTheme="minorHAnsi" w:hAnsiTheme="minorHAnsi" w:cs="Arial"/>
          <w:sz w:val="24"/>
          <w:szCs w:val="24"/>
        </w:rPr>
        <w:footnoteReference w:id="28"/>
      </w:r>
      <w:r w:rsidR="00972EA8" w:rsidRPr="00972EA8">
        <w:rPr>
          <w:rFonts w:asciiTheme="minorHAnsi" w:hAnsiTheme="minorHAnsi" w:cs="Arial"/>
          <w:sz w:val="24"/>
          <w:szCs w:val="24"/>
        </w:rPr>
        <w:t xml:space="preserve"> </w:t>
      </w:r>
      <w:r w:rsidR="00972EA8">
        <w:rPr>
          <w:rFonts w:asciiTheme="minorHAnsi" w:hAnsiTheme="minorHAnsi" w:cs="Arial"/>
          <w:sz w:val="24"/>
          <w:szCs w:val="24"/>
        </w:rPr>
        <w:t xml:space="preserve">This includes </w:t>
      </w:r>
      <w:r w:rsidR="006125FF">
        <w:rPr>
          <w:rFonts w:asciiTheme="minorHAnsi" w:hAnsiTheme="minorHAnsi" w:cs="Arial"/>
          <w:sz w:val="24"/>
          <w:szCs w:val="24"/>
        </w:rPr>
        <w:t xml:space="preserve">inaccessibility of computers, </w:t>
      </w:r>
      <w:r w:rsidR="00972EA8" w:rsidRPr="00276790">
        <w:rPr>
          <w:rFonts w:asciiTheme="minorHAnsi" w:hAnsiTheme="minorHAnsi" w:cs="Arial"/>
          <w:sz w:val="24"/>
          <w:szCs w:val="24"/>
        </w:rPr>
        <w:t>mobile phones</w:t>
      </w:r>
      <w:r w:rsidR="006125FF">
        <w:rPr>
          <w:rFonts w:asciiTheme="minorHAnsi" w:hAnsiTheme="minorHAnsi" w:cs="Arial"/>
          <w:sz w:val="24"/>
          <w:szCs w:val="24"/>
        </w:rPr>
        <w:t xml:space="preserve"> and other devices,</w:t>
      </w:r>
      <w:r w:rsidR="00972EA8" w:rsidRPr="00276790">
        <w:rPr>
          <w:rFonts w:asciiTheme="minorHAnsi" w:hAnsiTheme="minorHAnsi" w:cs="Arial"/>
          <w:sz w:val="24"/>
          <w:szCs w:val="24"/>
        </w:rPr>
        <w:t xml:space="preserve"> and</w:t>
      </w:r>
      <w:r w:rsidR="00CD381B">
        <w:rPr>
          <w:rFonts w:asciiTheme="minorHAnsi" w:hAnsiTheme="minorHAnsi" w:cs="Arial"/>
          <w:sz w:val="24"/>
          <w:szCs w:val="24"/>
        </w:rPr>
        <w:t xml:space="preserve"> websites and other online </w:t>
      </w:r>
      <w:r w:rsidR="0086767F">
        <w:rPr>
          <w:rFonts w:asciiTheme="minorHAnsi" w:hAnsiTheme="minorHAnsi" w:cs="Arial"/>
          <w:sz w:val="24"/>
          <w:szCs w:val="24"/>
        </w:rPr>
        <w:lastRenderedPageBreak/>
        <w:t>content</w:t>
      </w:r>
      <w:r w:rsidR="00972EA8" w:rsidRPr="00276790">
        <w:rPr>
          <w:rFonts w:asciiTheme="minorHAnsi" w:hAnsiTheme="minorHAnsi" w:cs="Arial"/>
          <w:sz w:val="24"/>
          <w:szCs w:val="24"/>
        </w:rPr>
        <w:t>.</w:t>
      </w:r>
      <w:r w:rsidR="00972EA8" w:rsidRPr="00276790">
        <w:rPr>
          <w:rStyle w:val="FootnoteReference"/>
          <w:rFonts w:asciiTheme="minorHAnsi" w:hAnsiTheme="minorHAnsi" w:cs="Arial"/>
          <w:sz w:val="24"/>
          <w:szCs w:val="24"/>
        </w:rPr>
        <w:footnoteReference w:id="29"/>
      </w:r>
      <w:r>
        <w:rPr>
          <w:rFonts w:asciiTheme="minorHAnsi" w:hAnsiTheme="minorHAnsi" w:cs="Arial"/>
          <w:sz w:val="24"/>
          <w:szCs w:val="24"/>
        </w:rPr>
        <w:t xml:space="preserve"> Further research is needed to </w:t>
      </w:r>
      <w:r w:rsidR="001F5771">
        <w:rPr>
          <w:rFonts w:asciiTheme="minorHAnsi" w:hAnsiTheme="minorHAnsi" w:cs="Arial"/>
          <w:sz w:val="24"/>
          <w:szCs w:val="24"/>
        </w:rPr>
        <w:t xml:space="preserve">map the </w:t>
      </w:r>
      <w:r>
        <w:rPr>
          <w:rFonts w:asciiTheme="minorHAnsi" w:hAnsiTheme="minorHAnsi" w:cs="Arial"/>
          <w:sz w:val="24"/>
          <w:szCs w:val="24"/>
        </w:rPr>
        <w:t>accessibility</w:t>
      </w:r>
      <w:r w:rsidR="001F5771">
        <w:rPr>
          <w:rFonts w:asciiTheme="minorHAnsi" w:hAnsiTheme="minorHAnsi" w:cs="Arial"/>
          <w:sz w:val="24"/>
          <w:szCs w:val="24"/>
        </w:rPr>
        <w:t xml:space="preserve"> of current technology</w:t>
      </w:r>
      <w:r>
        <w:rPr>
          <w:rFonts w:asciiTheme="minorHAnsi" w:hAnsiTheme="minorHAnsi" w:cs="Arial"/>
          <w:sz w:val="24"/>
          <w:szCs w:val="24"/>
        </w:rPr>
        <w:t xml:space="preserve"> for peo</w:t>
      </w:r>
      <w:r w:rsidR="009A690D">
        <w:rPr>
          <w:rFonts w:asciiTheme="minorHAnsi" w:hAnsiTheme="minorHAnsi" w:cs="Arial"/>
          <w:sz w:val="24"/>
          <w:szCs w:val="24"/>
        </w:rPr>
        <w:t>ple with cognitive disabilities and offer guidance for addressing problems.</w:t>
      </w:r>
    </w:p>
    <w:p w14:paraId="70B9BBFD" w14:textId="54A80C2E" w:rsidR="00A9701F" w:rsidRDefault="00A9701F" w:rsidP="00702E8D">
      <w:pPr>
        <w:pStyle w:val="Heading2"/>
        <w:numPr>
          <w:ilvl w:val="1"/>
          <w:numId w:val="10"/>
        </w:numPr>
      </w:pPr>
      <w:r>
        <w:t>Options for improvement</w:t>
      </w:r>
    </w:p>
    <w:p w14:paraId="7DABBF87" w14:textId="7B032846" w:rsidR="00A975DB" w:rsidRPr="00276790" w:rsidRDefault="00AC2C3A" w:rsidP="000003F4">
      <w:pPr>
        <w:spacing w:before="120" w:after="120"/>
        <w:jc w:val="both"/>
        <w:rPr>
          <w:rFonts w:asciiTheme="minorHAnsi" w:hAnsiTheme="minorHAnsi" w:cs="Arial"/>
          <w:sz w:val="24"/>
          <w:szCs w:val="24"/>
        </w:rPr>
      </w:pPr>
      <w:r w:rsidRPr="0043669F">
        <w:rPr>
          <w:rFonts w:asciiTheme="minorHAnsi" w:hAnsiTheme="minorHAnsi" w:cs="Arial"/>
          <w:sz w:val="24"/>
          <w:szCs w:val="24"/>
        </w:rPr>
        <w:t>Some research</w:t>
      </w:r>
      <w:r w:rsidR="00D576F0" w:rsidRPr="0043669F">
        <w:rPr>
          <w:rFonts w:asciiTheme="minorHAnsi" w:hAnsiTheme="minorHAnsi" w:cs="Arial"/>
          <w:sz w:val="24"/>
          <w:szCs w:val="24"/>
        </w:rPr>
        <w:t>ers have</w:t>
      </w:r>
      <w:r w:rsidRPr="0043669F">
        <w:rPr>
          <w:rFonts w:asciiTheme="minorHAnsi" w:hAnsiTheme="minorHAnsi" w:cs="Arial"/>
          <w:sz w:val="24"/>
          <w:szCs w:val="24"/>
        </w:rPr>
        <w:t xml:space="preserve"> explored options for making</w:t>
      </w:r>
      <w:r w:rsidR="00C50F8D">
        <w:rPr>
          <w:rFonts w:asciiTheme="minorHAnsi" w:hAnsiTheme="minorHAnsi" w:cs="Arial"/>
          <w:sz w:val="24"/>
          <w:szCs w:val="24"/>
        </w:rPr>
        <w:t xml:space="preserve"> consumer</w:t>
      </w:r>
      <w:r w:rsidRPr="0043669F">
        <w:rPr>
          <w:rFonts w:asciiTheme="minorHAnsi" w:hAnsiTheme="minorHAnsi" w:cs="Arial"/>
          <w:sz w:val="24"/>
          <w:szCs w:val="24"/>
        </w:rPr>
        <w:t xml:space="preserve"> information</w:t>
      </w:r>
      <w:r w:rsidR="00C50F8D">
        <w:rPr>
          <w:rFonts w:asciiTheme="minorHAnsi" w:hAnsiTheme="minorHAnsi" w:cs="Arial"/>
          <w:sz w:val="24"/>
          <w:szCs w:val="24"/>
        </w:rPr>
        <w:t xml:space="preserve"> and technology</w:t>
      </w:r>
      <w:r w:rsidRPr="0043669F">
        <w:rPr>
          <w:rFonts w:asciiTheme="minorHAnsi" w:hAnsiTheme="minorHAnsi" w:cs="Arial"/>
          <w:sz w:val="24"/>
          <w:szCs w:val="24"/>
        </w:rPr>
        <w:t xml:space="preserve"> more useful and accessible to consumers</w:t>
      </w:r>
      <w:r w:rsidR="00D576F0" w:rsidRPr="0043669F">
        <w:rPr>
          <w:rFonts w:asciiTheme="minorHAnsi" w:hAnsiTheme="minorHAnsi" w:cs="Arial"/>
          <w:sz w:val="24"/>
          <w:szCs w:val="24"/>
        </w:rPr>
        <w:t xml:space="preserve">. </w:t>
      </w:r>
      <w:r w:rsidR="006C7777" w:rsidRPr="00276790">
        <w:rPr>
          <w:rFonts w:asciiTheme="minorHAnsi" w:hAnsiTheme="minorHAnsi"/>
          <w:sz w:val="24"/>
          <w:szCs w:val="24"/>
        </w:rPr>
        <w:t>One regulatory response to the general problems of information overload and other bar</w:t>
      </w:r>
      <w:r w:rsidR="00BF1FDE">
        <w:rPr>
          <w:rFonts w:asciiTheme="minorHAnsi" w:hAnsiTheme="minorHAnsi"/>
          <w:sz w:val="24"/>
          <w:szCs w:val="24"/>
        </w:rPr>
        <w:t>rier</w:t>
      </w:r>
      <w:r w:rsidR="006C7777" w:rsidRPr="00276790">
        <w:rPr>
          <w:rFonts w:asciiTheme="minorHAnsi" w:hAnsiTheme="minorHAnsi"/>
          <w:sz w:val="24"/>
          <w:szCs w:val="24"/>
        </w:rPr>
        <w:t xml:space="preserve">s to consumers’ use of information about services and products has been to require the information to be provided in a form that is ‘transparent’. </w:t>
      </w:r>
      <w:r w:rsidR="006C7777">
        <w:rPr>
          <w:rFonts w:asciiTheme="minorHAnsi" w:hAnsiTheme="minorHAnsi"/>
          <w:sz w:val="24"/>
          <w:szCs w:val="24"/>
        </w:rPr>
        <w:t xml:space="preserve">This requires, for instance, </w:t>
      </w:r>
      <w:r w:rsidR="006C7777">
        <w:rPr>
          <w:rFonts w:asciiTheme="minorHAnsi" w:eastAsia="Times New Roman" w:hAnsiTheme="minorHAnsi"/>
          <w:sz w:val="24"/>
          <w:szCs w:val="24"/>
          <w:lang w:val="en-US" w:eastAsia="en-GB"/>
        </w:rPr>
        <w:t>p</w:t>
      </w:r>
      <w:r w:rsidR="006C7777" w:rsidRPr="00276790">
        <w:rPr>
          <w:rFonts w:asciiTheme="minorHAnsi" w:eastAsia="Times New Roman" w:hAnsiTheme="minorHAnsi"/>
          <w:sz w:val="24"/>
          <w:szCs w:val="24"/>
          <w:lang w:val="en-US" w:eastAsia="en-GB"/>
        </w:rPr>
        <w:t xml:space="preserve">lain language </w:t>
      </w:r>
      <w:r w:rsidR="006C7777" w:rsidRPr="00276790">
        <w:rPr>
          <w:rStyle w:val="Bold"/>
          <w:rFonts w:asciiTheme="minorHAnsi" w:eastAsia="Times New Roman" w:hAnsiTheme="minorHAnsi"/>
          <w:bCs/>
          <w:color w:val="000000"/>
          <w:sz w:val="24"/>
          <w:szCs w:val="24"/>
          <w:lang w:val="en-GB" w:eastAsia="en-GB"/>
        </w:rPr>
        <w:t>or ‘</w:t>
      </w:r>
      <w:r w:rsidR="006C7777" w:rsidRPr="00276790">
        <w:rPr>
          <w:rFonts w:asciiTheme="minorHAnsi" w:eastAsia="Times New Roman" w:hAnsiTheme="minorHAnsi"/>
          <w:color w:val="000000"/>
          <w:sz w:val="24"/>
          <w:szCs w:val="24"/>
          <w:lang w:val="en-GB" w:eastAsia="en-GB"/>
        </w:rPr>
        <w:t>readability’</w:t>
      </w:r>
      <w:r w:rsidR="00195037">
        <w:rPr>
          <w:rFonts w:asciiTheme="minorHAnsi" w:eastAsia="Times New Roman" w:hAnsiTheme="minorHAnsi"/>
          <w:color w:val="000000"/>
          <w:sz w:val="24"/>
          <w:szCs w:val="24"/>
          <w:lang w:val="en-GB" w:eastAsia="en-GB"/>
        </w:rPr>
        <w:t>,</w:t>
      </w:r>
      <w:r w:rsidR="006C7777" w:rsidRPr="00276790">
        <w:rPr>
          <w:rFonts w:asciiTheme="minorHAnsi" w:eastAsia="Times New Roman" w:hAnsiTheme="minorHAnsi"/>
          <w:color w:val="000000"/>
          <w:sz w:val="24"/>
          <w:szCs w:val="24"/>
          <w:vertAlign w:val="superscript"/>
          <w:lang w:val="en-GB" w:eastAsia="en-GB"/>
        </w:rPr>
        <w:footnoteReference w:id="30"/>
      </w:r>
      <w:r w:rsidR="006C7777" w:rsidRPr="00276790">
        <w:rPr>
          <w:rFonts w:asciiTheme="minorHAnsi" w:eastAsia="Times New Roman" w:hAnsiTheme="minorHAnsi"/>
          <w:color w:val="000000"/>
          <w:sz w:val="24"/>
          <w:szCs w:val="24"/>
          <w:lang w:val="en-GB" w:eastAsia="en-GB"/>
        </w:rPr>
        <w:t xml:space="preserve"> </w:t>
      </w:r>
      <w:r w:rsidR="00195037">
        <w:rPr>
          <w:rFonts w:asciiTheme="minorHAnsi" w:eastAsia="Times New Roman" w:hAnsiTheme="minorHAnsi"/>
          <w:color w:val="000000"/>
          <w:sz w:val="24"/>
          <w:szCs w:val="24"/>
          <w:lang w:val="en-GB" w:eastAsia="en-GB"/>
        </w:rPr>
        <w:t>which</w:t>
      </w:r>
      <w:r w:rsidR="006C7777">
        <w:rPr>
          <w:rFonts w:asciiTheme="minorHAnsi" w:eastAsia="Times New Roman" w:hAnsiTheme="minorHAnsi"/>
          <w:color w:val="000000"/>
          <w:sz w:val="24"/>
          <w:szCs w:val="24"/>
          <w:lang w:val="en-GB" w:eastAsia="en-GB"/>
        </w:rPr>
        <w:t xml:space="preserve"> </w:t>
      </w:r>
      <w:r w:rsidR="006C7777" w:rsidRPr="00276790">
        <w:rPr>
          <w:rFonts w:asciiTheme="minorHAnsi" w:eastAsia="Times New Roman" w:hAnsiTheme="minorHAnsi"/>
          <w:color w:val="000000"/>
          <w:sz w:val="24"/>
          <w:szCs w:val="24"/>
          <w:lang w:val="en-GB" w:eastAsia="en-GB"/>
        </w:rPr>
        <w:t>is influenced by factors</w:t>
      </w:r>
      <w:r w:rsidR="00AE68C1">
        <w:rPr>
          <w:rFonts w:asciiTheme="minorHAnsi" w:eastAsia="Times New Roman" w:hAnsiTheme="minorHAnsi"/>
          <w:color w:val="000000"/>
          <w:sz w:val="24"/>
          <w:szCs w:val="24"/>
          <w:lang w:val="en-GB" w:eastAsia="en-GB"/>
        </w:rPr>
        <w:t xml:space="preserve"> </w:t>
      </w:r>
      <w:r w:rsidR="009C669B">
        <w:rPr>
          <w:rFonts w:asciiTheme="minorHAnsi" w:eastAsia="Times New Roman" w:hAnsiTheme="minorHAnsi"/>
          <w:color w:val="000000"/>
          <w:sz w:val="24"/>
          <w:szCs w:val="24"/>
          <w:lang w:val="en-GB" w:eastAsia="en-GB"/>
        </w:rPr>
        <w:t>such as</w:t>
      </w:r>
      <w:r w:rsidR="006C7777" w:rsidRPr="00276790">
        <w:rPr>
          <w:rFonts w:asciiTheme="minorHAnsi" w:eastAsia="Times New Roman" w:hAnsiTheme="minorHAnsi"/>
          <w:color w:val="000000"/>
          <w:sz w:val="24"/>
          <w:szCs w:val="24"/>
          <w:lang w:val="en-GB" w:eastAsia="en-GB"/>
        </w:rPr>
        <w:t xml:space="preserve"> </w:t>
      </w:r>
      <w:r w:rsidR="006C7777" w:rsidRPr="00276790">
        <w:rPr>
          <w:rFonts w:asciiTheme="minorHAnsi" w:hAnsiTheme="minorHAnsi"/>
          <w:color w:val="000000"/>
          <w:sz w:val="24"/>
          <w:szCs w:val="24"/>
          <w:lang w:val="en-GB"/>
        </w:rPr>
        <w:t>avoiding</w:t>
      </w:r>
      <w:r w:rsidR="006C7777" w:rsidRPr="00276790">
        <w:rPr>
          <w:rFonts w:asciiTheme="minorHAnsi" w:eastAsia="Times New Roman" w:hAnsiTheme="minorHAnsi"/>
          <w:color w:val="000000"/>
          <w:sz w:val="24"/>
          <w:szCs w:val="24"/>
          <w:lang w:val="en-GB" w:eastAsia="en-GB"/>
        </w:rPr>
        <w:t xml:space="preserve"> jargon</w:t>
      </w:r>
      <w:r w:rsidR="009C669B">
        <w:rPr>
          <w:rFonts w:asciiTheme="minorHAnsi" w:eastAsia="Times New Roman" w:hAnsiTheme="minorHAnsi"/>
          <w:color w:val="000000"/>
          <w:sz w:val="24"/>
          <w:szCs w:val="24"/>
          <w:lang w:val="en-GB" w:eastAsia="en-GB"/>
        </w:rPr>
        <w:t>,</w:t>
      </w:r>
      <w:r w:rsidR="006C7777" w:rsidRPr="00276790">
        <w:rPr>
          <w:rFonts w:asciiTheme="minorHAnsi" w:eastAsia="Times New Roman" w:hAnsiTheme="minorHAnsi"/>
          <w:color w:val="000000"/>
          <w:sz w:val="24"/>
          <w:szCs w:val="24"/>
          <w:lang w:val="en-GB" w:eastAsia="en-GB"/>
        </w:rPr>
        <w:t xml:space="preserve"> </w:t>
      </w:r>
      <w:r w:rsidR="006C7777" w:rsidRPr="00276790">
        <w:rPr>
          <w:rFonts w:asciiTheme="minorHAnsi" w:hAnsiTheme="minorHAnsi"/>
          <w:color w:val="000000"/>
          <w:sz w:val="24"/>
          <w:szCs w:val="24"/>
          <w:lang w:val="en-GB"/>
        </w:rPr>
        <w:t xml:space="preserve">using </w:t>
      </w:r>
      <w:r w:rsidR="006C7777" w:rsidRPr="00276790">
        <w:rPr>
          <w:rFonts w:asciiTheme="minorHAnsi" w:eastAsia="Times New Roman" w:hAnsiTheme="minorHAnsi"/>
          <w:color w:val="000000"/>
          <w:sz w:val="24"/>
          <w:szCs w:val="24"/>
          <w:lang w:val="en-GB" w:eastAsia="en-GB"/>
        </w:rPr>
        <w:t xml:space="preserve">short words where possible and </w:t>
      </w:r>
      <w:r w:rsidR="006C7777" w:rsidRPr="00276790">
        <w:rPr>
          <w:rFonts w:asciiTheme="minorHAnsi" w:hAnsiTheme="minorHAnsi"/>
          <w:color w:val="000000"/>
          <w:sz w:val="24"/>
          <w:szCs w:val="24"/>
          <w:lang w:val="en-GB"/>
        </w:rPr>
        <w:t>resorting</w:t>
      </w:r>
      <w:r w:rsidR="006C7777" w:rsidRPr="00276790">
        <w:rPr>
          <w:rFonts w:asciiTheme="minorHAnsi" w:eastAsia="Times New Roman" w:hAnsiTheme="minorHAnsi"/>
          <w:color w:val="000000"/>
          <w:sz w:val="24"/>
          <w:szCs w:val="24"/>
          <w:lang w:val="en-GB" w:eastAsia="en-GB"/>
        </w:rPr>
        <w:t xml:space="preserve"> to the first and second person </w:t>
      </w:r>
      <w:r w:rsidR="009C669B" w:rsidRPr="009C669B">
        <w:rPr>
          <w:rFonts w:asciiTheme="minorHAnsi" w:eastAsia="Times New Roman" w:hAnsiTheme="minorHAnsi"/>
          <w:color w:val="000000"/>
          <w:sz w:val="24"/>
          <w:szCs w:val="24"/>
          <w:lang w:val="en-GB" w:eastAsia="en-GB"/>
        </w:rPr>
        <w:t xml:space="preserve">(‘I’ and ‘You’) </w:t>
      </w:r>
      <w:r w:rsidR="006C7777" w:rsidRPr="00276790">
        <w:rPr>
          <w:rFonts w:asciiTheme="minorHAnsi" w:eastAsia="Times New Roman" w:hAnsiTheme="minorHAnsi"/>
          <w:color w:val="000000"/>
          <w:sz w:val="24"/>
          <w:szCs w:val="24"/>
          <w:lang w:val="en-GB" w:eastAsia="en-GB"/>
        </w:rPr>
        <w:t>when referring to the parties instead of the third person.</w:t>
      </w:r>
      <w:r w:rsidR="009C669B">
        <w:rPr>
          <w:rFonts w:asciiTheme="minorHAnsi" w:hAnsiTheme="minorHAnsi" w:cs="Arial"/>
          <w:sz w:val="24"/>
          <w:szCs w:val="24"/>
        </w:rPr>
        <w:t>T</w:t>
      </w:r>
      <w:r w:rsidR="00B27DAB">
        <w:rPr>
          <w:rFonts w:asciiTheme="minorHAnsi" w:hAnsiTheme="minorHAnsi" w:cs="Arial"/>
          <w:sz w:val="24"/>
          <w:szCs w:val="24"/>
        </w:rPr>
        <w:t>h</w:t>
      </w:r>
      <w:r w:rsidR="00D2074D">
        <w:rPr>
          <w:rFonts w:asciiTheme="minorHAnsi" w:hAnsiTheme="minorHAnsi" w:cs="Arial"/>
          <w:sz w:val="24"/>
          <w:szCs w:val="24"/>
        </w:rPr>
        <w:t>e use of Easy English principles for improving the accessibility of written information</w:t>
      </w:r>
      <w:r w:rsidR="00A975DB">
        <w:rPr>
          <w:rFonts w:asciiTheme="minorHAnsi" w:hAnsiTheme="minorHAnsi" w:cs="Arial"/>
          <w:sz w:val="24"/>
          <w:szCs w:val="24"/>
        </w:rPr>
        <w:t xml:space="preserve"> </w:t>
      </w:r>
      <w:r w:rsidR="00B27DAB">
        <w:rPr>
          <w:rFonts w:asciiTheme="minorHAnsi" w:hAnsiTheme="minorHAnsi" w:cs="Arial"/>
          <w:sz w:val="24"/>
          <w:szCs w:val="24"/>
        </w:rPr>
        <w:t xml:space="preserve">for people with cognitive disabilities </w:t>
      </w:r>
      <w:r w:rsidR="00A975DB">
        <w:rPr>
          <w:rFonts w:asciiTheme="minorHAnsi" w:hAnsiTheme="minorHAnsi" w:cs="Arial"/>
          <w:sz w:val="24"/>
          <w:szCs w:val="24"/>
        </w:rPr>
        <w:t xml:space="preserve">has been supported by </w:t>
      </w:r>
      <w:r w:rsidR="00A975DB" w:rsidRPr="00276790">
        <w:rPr>
          <w:rFonts w:asciiTheme="minorHAnsi" w:hAnsiTheme="minorHAnsi" w:cs="Arial"/>
          <w:sz w:val="24"/>
          <w:szCs w:val="24"/>
        </w:rPr>
        <w:t>the Committee on the Rights of P</w:t>
      </w:r>
      <w:r w:rsidR="00FD72C0">
        <w:rPr>
          <w:rFonts w:asciiTheme="minorHAnsi" w:hAnsiTheme="minorHAnsi" w:cs="Arial"/>
          <w:sz w:val="24"/>
          <w:szCs w:val="24"/>
        </w:rPr>
        <w:t xml:space="preserve">ersons with Disabilities and </w:t>
      </w:r>
      <w:r w:rsidR="00A975DB" w:rsidRPr="00276790">
        <w:rPr>
          <w:rFonts w:asciiTheme="minorHAnsi" w:hAnsiTheme="minorHAnsi" w:cs="Arial"/>
          <w:sz w:val="24"/>
          <w:szCs w:val="24"/>
        </w:rPr>
        <w:t>Disabled People’s Organisations, including People with Disability Australia, Australian Federation of Disability Organisations and Disability Advocacy Network Australia.</w:t>
      </w:r>
      <w:r w:rsidR="00A975DB" w:rsidRPr="00276790">
        <w:rPr>
          <w:rStyle w:val="FootnoteReference"/>
          <w:rFonts w:asciiTheme="minorHAnsi" w:hAnsiTheme="minorHAnsi" w:cs="Arial"/>
          <w:sz w:val="24"/>
          <w:szCs w:val="24"/>
        </w:rPr>
        <w:footnoteReference w:id="31"/>
      </w:r>
      <w:r w:rsidR="00A975DB" w:rsidRPr="00276790">
        <w:rPr>
          <w:rFonts w:asciiTheme="minorHAnsi" w:hAnsiTheme="minorHAnsi" w:cs="Arial"/>
          <w:sz w:val="24"/>
          <w:szCs w:val="24"/>
        </w:rPr>
        <w:t xml:space="preserve"> </w:t>
      </w:r>
      <w:r w:rsidR="00D2074D" w:rsidRPr="00276790">
        <w:rPr>
          <w:rFonts w:asciiTheme="minorHAnsi" w:hAnsiTheme="minorHAnsi" w:cs="Arial"/>
          <w:sz w:val="24"/>
          <w:szCs w:val="24"/>
        </w:rPr>
        <w:t>Disability service providers, self-advocacy groups, researchers, and other bodies have published guidelines for developing Easy English materials.</w:t>
      </w:r>
      <w:r w:rsidR="00D2074D" w:rsidRPr="00276790">
        <w:rPr>
          <w:rStyle w:val="FootnoteReference"/>
          <w:rFonts w:asciiTheme="minorHAnsi" w:hAnsiTheme="minorHAnsi" w:cs="Arial"/>
          <w:sz w:val="24"/>
          <w:szCs w:val="24"/>
        </w:rPr>
        <w:footnoteReference w:id="32"/>
      </w:r>
      <w:r w:rsidR="00D2074D">
        <w:rPr>
          <w:rFonts w:asciiTheme="minorHAnsi" w:hAnsiTheme="minorHAnsi" w:cs="Arial"/>
          <w:sz w:val="24"/>
          <w:szCs w:val="24"/>
        </w:rPr>
        <w:t xml:space="preserve"> </w:t>
      </w:r>
      <w:r w:rsidR="00A03401">
        <w:rPr>
          <w:rFonts w:asciiTheme="minorHAnsi" w:hAnsiTheme="minorHAnsi" w:cs="Arial"/>
          <w:sz w:val="24"/>
          <w:szCs w:val="24"/>
        </w:rPr>
        <w:t>These guides</w:t>
      </w:r>
      <w:r w:rsidR="00D2074D" w:rsidRPr="00276790">
        <w:rPr>
          <w:rFonts w:asciiTheme="minorHAnsi" w:hAnsiTheme="minorHAnsi" w:cs="Arial"/>
          <w:sz w:val="24"/>
          <w:szCs w:val="24"/>
        </w:rPr>
        <w:t xml:space="preserve"> recommend a straightforward style of writing t</w:t>
      </w:r>
      <w:r w:rsidR="002445E1">
        <w:rPr>
          <w:rFonts w:asciiTheme="minorHAnsi" w:hAnsiTheme="minorHAnsi" w:cs="Arial"/>
          <w:sz w:val="24"/>
          <w:szCs w:val="24"/>
        </w:rPr>
        <w:t>hat uses short sentences and</w:t>
      </w:r>
      <w:r w:rsidR="00D2074D" w:rsidRPr="00276790">
        <w:rPr>
          <w:rFonts w:asciiTheme="minorHAnsi" w:hAnsiTheme="minorHAnsi" w:cs="Arial"/>
          <w:sz w:val="24"/>
          <w:szCs w:val="24"/>
        </w:rPr>
        <w:t xml:space="preserve"> simple and clear language</w:t>
      </w:r>
      <w:r w:rsidR="002445E1">
        <w:rPr>
          <w:rFonts w:asciiTheme="minorHAnsi" w:hAnsiTheme="minorHAnsi" w:cs="Arial"/>
          <w:sz w:val="24"/>
          <w:szCs w:val="24"/>
        </w:rPr>
        <w:t>,</w:t>
      </w:r>
      <w:r w:rsidR="00D2074D" w:rsidRPr="00276790">
        <w:rPr>
          <w:rFonts w:asciiTheme="minorHAnsi" w:hAnsiTheme="minorHAnsi" w:cs="Arial"/>
          <w:sz w:val="24"/>
          <w:szCs w:val="24"/>
        </w:rPr>
        <w:t xml:space="preserve"> and avoids jargon</w:t>
      </w:r>
      <w:r w:rsidR="00D2074D">
        <w:rPr>
          <w:rFonts w:asciiTheme="minorHAnsi" w:hAnsiTheme="minorHAnsi" w:cs="Arial"/>
          <w:sz w:val="24"/>
          <w:szCs w:val="24"/>
        </w:rPr>
        <w:t>. They also recommend</w:t>
      </w:r>
      <w:r w:rsidR="00D2074D" w:rsidRPr="00276790">
        <w:rPr>
          <w:rFonts w:asciiTheme="minorHAnsi" w:hAnsiTheme="minorHAnsi" w:cs="Arial"/>
          <w:sz w:val="24"/>
          <w:szCs w:val="24"/>
        </w:rPr>
        <w:t xml:space="preserve"> the use of photographs or other images to accompany and he</w:t>
      </w:r>
      <w:r w:rsidR="00E01DF8">
        <w:rPr>
          <w:rFonts w:asciiTheme="minorHAnsi" w:hAnsiTheme="minorHAnsi" w:cs="Arial"/>
          <w:sz w:val="24"/>
          <w:szCs w:val="24"/>
        </w:rPr>
        <w:t>lp explain text. The guides further</w:t>
      </w:r>
      <w:r w:rsidR="00D2074D" w:rsidRPr="00276790">
        <w:rPr>
          <w:rFonts w:asciiTheme="minorHAnsi" w:hAnsiTheme="minorHAnsi" w:cs="Arial"/>
          <w:sz w:val="24"/>
          <w:szCs w:val="24"/>
        </w:rPr>
        <w:t xml:space="preserve"> propose several formatting features, such as having plenty of blank space, using sans serif fonts (such as A</w:t>
      </w:r>
      <w:r w:rsidR="002445E1">
        <w:rPr>
          <w:rFonts w:asciiTheme="minorHAnsi" w:hAnsiTheme="minorHAnsi" w:cs="Arial"/>
          <w:sz w:val="24"/>
          <w:szCs w:val="24"/>
        </w:rPr>
        <w:t>rial or Verdana) and using high-</w:t>
      </w:r>
      <w:r w:rsidR="00D2074D" w:rsidRPr="00276790">
        <w:rPr>
          <w:rFonts w:asciiTheme="minorHAnsi" w:hAnsiTheme="minorHAnsi" w:cs="Arial"/>
          <w:sz w:val="24"/>
          <w:szCs w:val="24"/>
        </w:rPr>
        <w:t>contrast colours (such as black text on a white background).</w:t>
      </w:r>
    </w:p>
    <w:p w14:paraId="31DD35CF" w14:textId="717B60B1" w:rsidR="00A975DB" w:rsidRDefault="00112C09" w:rsidP="004D21FE">
      <w:pPr>
        <w:jc w:val="both"/>
        <w:rPr>
          <w:rFonts w:asciiTheme="minorHAnsi" w:hAnsiTheme="minorHAnsi" w:cs="Arial"/>
          <w:sz w:val="24"/>
          <w:szCs w:val="24"/>
        </w:rPr>
      </w:pPr>
      <w:r>
        <w:rPr>
          <w:rFonts w:asciiTheme="minorHAnsi" w:hAnsiTheme="minorHAnsi" w:cs="Arial"/>
          <w:sz w:val="24"/>
          <w:szCs w:val="24"/>
        </w:rPr>
        <w:t>R</w:t>
      </w:r>
      <w:r w:rsidR="005515CC" w:rsidRPr="00276790">
        <w:rPr>
          <w:rFonts w:asciiTheme="minorHAnsi" w:hAnsiTheme="minorHAnsi" w:cs="Arial"/>
          <w:sz w:val="24"/>
          <w:szCs w:val="24"/>
        </w:rPr>
        <w:t>esearch on the usefulness of Easy English for people with cognitive disabilities is limited</w:t>
      </w:r>
      <w:r w:rsidR="005515CC">
        <w:rPr>
          <w:rFonts w:asciiTheme="minorHAnsi" w:hAnsiTheme="minorHAnsi" w:cs="Arial"/>
          <w:sz w:val="24"/>
          <w:szCs w:val="24"/>
        </w:rPr>
        <w:t xml:space="preserve">, with several studies noting that </w:t>
      </w:r>
      <w:r w:rsidR="00DB2952">
        <w:rPr>
          <w:rFonts w:asciiTheme="minorHAnsi" w:hAnsiTheme="minorHAnsi" w:cs="Arial"/>
          <w:sz w:val="24"/>
          <w:szCs w:val="24"/>
        </w:rPr>
        <w:t xml:space="preserve">it is unclear whether </w:t>
      </w:r>
      <w:r w:rsidR="005515CC">
        <w:rPr>
          <w:rFonts w:asciiTheme="minorHAnsi" w:hAnsiTheme="minorHAnsi" w:cs="Arial"/>
          <w:sz w:val="24"/>
          <w:szCs w:val="24"/>
        </w:rPr>
        <w:t xml:space="preserve">most Easy English guides </w:t>
      </w:r>
      <w:r w:rsidR="006A6397">
        <w:rPr>
          <w:rFonts w:asciiTheme="minorHAnsi" w:hAnsiTheme="minorHAnsi" w:cs="Arial"/>
          <w:sz w:val="24"/>
          <w:szCs w:val="24"/>
        </w:rPr>
        <w:t xml:space="preserve">are </w:t>
      </w:r>
      <w:r w:rsidR="005515CC" w:rsidRPr="00276790">
        <w:rPr>
          <w:rFonts w:asciiTheme="minorHAnsi" w:hAnsiTheme="minorHAnsi" w:cs="Arial"/>
          <w:sz w:val="24"/>
          <w:szCs w:val="24"/>
        </w:rPr>
        <w:t xml:space="preserve">informed </w:t>
      </w:r>
      <w:r w:rsidR="005515CC" w:rsidRPr="00276790">
        <w:rPr>
          <w:rFonts w:asciiTheme="minorHAnsi" w:hAnsiTheme="minorHAnsi" w:cs="Arial"/>
          <w:sz w:val="24"/>
          <w:szCs w:val="24"/>
        </w:rPr>
        <w:lastRenderedPageBreak/>
        <w:t>by research.</w:t>
      </w:r>
      <w:r w:rsidR="005515CC" w:rsidRPr="00276790">
        <w:rPr>
          <w:rStyle w:val="FootnoteReference"/>
          <w:rFonts w:asciiTheme="minorHAnsi" w:hAnsiTheme="minorHAnsi" w:cs="Arial"/>
          <w:sz w:val="24"/>
          <w:szCs w:val="24"/>
        </w:rPr>
        <w:footnoteReference w:id="33"/>
      </w:r>
      <w:r w:rsidR="005515CC" w:rsidRPr="00276790">
        <w:rPr>
          <w:rFonts w:asciiTheme="minorHAnsi" w:hAnsiTheme="minorHAnsi" w:cs="Arial"/>
          <w:sz w:val="24"/>
          <w:szCs w:val="24"/>
        </w:rPr>
        <w:t xml:space="preserve"> </w:t>
      </w:r>
      <w:r w:rsidR="008A42E9">
        <w:rPr>
          <w:rFonts w:asciiTheme="minorHAnsi" w:hAnsiTheme="minorHAnsi" w:cs="Arial"/>
          <w:sz w:val="24"/>
          <w:szCs w:val="24"/>
        </w:rPr>
        <w:t>Some researchers</w:t>
      </w:r>
      <w:r w:rsidR="00EE0BAD">
        <w:rPr>
          <w:rFonts w:asciiTheme="minorHAnsi" w:hAnsiTheme="minorHAnsi" w:cs="Arial"/>
          <w:sz w:val="24"/>
          <w:szCs w:val="24"/>
        </w:rPr>
        <w:t xml:space="preserve"> have</w:t>
      </w:r>
      <w:r w:rsidR="002B0864" w:rsidRPr="00276790">
        <w:rPr>
          <w:rFonts w:asciiTheme="minorHAnsi" w:hAnsiTheme="minorHAnsi" w:cs="Arial"/>
          <w:sz w:val="24"/>
          <w:szCs w:val="24"/>
        </w:rPr>
        <w:t xml:space="preserve"> called for further </w:t>
      </w:r>
      <w:r w:rsidR="005D145E">
        <w:rPr>
          <w:rFonts w:asciiTheme="minorHAnsi" w:hAnsiTheme="minorHAnsi" w:cs="Arial"/>
          <w:sz w:val="24"/>
          <w:szCs w:val="24"/>
        </w:rPr>
        <w:t>work</w:t>
      </w:r>
      <w:r w:rsidR="002B0864" w:rsidRPr="00276790">
        <w:rPr>
          <w:rFonts w:asciiTheme="minorHAnsi" w:hAnsiTheme="minorHAnsi" w:cs="Arial"/>
          <w:sz w:val="24"/>
          <w:szCs w:val="24"/>
        </w:rPr>
        <w:t xml:space="preserve"> to improve the evidence base for Easy English,</w:t>
      </w:r>
      <w:r w:rsidR="0007467C">
        <w:rPr>
          <w:rFonts w:asciiTheme="minorHAnsi" w:hAnsiTheme="minorHAnsi" w:cs="Arial"/>
          <w:sz w:val="24"/>
          <w:szCs w:val="24"/>
        </w:rPr>
        <w:t xml:space="preserve"> although Anderson and her colleagues</w:t>
      </w:r>
      <w:r w:rsidR="002B0864" w:rsidRPr="00276790">
        <w:rPr>
          <w:rFonts w:asciiTheme="minorHAnsi" w:hAnsiTheme="minorHAnsi" w:cs="Arial"/>
          <w:sz w:val="24"/>
          <w:szCs w:val="24"/>
        </w:rPr>
        <w:t xml:space="preserve"> did conclude that existing research supported ‘material written in short clear sentences with information broken into smaller chunks’</w:t>
      </w:r>
      <w:r w:rsidR="001B434D">
        <w:rPr>
          <w:rFonts w:asciiTheme="minorHAnsi" w:hAnsiTheme="minorHAnsi" w:cs="Arial"/>
          <w:sz w:val="24"/>
          <w:szCs w:val="24"/>
        </w:rPr>
        <w:t xml:space="preserve"> as having</w:t>
      </w:r>
      <w:r w:rsidR="002B0864" w:rsidRPr="00276790">
        <w:rPr>
          <w:rFonts w:asciiTheme="minorHAnsi" w:hAnsiTheme="minorHAnsi" w:cs="Arial"/>
          <w:sz w:val="24"/>
          <w:szCs w:val="24"/>
        </w:rPr>
        <w:t xml:space="preserve"> a positive impact on understanding for people with </w:t>
      </w:r>
      <w:r w:rsidR="00364CD3">
        <w:rPr>
          <w:rFonts w:asciiTheme="minorHAnsi" w:hAnsiTheme="minorHAnsi" w:cs="Arial"/>
          <w:sz w:val="24"/>
          <w:szCs w:val="24"/>
        </w:rPr>
        <w:t>intellectual disability</w:t>
      </w:r>
      <w:r w:rsidR="002B0864" w:rsidRPr="00276790">
        <w:rPr>
          <w:rFonts w:asciiTheme="minorHAnsi" w:hAnsiTheme="minorHAnsi" w:cs="Arial"/>
          <w:sz w:val="24"/>
          <w:szCs w:val="24"/>
        </w:rPr>
        <w:t>.</w:t>
      </w:r>
      <w:r w:rsidR="002B0864" w:rsidRPr="00276790">
        <w:rPr>
          <w:rStyle w:val="FootnoteReference"/>
          <w:rFonts w:asciiTheme="minorHAnsi" w:hAnsiTheme="minorHAnsi" w:cs="Arial"/>
          <w:sz w:val="24"/>
          <w:szCs w:val="24"/>
        </w:rPr>
        <w:footnoteReference w:id="34"/>
      </w:r>
    </w:p>
    <w:p w14:paraId="42001DB3" w14:textId="0CA1789A" w:rsidR="00461E47" w:rsidRPr="00276790" w:rsidRDefault="00B408DB" w:rsidP="00461E47">
      <w:pPr>
        <w:spacing w:before="120" w:after="120"/>
        <w:jc w:val="both"/>
        <w:rPr>
          <w:rFonts w:asciiTheme="minorHAnsi" w:hAnsiTheme="minorHAnsi" w:cs="Arial"/>
          <w:sz w:val="24"/>
          <w:szCs w:val="24"/>
        </w:rPr>
      </w:pPr>
      <w:r>
        <w:rPr>
          <w:rFonts w:asciiTheme="minorHAnsi" w:hAnsiTheme="minorHAnsi" w:cs="Arial"/>
          <w:sz w:val="24"/>
          <w:szCs w:val="24"/>
        </w:rPr>
        <w:t>Research has also pointed to the</w:t>
      </w:r>
      <w:r w:rsidR="002445E1">
        <w:rPr>
          <w:rFonts w:asciiTheme="minorHAnsi" w:hAnsiTheme="minorHAnsi" w:cs="Arial"/>
          <w:sz w:val="24"/>
          <w:szCs w:val="24"/>
        </w:rPr>
        <w:t xml:space="preserve"> value of the</w:t>
      </w:r>
      <w:r>
        <w:rPr>
          <w:rFonts w:asciiTheme="minorHAnsi" w:hAnsiTheme="minorHAnsi" w:cs="Arial"/>
          <w:sz w:val="24"/>
          <w:szCs w:val="24"/>
        </w:rPr>
        <w:t xml:space="preserve"> Web Guidelines </w:t>
      </w:r>
      <w:r w:rsidR="00390568">
        <w:rPr>
          <w:rFonts w:asciiTheme="minorHAnsi" w:hAnsiTheme="minorHAnsi" w:cs="Arial"/>
          <w:sz w:val="24"/>
          <w:szCs w:val="24"/>
        </w:rPr>
        <w:t>to</w:t>
      </w:r>
      <w:r w:rsidR="002445E1">
        <w:rPr>
          <w:rFonts w:asciiTheme="minorHAnsi" w:hAnsiTheme="minorHAnsi" w:cs="Arial"/>
          <w:sz w:val="24"/>
          <w:szCs w:val="24"/>
        </w:rPr>
        <w:t xml:space="preserve"> inform improvements to</w:t>
      </w:r>
      <w:r>
        <w:rPr>
          <w:rFonts w:asciiTheme="minorHAnsi" w:hAnsiTheme="minorHAnsi" w:cs="Arial"/>
          <w:sz w:val="24"/>
          <w:szCs w:val="24"/>
        </w:rPr>
        <w:t xml:space="preserve"> the access</w:t>
      </w:r>
      <w:r w:rsidR="00FA5CA5">
        <w:rPr>
          <w:rFonts w:asciiTheme="minorHAnsi" w:hAnsiTheme="minorHAnsi" w:cs="Arial"/>
          <w:sz w:val="24"/>
          <w:szCs w:val="24"/>
        </w:rPr>
        <w:t>ibility of online information.</w:t>
      </w:r>
      <w:r w:rsidR="005E2F91" w:rsidRPr="00276790">
        <w:rPr>
          <w:rStyle w:val="FootnoteReference"/>
          <w:rFonts w:asciiTheme="minorHAnsi" w:hAnsiTheme="minorHAnsi" w:cs="Arial"/>
          <w:sz w:val="24"/>
          <w:szCs w:val="24"/>
        </w:rPr>
        <w:footnoteReference w:id="35"/>
      </w:r>
      <w:r w:rsidR="00FA5CA5">
        <w:rPr>
          <w:rFonts w:asciiTheme="minorHAnsi" w:hAnsiTheme="minorHAnsi" w:cs="Arial"/>
          <w:sz w:val="24"/>
          <w:szCs w:val="24"/>
        </w:rPr>
        <w:t xml:space="preserve"> For instance, guidelines 2.2 and 2.4 </w:t>
      </w:r>
      <w:r w:rsidR="00461E47" w:rsidRPr="00276790">
        <w:rPr>
          <w:rFonts w:asciiTheme="minorHAnsi" w:hAnsiTheme="minorHAnsi" w:cs="Arial"/>
          <w:sz w:val="24"/>
          <w:szCs w:val="24"/>
        </w:rPr>
        <w:t>require users be given ample time to use and navigate a webpage;</w:t>
      </w:r>
      <w:r w:rsidR="00FA5CA5">
        <w:rPr>
          <w:rFonts w:asciiTheme="minorHAnsi" w:hAnsiTheme="minorHAnsi" w:cs="Arial"/>
          <w:sz w:val="24"/>
          <w:szCs w:val="24"/>
        </w:rPr>
        <w:t xml:space="preserve"> guideline 3.1</w:t>
      </w:r>
      <w:r w:rsidR="00461E47" w:rsidRPr="00276790">
        <w:rPr>
          <w:rFonts w:asciiTheme="minorHAnsi" w:hAnsiTheme="minorHAnsi" w:cs="Arial"/>
          <w:sz w:val="24"/>
          <w:szCs w:val="24"/>
        </w:rPr>
        <w:t xml:space="preserve"> requires web content to be ‘readable and unde</w:t>
      </w:r>
      <w:r w:rsidR="00974B97">
        <w:rPr>
          <w:rFonts w:asciiTheme="minorHAnsi" w:hAnsiTheme="minorHAnsi" w:cs="Arial"/>
          <w:sz w:val="24"/>
          <w:szCs w:val="24"/>
        </w:rPr>
        <w:t xml:space="preserve">rstandable’; and guideline 3.2 </w:t>
      </w:r>
      <w:r w:rsidR="00461E47" w:rsidRPr="00276790">
        <w:rPr>
          <w:rFonts w:asciiTheme="minorHAnsi" w:hAnsiTheme="minorHAnsi" w:cs="Arial"/>
          <w:sz w:val="24"/>
          <w:szCs w:val="24"/>
        </w:rPr>
        <w:t>requires that ‘[w]</w:t>
      </w:r>
      <w:proofErr w:type="spellStart"/>
      <w:r w:rsidR="00461E47" w:rsidRPr="00276790">
        <w:rPr>
          <w:rFonts w:asciiTheme="minorHAnsi" w:hAnsiTheme="minorHAnsi" w:cs="Arial"/>
          <w:sz w:val="24"/>
          <w:szCs w:val="24"/>
        </w:rPr>
        <w:t>eb</w:t>
      </w:r>
      <w:proofErr w:type="spellEnd"/>
      <w:r w:rsidR="00461E47" w:rsidRPr="00276790">
        <w:rPr>
          <w:rFonts w:asciiTheme="minorHAnsi" w:hAnsiTheme="minorHAnsi" w:cs="Arial"/>
          <w:sz w:val="24"/>
          <w:szCs w:val="24"/>
        </w:rPr>
        <w:t xml:space="preserve"> pages appear and operate in predictable ways.’</w:t>
      </w:r>
      <w:r w:rsidR="00461E47" w:rsidRPr="00276790">
        <w:rPr>
          <w:rStyle w:val="FootnoteReference"/>
          <w:rFonts w:asciiTheme="minorHAnsi" w:hAnsiTheme="minorHAnsi" w:cs="Arial"/>
          <w:sz w:val="24"/>
          <w:szCs w:val="24"/>
        </w:rPr>
        <w:footnoteReference w:id="36"/>
      </w:r>
      <w:r w:rsidR="00461E47" w:rsidRPr="00276790">
        <w:rPr>
          <w:rFonts w:asciiTheme="minorHAnsi" w:hAnsiTheme="minorHAnsi" w:cs="Arial"/>
          <w:sz w:val="24"/>
          <w:szCs w:val="24"/>
        </w:rPr>
        <w:t xml:space="preserve"> </w:t>
      </w:r>
    </w:p>
    <w:p w14:paraId="68D89DEF" w14:textId="3E81C88E" w:rsidR="00EC76AC" w:rsidRPr="00A240AF" w:rsidRDefault="00362048" w:rsidP="00A240AF">
      <w:pPr>
        <w:spacing w:before="120" w:after="120"/>
        <w:jc w:val="both"/>
        <w:rPr>
          <w:rFonts w:asciiTheme="minorHAnsi" w:hAnsiTheme="minorHAnsi" w:cs="Arial"/>
          <w:sz w:val="24"/>
          <w:szCs w:val="24"/>
          <w:highlight w:val="yellow"/>
        </w:rPr>
      </w:pPr>
      <w:r>
        <w:rPr>
          <w:rFonts w:asciiTheme="minorHAnsi" w:hAnsiTheme="minorHAnsi" w:cs="Arial"/>
          <w:sz w:val="24"/>
          <w:szCs w:val="24"/>
        </w:rPr>
        <w:t xml:space="preserve">Finally, </w:t>
      </w:r>
      <w:r w:rsidR="005E2F91">
        <w:rPr>
          <w:rFonts w:asciiTheme="minorHAnsi" w:hAnsiTheme="minorHAnsi" w:cs="Arial"/>
          <w:sz w:val="24"/>
          <w:szCs w:val="24"/>
        </w:rPr>
        <w:t xml:space="preserve">a recent pilot study conducted by our research team </w:t>
      </w:r>
      <w:r w:rsidR="003A15DA" w:rsidRPr="0043669F">
        <w:rPr>
          <w:rFonts w:asciiTheme="minorHAnsi" w:hAnsiTheme="minorHAnsi" w:cs="Arial"/>
          <w:sz w:val="24"/>
          <w:szCs w:val="24"/>
        </w:rPr>
        <w:t>suggest</w:t>
      </w:r>
      <w:r>
        <w:rPr>
          <w:rFonts w:asciiTheme="minorHAnsi" w:hAnsiTheme="minorHAnsi" w:cs="Arial"/>
          <w:sz w:val="24"/>
          <w:szCs w:val="24"/>
        </w:rPr>
        <w:t>ed</w:t>
      </w:r>
      <w:r w:rsidR="003A15DA" w:rsidRPr="0043669F">
        <w:rPr>
          <w:rFonts w:asciiTheme="minorHAnsi" w:hAnsiTheme="minorHAnsi" w:cs="Arial"/>
          <w:sz w:val="24"/>
          <w:szCs w:val="24"/>
        </w:rPr>
        <w:t xml:space="preserve"> that </w:t>
      </w:r>
      <w:r w:rsidR="00097872" w:rsidRPr="0043669F">
        <w:rPr>
          <w:rFonts w:asciiTheme="minorHAnsi" w:hAnsiTheme="minorHAnsi" w:cs="Arial"/>
          <w:sz w:val="24"/>
          <w:szCs w:val="24"/>
        </w:rPr>
        <w:t>improving access to support for decision-making</w:t>
      </w:r>
      <w:r>
        <w:rPr>
          <w:rFonts w:asciiTheme="minorHAnsi" w:hAnsiTheme="minorHAnsi" w:cs="Arial"/>
          <w:sz w:val="24"/>
          <w:szCs w:val="24"/>
        </w:rPr>
        <w:t xml:space="preserve"> i</w:t>
      </w:r>
      <w:r w:rsidR="00097872" w:rsidRPr="0043669F">
        <w:rPr>
          <w:rFonts w:asciiTheme="minorHAnsi" w:hAnsiTheme="minorHAnsi" w:cs="Arial"/>
          <w:sz w:val="24"/>
          <w:szCs w:val="24"/>
        </w:rPr>
        <w:t>s important for some consumers with cognitive disabilities.</w:t>
      </w:r>
      <w:r w:rsidR="00A240AF">
        <w:rPr>
          <w:rFonts w:asciiTheme="minorHAnsi" w:hAnsiTheme="minorHAnsi" w:cs="Arial"/>
          <w:sz w:val="24"/>
          <w:szCs w:val="24"/>
        </w:rPr>
        <w:t xml:space="preserve"> </w:t>
      </w:r>
      <w:r>
        <w:rPr>
          <w:sz w:val="24"/>
          <w:szCs w:val="24"/>
          <w:lang w:val="en-US" w:eastAsia="ja-JP"/>
        </w:rPr>
        <w:t>That study</w:t>
      </w:r>
      <w:r>
        <w:rPr>
          <w:rFonts w:asciiTheme="minorHAnsi" w:hAnsiTheme="minorHAnsi" w:cs="Arial"/>
          <w:sz w:val="24"/>
          <w:szCs w:val="24"/>
        </w:rPr>
        <w:t xml:space="preserve"> entailed </w:t>
      </w:r>
      <w:r w:rsidRPr="00276790">
        <w:rPr>
          <w:rFonts w:asciiTheme="minorHAnsi" w:hAnsiTheme="minorHAnsi" w:cs="Arial"/>
          <w:sz w:val="24"/>
          <w:szCs w:val="24"/>
        </w:rPr>
        <w:t>interviews with nine people who self-identified as ‘experiencing challenges with their cognition or mental health’, as well as consumer lawyers and advocates and representatives from the insurance and banking sectors.</w:t>
      </w:r>
      <w:r w:rsidRPr="00276790">
        <w:rPr>
          <w:rStyle w:val="FootnoteReference"/>
          <w:rFonts w:asciiTheme="minorHAnsi" w:hAnsiTheme="minorHAnsi" w:cs="Arial"/>
          <w:sz w:val="24"/>
          <w:szCs w:val="24"/>
        </w:rPr>
        <w:footnoteReference w:id="37"/>
      </w:r>
      <w:r>
        <w:rPr>
          <w:sz w:val="24"/>
          <w:szCs w:val="24"/>
          <w:lang w:val="en-US" w:eastAsia="ja-JP"/>
        </w:rPr>
        <w:t xml:space="preserve"> </w:t>
      </w:r>
      <w:r w:rsidR="00376994">
        <w:rPr>
          <w:sz w:val="24"/>
          <w:szCs w:val="24"/>
          <w:lang w:val="en-US" w:eastAsia="ja-JP"/>
        </w:rPr>
        <w:t>The research i</w:t>
      </w:r>
      <w:r w:rsidRPr="00276790">
        <w:rPr>
          <w:sz w:val="24"/>
          <w:szCs w:val="24"/>
          <w:lang w:val="en-US" w:eastAsia="ja-JP"/>
        </w:rPr>
        <w:t>ndicated that consumers (and other stakeholders) saw a need for better</w:t>
      </w:r>
      <w:r w:rsidRPr="00276790">
        <w:rPr>
          <w:sz w:val="24"/>
          <w:szCs w:val="24"/>
        </w:rPr>
        <w:t xml:space="preserve"> support for decision-making, including support to interpret information, weigh up options</w:t>
      </w:r>
      <w:r>
        <w:rPr>
          <w:sz w:val="24"/>
          <w:szCs w:val="24"/>
        </w:rPr>
        <w:t>,</w:t>
      </w:r>
      <w:r w:rsidRPr="00276790">
        <w:rPr>
          <w:sz w:val="24"/>
          <w:szCs w:val="24"/>
        </w:rPr>
        <w:t xml:space="preserve"> make decisions and communicate</w:t>
      </w:r>
      <w:r w:rsidR="00B25ABB">
        <w:rPr>
          <w:sz w:val="24"/>
          <w:szCs w:val="24"/>
        </w:rPr>
        <w:t xml:space="preserve"> with suppliers, for instance</w:t>
      </w:r>
      <w:r w:rsidRPr="00276790">
        <w:rPr>
          <w:sz w:val="24"/>
          <w:szCs w:val="24"/>
        </w:rPr>
        <w:t xml:space="preserve"> where </w:t>
      </w:r>
      <w:r w:rsidR="00613CA3">
        <w:rPr>
          <w:sz w:val="24"/>
          <w:szCs w:val="24"/>
        </w:rPr>
        <w:t>consumers</w:t>
      </w:r>
      <w:r w:rsidRPr="00276790">
        <w:rPr>
          <w:sz w:val="24"/>
          <w:szCs w:val="24"/>
        </w:rPr>
        <w:t xml:space="preserve"> </w:t>
      </w:r>
      <w:r w:rsidR="00B25ABB">
        <w:rPr>
          <w:sz w:val="24"/>
          <w:szCs w:val="24"/>
        </w:rPr>
        <w:t>did not feel confident to do so</w:t>
      </w:r>
      <w:r w:rsidRPr="00276790">
        <w:rPr>
          <w:sz w:val="24"/>
          <w:szCs w:val="24"/>
        </w:rPr>
        <w:t>.</w:t>
      </w:r>
      <w:r w:rsidRPr="00276790">
        <w:rPr>
          <w:rStyle w:val="FootnoteReference"/>
          <w:sz w:val="24"/>
          <w:szCs w:val="24"/>
        </w:rPr>
        <w:footnoteReference w:id="38"/>
      </w:r>
    </w:p>
    <w:p w14:paraId="00CB0E94" w14:textId="674E8DBF" w:rsidR="00CA2C36" w:rsidRPr="00CA2C36" w:rsidRDefault="00FF72A6" w:rsidP="00702E8D">
      <w:pPr>
        <w:pStyle w:val="Heading1"/>
        <w:numPr>
          <w:ilvl w:val="0"/>
          <w:numId w:val="10"/>
        </w:numPr>
      </w:pPr>
      <w:r>
        <w:t>Analysis of providers’ websites</w:t>
      </w:r>
    </w:p>
    <w:p w14:paraId="79E617D4" w14:textId="59C743A6" w:rsidR="00275CE0" w:rsidRPr="00631144" w:rsidRDefault="006B53EE" w:rsidP="00014758">
      <w:pPr>
        <w:jc w:val="both"/>
        <w:rPr>
          <w:rFonts w:asciiTheme="minorHAnsi" w:hAnsiTheme="minorHAnsi" w:cstheme="minorBidi"/>
          <w:sz w:val="24"/>
          <w:szCs w:val="24"/>
        </w:rPr>
      </w:pPr>
      <w:r>
        <w:rPr>
          <w:rFonts w:asciiTheme="minorHAnsi" w:hAnsiTheme="minorHAnsi" w:cstheme="minorBidi"/>
          <w:sz w:val="24"/>
          <w:szCs w:val="24"/>
        </w:rPr>
        <w:t xml:space="preserve">In May 2018, </w:t>
      </w:r>
      <w:r w:rsidR="00390568">
        <w:rPr>
          <w:rFonts w:asciiTheme="minorHAnsi" w:hAnsiTheme="minorHAnsi" w:cstheme="minorBidi"/>
          <w:sz w:val="24"/>
          <w:szCs w:val="24"/>
        </w:rPr>
        <w:t>the research team</w:t>
      </w:r>
      <w:r w:rsidR="000F4A62" w:rsidRPr="00276790">
        <w:rPr>
          <w:rFonts w:asciiTheme="minorHAnsi" w:hAnsiTheme="minorHAnsi" w:cstheme="minorBidi"/>
          <w:sz w:val="24"/>
          <w:szCs w:val="24"/>
        </w:rPr>
        <w:t xml:space="preserve"> assessed the extent to which </w:t>
      </w:r>
      <w:r w:rsidR="000F4A62">
        <w:rPr>
          <w:rFonts w:asciiTheme="minorHAnsi" w:hAnsiTheme="minorHAnsi" w:cstheme="minorBidi"/>
          <w:sz w:val="24"/>
          <w:szCs w:val="24"/>
        </w:rPr>
        <w:t xml:space="preserve">nine </w:t>
      </w:r>
      <w:r w:rsidR="000F4A62" w:rsidRPr="00276790">
        <w:rPr>
          <w:rFonts w:asciiTheme="minorHAnsi" w:hAnsiTheme="minorHAnsi" w:cstheme="minorBidi"/>
          <w:sz w:val="24"/>
          <w:szCs w:val="24"/>
        </w:rPr>
        <w:t xml:space="preserve">telecommunications suppliers’ online information and sales materials </w:t>
      </w:r>
      <w:r w:rsidR="000F4A62" w:rsidRPr="00276790">
        <w:rPr>
          <w:rFonts w:asciiTheme="minorHAnsi" w:hAnsiTheme="minorHAnsi" w:cstheme="minorHAnsi"/>
        </w:rPr>
        <w:t xml:space="preserve">about </w:t>
      </w:r>
      <w:r w:rsidR="000F4A62">
        <w:rPr>
          <w:rFonts w:asciiTheme="minorHAnsi" w:hAnsiTheme="minorHAnsi" w:cstheme="minorHAnsi"/>
          <w:sz w:val="24"/>
          <w:szCs w:val="24"/>
        </w:rPr>
        <w:t xml:space="preserve">mobile, tablet, home phone and internet services </w:t>
      </w:r>
      <w:r w:rsidR="000F4A62" w:rsidRPr="00276790">
        <w:rPr>
          <w:rFonts w:asciiTheme="minorHAnsi" w:hAnsiTheme="minorHAnsi" w:cstheme="minorBidi"/>
          <w:sz w:val="24"/>
          <w:szCs w:val="24"/>
        </w:rPr>
        <w:t>met the requirements of consumers with cognitive</w:t>
      </w:r>
      <w:r w:rsidR="000F4A62">
        <w:rPr>
          <w:rFonts w:asciiTheme="minorHAnsi" w:hAnsiTheme="minorHAnsi" w:cstheme="minorBidi"/>
          <w:sz w:val="24"/>
          <w:szCs w:val="24"/>
        </w:rPr>
        <w:t xml:space="preserve"> disabilities</w:t>
      </w:r>
      <w:r w:rsidR="000F4A62" w:rsidRPr="00AA6363">
        <w:rPr>
          <w:rFonts w:asciiTheme="minorHAnsi" w:hAnsiTheme="minorHAnsi" w:cstheme="minorBidi"/>
          <w:sz w:val="24"/>
          <w:szCs w:val="24"/>
        </w:rPr>
        <w:t xml:space="preserve">. The purpose of the analysis was to survey the general state of play in the industry (not ‘name and shame’ suppliers) and develop detailed, practical recommendations for suppliers to make their information more accessible for consumers with cognitive disabilities. </w:t>
      </w:r>
      <w:r w:rsidR="00390568">
        <w:rPr>
          <w:rFonts w:asciiTheme="minorHAnsi" w:hAnsiTheme="minorHAnsi" w:cstheme="minorBidi"/>
          <w:sz w:val="24"/>
          <w:szCs w:val="24"/>
        </w:rPr>
        <w:t>The team</w:t>
      </w:r>
      <w:r w:rsidR="00AA6363" w:rsidRPr="00AA6363">
        <w:rPr>
          <w:rFonts w:asciiTheme="minorHAnsi" w:hAnsiTheme="minorHAnsi" w:cstheme="minorBidi"/>
          <w:sz w:val="24"/>
          <w:szCs w:val="24"/>
        </w:rPr>
        <w:t xml:space="preserve"> focused on </w:t>
      </w:r>
      <w:r w:rsidR="00AA6363" w:rsidRPr="00AA6363">
        <w:rPr>
          <w:rFonts w:asciiTheme="minorHAnsi" w:hAnsiTheme="minorHAnsi" w:cstheme="minorBidi"/>
          <w:sz w:val="24"/>
          <w:szCs w:val="24"/>
        </w:rPr>
        <w:lastRenderedPageBreak/>
        <w:t xml:space="preserve">five service types: </w:t>
      </w:r>
      <w:proofErr w:type="spellStart"/>
      <w:r w:rsidR="00AA6363" w:rsidRPr="00AA6363">
        <w:rPr>
          <w:rFonts w:asciiTheme="minorHAnsi" w:hAnsiTheme="minorHAnsi" w:cstheme="minorBidi"/>
          <w:sz w:val="24"/>
          <w:szCs w:val="24"/>
        </w:rPr>
        <w:t>postpaid</w:t>
      </w:r>
      <w:proofErr w:type="spellEnd"/>
      <w:r w:rsidR="00AA6363" w:rsidRPr="00AA6363">
        <w:rPr>
          <w:rFonts w:asciiTheme="minorHAnsi" w:hAnsiTheme="minorHAnsi" w:cstheme="minorBidi"/>
          <w:sz w:val="24"/>
          <w:szCs w:val="24"/>
        </w:rPr>
        <w:t xml:space="preserve"> mobile, prepaid mobile, </w:t>
      </w:r>
      <w:proofErr w:type="spellStart"/>
      <w:r w:rsidR="00AA6363" w:rsidRPr="00AA6363">
        <w:rPr>
          <w:rFonts w:asciiTheme="minorHAnsi" w:hAnsiTheme="minorHAnsi" w:cstheme="minorBidi"/>
          <w:sz w:val="24"/>
          <w:szCs w:val="24"/>
        </w:rPr>
        <w:t>postpaid</w:t>
      </w:r>
      <w:proofErr w:type="spellEnd"/>
      <w:r w:rsidR="00AA6363" w:rsidRPr="00AA6363">
        <w:rPr>
          <w:rFonts w:asciiTheme="minorHAnsi" w:hAnsiTheme="minorHAnsi" w:cstheme="minorBidi"/>
          <w:sz w:val="24"/>
          <w:szCs w:val="24"/>
        </w:rPr>
        <w:t xml:space="preserve"> tablet, home internet and home phone. </w:t>
      </w:r>
      <w:r w:rsidR="00390568">
        <w:rPr>
          <w:rFonts w:asciiTheme="minorHAnsi" w:hAnsiTheme="minorHAnsi" w:cstheme="minorBidi"/>
          <w:sz w:val="24"/>
          <w:szCs w:val="24"/>
        </w:rPr>
        <w:t>The websites of</w:t>
      </w:r>
      <w:r w:rsidR="000F4A62" w:rsidRPr="00AA6363">
        <w:rPr>
          <w:rFonts w:asciiTheme="minorHAnsi" w:hAnsiTheme="minorHAnsi" w:cstheme="minorBidi"/>
          <w:sz w:val="24"/>
          <w:szCs w:val="24"/>
        </w:rPr>
        <w:t xml:space="preserve"> Telstra, Optus and Vodafon</w:t>
      </w:r>
      <w:r w:rsidR="0076376D">
        <w:rPr>
          <w:rFonts w:asciiTheme="minorHAnsi" w:hAnsiTheme="minorHAnsi" w:cstheme="minorBidi"/>
          <w:sz w:val="24"/>
          <w:szCs w:val="24"/>
        </w:rPr>
        <w:t>e</w:t>
      </w:r>
      <w:r w:rsidR="00390568">
        <w:rPr>
          <w:rFonts w:asciiTheme="minorHAnsi" w:hAnsiTheme="minorHAnsi" w:cstheme="minorBidi"/>
          <w:sz w:val="24"/>
          <w:szCs w:val="24"/>
        </w:rPr>
        <w:t xml:space="preserve"> </w:t>
      </w:r>
      <w:r w:rsidR="000F4A62" w:rsidRPr="00AA6363">
        <w:rPr>
          <w:rFonts w:asciiTheme="minorHAnsi" w:hAnsiTheme="minorHAnsi" w:cstheme="minorBidi"/>
          <w:sz w:val="24"/>
          <w:szCs w:val="24"/>
        </w:rPr>
        <w:t>were analysed for each type of service, alongside two smaller suppliers</w:t>
      </w:r>
      <w:r w:rsidR="000B5FC5">
        <w:rPr>
          <w:rFonts w:asciiTheme="minorHAnsi" w:hAnsiTheme="minorHAnsi" w:cstheme="minorBidi"/>
          <w:sz w:val="24"/>
          <w:szCs w:val="24"/>
        </w:rPr>
        <w:t>, the selection of</w:t>
      </w:r>
      <w:r w:rsidR="000F4A62" w:rsidRPr="00AA6363">
        <w:rPr>
          <w:rFonts w:asciiTheme="minorHAnsi" w:hAnsiTheme="minorHAnsi" w:cstheme="minorBidi"/>
          <w:sz w:val="24"/>
          <w:szCs w:val="24"/>
        </w:rPr>
        <w:t xml:space="preserve"> which differed </w:t>
      </w:r>
      <w:r w:rsidR="000B5FC5">
        <w:rPr>
          <w:rFonts w:asciiTheme="minorHAnsi" w:hAnsiTheme="minorHAnsi" w:cstheme="minorBidi"/>
          <w:sz w:val="24"/>
          <w:szCs w:val="24"/>
        </w:rPr>
        <w:t>for each</w:t>
      </w:r>
      <w:r w:rsidR="000F4A62" w:rsidRPr="00AA6363">
        <w:rPr>
          <w:rFonts w:asciiTheme="minorHAnsi" w:hAnsiTheme="minorHAnsi" w:cstheme="minorBidi"/>
          <w:sz w:val="24"/>
          <w:szCs w:val="24"/>
        </w:rPr>
        <w:t xml:space="preserve"> service type.</w:t>
      </w:r>
      <w:r w:rsidR="00014758">
        <w:rPr>
          <w:rFonts w:asciiTheme="minorHAnsi" w:hAnsiTheme="minorHAnsi" w:cstheme="minorBidi"/>
          <w:sz w:val="24"/>
          <w:szCs w:val="24"/>
        </w:rPr>
        <w:t xml:space="preserve"> The other suppliers </w:t>
      </w:r>
      <w:r w:rsidR="00014758" w:rsidRPr="00014758">
        <w:rPr>
          <w:rFonts w:asciiTheme="minorHAnsi" w:hAnsiTheme="minorHAnsi" w:cstheme="minorBidi"/>
          <w:sz w:val="24"/>
          <w:szCs w:val="24"/>
        </w:rPr>
        <w:t>were Amaysim, Boost, Dodo, iiNet, Kogan and TPG.</w:t>
      </w:r>
    </w:p>
    <w:p w14:paraId="4709A6E9" w14:textId="5B720E07" w:rsidR="00A7693F" w:rsidRPr="00A7693F" w:rsidRDefault="00A7693F" w:rsidP="00A7693F">
      <w:pPr>
        <w:jc w:val="both"/>
        <w:rPr>
          <w:rFonts w:asciiTheme="minorHAnsi" w:hAnsiTheme="minorHAnsi" w:cstheme="minorHAnsi"/>
          <w:sz w:val="24"/>
          <w:szCs w:val="24"/>
        </w:rPr>
      </w:pPr>
      <w:r w:rsidRPr="00276790">
        <w:rPr>
          <w:rFonts w:asciiTheme="minorHAnsi" w:hAnsiTheme="minorHAnsi" w:cstheme="minorBidi"/>
          <w:sz w:val="24"/>
          <w:szCs w:val="24"/>
        </w:rPr>
        <w:t xml:space="preserve">For each website, </w:t>
      </w:r>
      <w:r w:rsidR="00390568">
        <w:rPr>
          <w:rFonts w:asciiTheme="minorHAnsi" w:hAnsiTheme="minorHAnsi" w:cstheme="minorBidi"/>
          <w:sz w:val="24"/>
          <w:szCs w:val="24"/>
        </w:rPr>
        <w:t>the researchers</w:t>
      </w:r>
      <w:r w:rsidRPr="00276790">
        <w:rPr>
          <w:rFonts w:asciiTheme="minorHAnsi" w:hAnsiTheme="minorHAnsi" w:cstheme="minorBidi"/>
          <w:sz w:val="24"/>
          <w:szCs w:val="24"/>
        </w:rPr>
        <w:t xml:space="preserve"> mimicked the process of browsing and selecting a service from the perspective of a </w:t>
      </w:r>
      <w:r w:rsidR="002445E1">
        <w:rPr>
          <w:rFonts w:asciiTheme="minorHAnsi" w:hAnsiTheme="minorHAnsi" w:cstheme="minorBidi"/>
          <w:sz w:val="24"/>
          <w:szCs w:val="24"/>
        </w:rPr>
        <w:t>consumer</w:t>
      </w:r>
      <w:r w:rsidRPr="00276790">
        <w:rPr>
          <w:rFonts w:asciiTheme="minorHAnsi" w:hAnsiTheme="minorHAnsi" w:cstheme="minorBidi"/>
          <w:sz w:val="24"/>
          <w:szCs w:val="24"/>
        </w:rPr>
        <w:t xml:space="preserve"> who has no previous experience of purchasing that type of service. </w:t>
      </w:r>
      <w:r w:rsidR="008E71DD">
        <w:rPr>
          <w:rFonts w:asciiTheme="minorHAnsi" w:hAnsiTheme="minorHAnsi" w:cstheme="minorHAnsi"/>
          <w:sz w:val="24"/>
          <w:szCs w:val="24"/>
        </w:rPr>
        <w:t xml:space="preserve">The assessment </w:t>
      </w:r>
      <w:r>
        <w:rPr>
          <w:rFonts w:asciiTheme="minorHAnsi" w:hAnsiTheme="minorHAnsi" w:cstheme="minorHAnsi"/>
          <w:sz w:val="24"/>
          <w:szCs w:val="24"/>
        </w:rPr>
        <w:t>was guided by the requirements in the</w:t>
      </w:r>
      <w:r w:rsidRPr="00276790">
        <w:rPr>
          <w:rFonts w:asciiTheme="minorHAnsi" w:hAnsiTheme="minorHAnsi" w:cstheme="minorHAnsi"/>
          <w:sz w:val="24"/>
          <w:szCs w:val="24"/>
        </w:rPr>
        <w:t xml:space="preserve"> Telecommunications Code</w:t>
      </w:r>
      <w:r>
        <w:rPr>
          <w:rFonts w:asciiTheme="minorHAnsi" w:hAnsiTheme="minorHAnsi" w:cstheme="minorHAnsi"/>
          <w:sz w:val="24"/>
          <w:szCs w:val="24"/>
        </w:rPr>
        <w:t xml:space="preserve">, the Convention, the </w:t>
      </w:r>
      <w:r w:rsidRPr="00276790">
        <w:rPr>
          <w:rFonts w:asciiTheme="minorHAnsi" w:hAnsiTheme="minorHAnsi" w:cstheme="minorHAnsi"/>
          <w:sz w:val="24"/>
          <w:szCs w:val="24"/>
        </w:rPr>
        <w:t>Web Guidelines</w:t>
      </w:r>
      <w:r>
        <w:rPr>
          <w:rFonts w:asciiTheme="minorHAnsi" w:hAnsiTheme="minorHAnsi" w:cstheme="minorHAnsi"/>
          <w:sz w:val="24"/>
          <w:szCs w:val="24"/>
        </w:rPr>
        <w:t>, and insights from the existing research literature on accessibility and support measures for consumers with cognitive disabilities.</w:t>
      </w:r>
      <w:r w:rsidRPr="00A7693F">
        <w:rPr>
          <w:rStyle w:val="FootnoteReference"/>
          <w:rFonts w:asciiTheme="minorHAnsi" w:hAnsiTheme="minorHAnsi" w:cstheme="minorBidi"/>
          <w:sz w:val="24"/>
          <w:szCs w:val="24"/>
        </w:rPr>
        <w:t xml:space="preserve"> </w:t>
      </w:r>
    </w:p>
    <w:p w14:paraId="08E14AF2" w14:textId="658ADB7F" w:rsidR="002F6E29" w:rsidRDefault="00EE4341" w:rsidP="004A0F8B">
      <w:pPr>
        <w:pStyle w:val="Heading2"/>
        <w:numPr>
          <w:ilvl w:val="1"/>
          <w:numId w:val="13"/>
        </w:numPr>
      </w:pPr>
      <w:r>
        <w:t>Positive features of existing websites</w:t>
      </w:r>
    </w:p>
    <w:p w14:paraId="49F2E320" w14:textId="3C151682" w:rsidR="009C7CB3" w:rsidRPr="00276790" w:rsidRDefault="00DF10C6" w:rsidP="009C7CB3">
      <w:pPr>
        <w:jc w:val="both"/>
        <w:rPr>
          <w:rFonts w:asciiTheme="minorHAnsi" w:hAnsiTheme="minorHAnsi" w:cstheme="minorBidi"/>
          <w:sz w:val="24"/>
          <w:szCs w:val="24"/>
        </w:rPr>
      </w:pPr>
      <w:r>
        <w:rPr>
          <w:rFonts w:asciiTheme="minorHAnsi" w:hAnsiTheme="minorHAnsi" w:cstheme="minorBidi"/>
          <w:sz w:val="24"/>
          <w:szCs w:val="24"/>
        </w:rPr>
        <w:t>Some</w:t>
      </w:r>
      <w:r w:rsidR="009C7CB3" w:rsidRPr="00276790">
        <w:rPr>
          <w:rFonts w:asciiTheme="minorHAnsi" w:hAnsiTheme="minorHAnsi" w:cstheme="minorBidi"/>
          <w:sz w:val="24"/>
          <w:szCs w:val="24"/>
        </w:rPr>
        <w:t xml:space="preserve"> suppliers’ websites had s</w:t>
      </w:r>
      <w:r w:rsidR="00390568">
        <w:rPr>
          <w:rFonts w:asciiTheme="minorHAnsi" w:hAnsiTheme="minorHAnsi" w:cstheme="minorBidi"/>
          <w:sz w:val="24"/>
          <w:szCs w:val="24"/>
        </w:rPr>
        <w:t>everal</w:t>
      </w:r>
      <w:r w:rsidR="009C7CB3" w:rsidRPr="00276790">
        <w:rPr>
          <w:rFonts w:asciiTheme="minorHAnsi" w:hAnsiTheme="minorHAnsi" w:cstheme="minorBidi"/>
          <w:sz w:val="24"/>
          <w:szCs w:val="24"/>
        </w:rPr>
        <w:t xml:space="preserve"> positive measures already in place. These elements are likely to facilitate access to information and the contracting process for </w:t>
      </w:r>
      <w:r w:rsidR="00613CA3">
        <w:rPr>
          <w:rFonts w:asciiTheme="minorHAnsi" w:hAnsiTheme="minorHAnsi" w:cstheme="minorBidi"/>
          <w:sz w:val="24"/>
          <w:szCs w:val="24"/>
        </w:rPr>
        <w:t>consumers</w:t>
      </w:r>
      <w:r w:rsidR="009C7CB3" w:rsidRPr="00276790">
        <w:rPr>
          <w:rFonts w:asciiTheme="minorHAnsi" w:hAnsiTheme="minorHAnsi" w:cstheme="minorBidi"/>
          <w:sz w:val="24"/>
          <w:szCs w:val="24"/>
        </w:rPr>
        <w:t xml:space="preserve"> with cognitive disabilities and signify a level of compliance with the Telecommunications Code and </w:t>
      </w:r>
      <w:r w:rsidR="009C7CB3">
        <w:rPr>
          <w:rFonts w:asciiTheme="minorHAnsi" w:hAnsiTheme="minorHAnsi" w:cstheme="minorBidi"/>
          <w:sz w:val="24"/>
          <w:szCs w:val="24"/>
        </w:rPr>
        <w:t xml:space="preserve">other </w:t>
      </w:r>
      <w:r w:rsidR="009C7CB3" w:rsidRPr="00276790">
        <w:rPr>
          <w:rFonts w:asciiTheme="minorHAnsi" w:hAnsiTheme="minorHAnsi" w:cstheme="minorBidi"/>
          <w:sz w:val="24"/>
          <w:szCs w:val="24"/>
        </w:rPr>
        <w:t>accessibility requirements. Positive features found on one or more websites included:</w:t>
      </w:r>
    </w:p>
    <w:p w14:paraId="06002EFA" w14:textId="77777777" w:rsidR="009C7CB3" w:rsidRPr="00276790" w:rsidRDefault="009C7CB3"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Webpages that are easy-to-navigate, meaning:</w:t>
      </w:r>
    </w:p>
    <w:p w14:paraId="5016D2F5" w14:textId="551A93E2" w:rsidR="009C7CB3" w:rsidRPr="00276790" w:rsidRDefault="009C7CB3" w:rsidP="00BC1A54">
      <w:pPr>
        <w:pStyle w:val="ListParagraph"/>
        <w:numPr>
          <w:ilvl w:val="1"/>
          <w:numId w:val="2"/>
        </w:numPr>
        <w:spacing w:after="160" w:line="276" w:lineRule="auto"/>
        <w:ind w:left="709" w:hanging="283"/>
        <w:jc w:val="both"/>
        <w:rPr>
          <w:rFonts w:asciiTheme="minorHAnsi" w:hAnsiTheme="minorHAnsi" w:cstheme="minorBidi"/>
        </w:rPr>
      </w:pPr>
      <w:r w:rsidRPr="00276790">
        <w:rPr>
          <w:rFonts w:asciiTheme="minorHAnsi" w:hAnsiTheme="minorHAnsi" w:cstheme="minorBidi"/>
        </w:rPr>
        <w:t xml:space="preserve">Links are clearly marked and lead to logical places; </w:t>
      </w:r>
      <w:r w:rsidR="000B5FC5">
        <w:rPr>
          <w:rFonts w:asciiTheme="minorHAnsi" w:hAnsiTheme="minorHAnsi" w:cstheme="minorBidi"/>
        </w:rPr>
        <w:t>and</w:t>
      </w:r>
    </w:p>
    <w:p w14:paraId="16A7EC4E" w14:textId="749ED135" w:rsidR="009C7CB3" w:rsidRPr="00276790" w:rsidRDefault="009C7CB3" w:rsidP="00BC1A54">
      <w:pPr>
        <w:pStyle w:val="ListParagraph"/>
        <w:numPr>
          <w:ilvl w:val="1"/>
          <w:numId w:val="2"/>
        </w:numPr>
        <w:spacing w:after="160" w:line="276" w:lineRule="auto"/>
        <w:ind w:left="709" w:hanging="283"/>
        <w:jc w:val="both"/>
        <w:rPr>
          <w:rFonts w:asciiTheme="minorHAnsi" w:hAnsiTheme="minorHAnsi" w:cstheme="minorBidi"/>
        </w:rPr>
      </w:pPr>
      <w:r w:rsidRPr="00276790">
        <w:rPr>
          <w:rFonts w:asciiTheme="minorHAnsi" w:hAnsiTheme="minorHAnsi" w:cstheme="minorBidi"/>
        </w:rPr>
        <w:t xml:space="preserve">The </w:t>
      </w:r>
      <w:r w:rsidR="002445E1">
        <w:rPr>
          <w:rFonts w:asciiTheme="minorHAnsi" w:hAnsiTheme="minorHAnsi" w:cstheme="minorBidi"/>
        </w:rPr>
        <w:t>consumer</w:t>
      </w:r>
      <w:r w:rsidRPr="00276790">
        <w:rPr>
          <w:rFonts w:asciiTheme="minorHAnsi" w:hAnsiTheme="minorHAnsi" w:cstheme="minorBidi"/>
        </w:rPr>
        <w:t xml:space="preserve"> does not need to click or scroll across or down too many times to find information. </w:t>
      </w:r>
    </w:p>
    <w:p w14:paraId="696F38FD" w14:textId="77777777" w:rsidR="009C7CB3" w:rsidRPr="00276790" w:rsidRDefault="009C7CB3"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Webpages that are designed for clarity and readability, meaning:</w:t>
      </w:r>
    </w:p>
    <w:p w14:paraId="6AEA4110" w14:textId="77777777" w:rsidR="009C7CB3" w:rsidRPr="00276790" w:rsidRDefault="009C7CB3" w:rsidP="00BC1A54">
      <w:pPr>
        <w:pStyle w:val="ListParagraph"/>
        <w:numPr>
          <w:ilvl w:val="1"/>
          <w:numId w:val="2"/>
        </w:numPr>
        <w:spacing w:after="160" w:line="276" w:lineRule="auto"/>
        <w:ind w:left="709" w:hanging="283"/>
        <w:jc w:val="both"/>
        <w:rPr>
          <w:rFonts w:asciiTheme="minorHAnsi" w:hAnsiTheme="minorHAnsi" w:cstheme="minorBidi"/>
        </w:rPr>
      </w:pPr>
      <w:r w:rsidRPr="00276790">
        <w:rPr>
          <w:rFonts w:asciiTheme="minorHAnsi" w:hAnsiTheme="minorHAnsi" w:cstheme="minorBidi"/>
        </w:rPr>
        <w:t>There is lots of white/empty space, and limited information per page;</w:t>
      </w:r>
    </w:p>
    <w:p w14:paraId="37CEE605" w14:textId="77777777" w:rsidR="009C7CB3" w:rsidRPr="00276790" w:rsidRDefault="009C7CB3" w:rsidP="00BC1A54">
      <w:pPr>
        <w:pStyle w:val="ListParagraph"/>
        <w:numPr>
          <w:ilvl w:val="1"/>
          <w:numId w:val="2"/>
        </w:numPr>
        <w:spacing w:after="160" w:line="276" w:lineRule="auto"/>
        <w:ind w:left="709" w:hanging="283"/>
        <w:jc w:val="both"/>
        <w:rPr>
          <w:rFonts w:asciiTheme="minorHAnsi" w:hAnsiTheme="minorHAnsi" w:cstheme="minorBidi"/>
        </w:rPr>
      </w:pPr>
      <w:r w:rsidRPr="00276790">
        <w:rPr>
          <w:rFonts w:asciiTheme="minorHAnsi" w:hAnsiTheme="minorHAnsi" w:cstheme="minorBidi"/>
        </w:rPr>
        <w:t>Text is presented in high contrast for better readability;</w:t>
      </w:r>
    </w:p>
    <w:p w14:paraId="175B142D" w14:textId="0A657630" w:rsidR="009C7CB3" w:rsidRPr="00276790" w:rsidRDefault="009C7CB3" w:rsidP="00BC1A54">
      <w:pPr>
        <w:pStyle w:val="ListParagraph"/>
        <w:numPr>
          <w:ilvl w:val="1"/>
          <w:numId w:val="2"/>
        </w:numPr>
        <w:spacing w:after="160" w:line="276" w:lineRule="auto"/>
        <w:ind w:left="709" w:hanging="283"/>
        <w:jc w:val="both"/>
        <w:rPr>
          <w:rFonts w:asciiTheme="minorHAnsi" w:hAnsiTheme="minorHAnsi" w:cstheme="minorBidi"/>
        </w:rPr>
      </w:pPr>
      <w:r w:rsidRPr="00276790">
        <w:rPr>
          <w:rFonts w:asciiTheme="minorHAnsi" w:hAnsiTheme="minorHAnsi" w:cstheme="minorBidi"/>
        </w:rPr>
        <w:t>Key information is easy to find, because it is presented in large, bold, high co</w:t>
      </w:r>
      <w:r w:rsidR="000B5FC5">
        <w:rPr>
          <w:rFonts w:asciiTheme="minorHAnsi" w:hAnsiTheme="minorHAnsi" w:cstheme="minorBidi"/>
        </w:rPr>
        <w:t>ntrast fonts; and</w:t>
      </w:r>
    </w:p>
    <w:p w14:paraId="1C21CB55" w14:textId="77777777" w:rsidR="009C7CB3" w:rsidRPr="00276790" w:rsidRDefault="009C7CB3" w:rsidP="00BC1A54">
      <w:pPr>
        <w:pStyle w:val="ListParagraph"/>
        <w:numPr>
          <w:ilvl w:val="1"/>
          <w:numId w:val="2"/>
        </w:numPr>
        <w:spacing w:after="160" w:line="276" w:lineRule="auto"/>
        <w:ind w:left="709" w:hanging="283"/>
        <w:jc w:val="both"/>
        <w:rPr>
          <w:rFonts w:asciiTheme="minorHAnsi" w:hAnsiTheme="minorHAnsi" w:cstheme="minorBidi"/>
        </w:rPr>
      </w:pPr>
      <w:r w:rsidRPr="00276790">
        <w:rPr>
          <w:rFonts w:asciiTheme="minorHAnsi" w:hAnsiTheme="minorHAnsi" w:cstheme="minorBidi"/>
        </w:rPr>
        <w:t>Information is presented in short sentences, with one idea per sentence.</w:t>
      </w:r>
    </w:p>
    <w:p w14:paraId="37E6CD2A" w14:textId="77777777" w:rsidR="009C7CB3" w:rsidRPr="00276790" w:rsidRDefault="009C7CB3"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Low-cost plans that are easy to find and access.</w:t>
      </w:r>
    </w:p>
    <w:p w14:paraId="023317DE" w14:textId="77777777" w:rsidR="009C7CB3" w:rsidRPr="00276790" w:rsidRDefault="009C7CB3"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Key information (such as total cost, included data, SMS and calls and/or download speeds) that is easy to compare through tables.</w:t>
      </w:r>
    </w:p>
    <w:p w14:paraId="65BBA62E" w14:textId="73D0E405" w:rsidR="009C7CB3" w:rsidRPr="00276790" w:rsidRDefault="009C7CB3"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Provision of a short summary of different options, without jargon. This summary does not necessarily replace more detailed information but can be a useful complement to it.</w:t>
      </w:r>
    </w:p>
    <w:p w14:paraId="46C56C90" w14:textId="1FDA9CED" w:rsidR="009C7CB3" w:rsidRPr="004A0F8B" w:rsidRDefault="009C7CB3" w:rsidP="004A0F8B">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Availability of live chat for asking pre-purchase questions in real-time or getting other assistance with the browsing and selection process.</w:t>
      </w:r>
      <w:r w:rsidRPr="004A0F8B">
        <w:rPr>
          <w:rFonts w:asciiTheme="minorHAnsi" w:hAnsiTheme="minorHAnsi" w:cstheme="minorHAnsi"/>
        </w:rPr>
        <w:tab/>
      </w:r>
    </w:p>
    <w:p w14:paraId="77FC079E" w14:textId="0F2C9C71" w:rsidR="009C7CB3" w:rsidRPr="00432716" w:rsidRDefault="009C7CB3" w:rsidP="00432716">
      <w:pPr>
        <w:pStyle w:val="ListParagraph"/>
        <w:numPr>
          <w:ilvl w:val="0"/>
          <w:numId w:val="2"/>
        </w:numPr>
        <w:spacing w:after="160" w:line="276" w:lineRule="auto"/>
        <w:jc w:val="both"/>
        <w:rPr>
          <w:rFonts w:asciiTheme="minorHAnsi" w:hAnsiTheme="minorHAnsi" w:cstheme="minorBidi"/>
        </w:rPr>
      </w:pPr>
      <w:r w:rsidRPr="009C7CB3">
        <w:rPr>
          <w:rFonts w:asciiTheme="minorHAnsi" w:hAnsiTheme="minorHAnsi" w:cstheme="minorBidi"/>
        </w:rPr>
        <w:t>Clear listing of relevant contact number(s) for further information or assistance prior to finalising a purchase.</w:t>
      </w:r>
      <w:r w:rsidRPr="00432716">
        <w:rPr>
          <w:rFonts w:asciiTheme="minorHAnsi" w:hAnsiTheme="minorHAnsi" w:cstheme="minorBidi"/>
        </w:rPr>
        <w:tab/>
      </w:r>
    </w:p>
    <w:p w14:paraId="68FAD00E" w14:textId="0FD1819C" w:rsidR="00EE4341" w:rsidRPr="00EE4341" w:rsidRDefault="00EE4341" w:rsidP="004A0F8B">
      <w:pPr>
        <w:pStyle w:val="Heading2"/>
        <w:numPr>
          <w:ilvl w:val="1"/>
          <w:numId w:val="13"/>
        </w:numPr>
      </w:pPr>
      <w:r>
        <w:t>Website features in need of improvement</w:t>
      </w:r>
    </w:p>
    <w:p w14:paraId="05B48600" w14:textId="100D5671" w:rsidR="002F6E29" w:rsidRPr="00276790" w:rsidRDefault="002F6E29" w:rsidP="002F6E29">
      <w:pPr>
        <w:jc w:val="both"/>
        <w:rPr>
          <w:rFonts w:asciiTheme="minorHAnsi" w:hAnsiTheme="minorHAnsi" w:cstheme="minorBidi"/>
          <w:sz w:val="24"/>
          <w:szCs w:val="24"/>
        </w:rPr>
      </w:pPr>
      <w:r w:rsidRPr="00276790">
        <w:rPr>
          <w:rFonts w:asciiTheme="minorHAnsi" w:hAnsiTheme="minorHAnsi" w:cstheme="minorBidi"/>
          <w:sz w:val="24"/>
          <w:szCs w:val="24"/>
        </w:rPr>
        <w:t xml:space="preserve">The website analysis also identified many elements of suppliers’ online information and sales materials that are unclear, overly complex, or otherwise unlikely to be accessible for </w:t>
      </w:r>
      <w:r w:rsidR="00613CA3">
        <w:rPr>
          <w:rFonts w:asciiTheme="minorHAnsi" w:hAnsiTheme="minorHAnsi" w:cstheme="minorBidi"/>
          <w:sz w:val="24"/>
          <w:szCs w:val="24"/>
        </w:rPr>
        <w:t>consumers</w:t>
      </w:r>
      <w:r w:rsidRPr="00276790">
        <w:rPr>
          <w:rFonts w:asciiTheme="minorHAnsi" w:hAnsiTheme="minorHAnsi" w:cstheme="minorBidi"/>
          <w:sz w:val="24"/>
          <w:szCs w:val="24"/>
        </w:rPr>
        <w:t xml:space="preserve"> with cognitive disabilities. Issues that were common to all service types included:</w:t>
      </w:r>
    </w:p>
    <w:p w14:paraId="7985564F" w14:textId="77777777"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lastRenderedPageBreak/>
        <w:t xml:space="preserve">Websites that are difficult to navigate because: </w:t>
      </w:r>
    </w:p>
    <w:p w14:paraId="0B4D0A44" w14:textId="4BA4B5AA" w:rsidR="002F6E29" w:rsidRPr="00276790" w:rsidRDefault="002F6E29" w:rsidP="00BC1A54">
      <w:pPr>
        <w:pStyle w:val="ListParagraph"/>
        <w:numPr>
          <w:ilvl w:val="1"/>
          <w:numId w:val="2"/>
        </w:numPr>
        <w:spacing w:after="160" w:line="276" w:lineRule="auto"/>
        <w:ind w:left="709"/>
        <w:jc w:val="both"/>
        <w:rPr>
          <w:rFonts w:asciiTheme="minorHAnsi" w:hAnsiTheme="minorHAnsi" w:cstheme="minorBidi"/>
        </w:rPr>
      </w:pPr>
      <w:r w:rsidRPr="00276790">
        <w:rPr>
          <w:rFonts w:asciiTheme="minorHAnsi" w:hAnsiTheme="minorHAnsi" w:cstheme="minorBidi"/>
        </w:rPr>
        <w:t xml:space="preserve">The </w:t>
      </w:r>
      <w:r w:rsidR="002445E1">
        <w:rPr>
          <w:rFonts w:asciiTheme="minorHAnsi" w:hAnsiTheme="minorHAnsi" w:cstheme="minorBidi"/>
        </w:rPr>
        <w:t>consumer</w:t>
      </w:r>
      <w:r w:rsidRPr="00276790">
        <w:rPr>
          <w:rFonts w:asciiTheme="minorHAnsi" w:hAnsiTheme="minorHAnsi" w:cstheme="minorBidi"/>
        </w:rPr>
        <w:t xml:space="preserve"> must scroll across and down the page many times to find information;</w:t>
      </w:r>
    </w:p>
    <w:p w14:paraId="258F8608" w14:textId="31C51E36" w:rsidR="002F6E29" w:rsidRPr="00276790" w:rsidRDefault="002F6E29" w:rsidP="00BC1A54">
      <w:pPr>
        <w:pStyle w:val="ListParagraph"/>
        <w:numPr>
          <w:ilvl w:val="1"/>
          <w:numId w:val="2"/>
        </w:numPr>
        <w:spacing w:after="160" w:line="276" w:lineRule="auto"/>
        <w:ind w:left="709"/>
        <w:jc w:val="both"/>
        <w:rPr>
          <w:rFonts w:asciiTheme="minorHAnsi" w:hAnsiTheme="minorHAnsi" w:cstheme="minorBidi"/>
        </w:rPr>
      </w:pPr>
      <w:r w:rsidRPr="00276790">
        <w:rPr>
          <w:rFonts w:asciiTheme="minorHAnsi" w:hAnsiTheme="minorHAnsi" w:cstheme="minorBidi"/>
        </w:rPr>
        <w:t xml:space="preserve">The </w:t>
      </w:r>
      <w:r w:rsidR="002445E1">
        <w:rPr>
          <w:rFonts w:asciiTheme="minorHAnsi" w:hAnsiTheme="minorHAnsi" w:cstheme="minorBidi"/>
        </w:rPr>
        <w:t>consumer</w:t>
      </w:r>
      <w:r w:rsidRPr="00276790">
        <w:rPr>
          <w:rFonts w:asciiTheme="minorHAnsi" w:hAnsiTheme="minorHAnsi" w:cstheme="minorBidi"/>
        </w:rPr>
        <w:t xml:space="preserve"> must read a lot of information to find what they are looking for;</w:t>
      </w:r>
    </w:p>
    <w:p w14:paraId="6C202A17" w14:textId="44C9D7E7" w:rsidR="002F6E29" w:rsidRPr="00276790" w:rsidRDefault="002F6E29" w:rsidP="00BC1A54">
      <w:pPr>
        <w:pStyle w:val="ListParagraph"/>
        <w:numPr>
          <w:ilvl w:val="1"/>
          <w:numId w:val="2"/>
        </w:numPr>
        <w:spacing w:after="160" w:line="276" w:lineRule="auto"/>
        <w:ind w:left="709"/>
        <w:jc w:val="both"/>
        <w:rPr>
          <w:rFonts w:asciiTheme="minorHAnsi" w:hAnsiTheme="minorHAnsi" w:cstheme="minorBidi"/>
        </w:rPr>
      </w:pPr>
      <w:r w:rsidRPr="00276790">
        <w:rPr>
          <w:rFonts w:asciiTheme="minorHAnsi" w:hAnsiTheme="minorHAnsi" w:cstheme="minorBidi"/>
        </w:rPr>
        <w:t xml:space="preserve">Links are in low-contrast colours (such as grey-on-grey or grey-on-white); </w:t>
      </w:r>
      <w:r w:rsidR="000B5FC5">
        <w:rPr>
          <w:rFonts w:asciiTheme="minorHAnsi" w:hAnsiTheme="minorHAnsi" w:cstheme="minorBidi"/>
        </w:rPr>
        <w:t>and</w:t>
      </w:r>
    </w:p>
    <w:p w14:paraId="3828B615" w14:textId="1D69C20D" w:rsidR="002F6E29" w:rsidRPr="00276790" w:rsidRDefault="002F6E29" w:rsidP="000003F4">
      <w:pPr>
        <w:pStyle w:val="ListParagraph"/>
        <w:numPr>
          <w:ilvl w:val="1"/>
          <w:numId w:val="2"/>
        </w:numPr>
        <w:spacing w:after="160" w:line="276" w:lineRule="auto"/>
        <w:ind w:left="709"/>
        <w:jc w:val="both"/>
        <w:rPr>
          <w:rFonts w:asciiTheme="minorHAnsi" w:hAnsiTheme="minorHAnsi" w:cstheme="minorBidi"/>
          <w:sz w:val="22"/>
          <w:szCs w:val="22"/>
        </w:rPr>
      </w:pPr>
      <w:r w:rsidRPr="00276790">
        <w:rPr>
          <w:rFonts w:asciiTheme="minorHAnsi" w:hAnsiTheme="minorHAnsi" w:cstheme="minorBidi"/>
        </w:rPr>
        <w:t xml:space="preserve">Link titles are unclear, and multiple clicks are required to get to information </w:t>
      </w:r>
    </w:p>
    <w:p w14:paraId="0CDE11A2" w14:textId="77777777"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Important information that is hard to find. For example, it is unclear, hidden at the bottom of the page, or on a separate page. This often includes mandated information like the link to the Critical Information Summary.</w:t>
      </w:r>
    </w:p>
    <w:p w14:paraId="3E572AB3" w14:textId="0930EBF8"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 xml:space="preserve">Live chat that is the only easily accessible option for getting assistance. Live chat that requires </w:t>
      </w:r>
      <w:r w:rsidR="00613CA3">
        <w:rPr>
          <w:rFonts w:asciiTheme="minorHAnsi" w:hAnsiTheme="minorHAnsi" w:cstheme="minorBidi"/>
        </w:rPr>
        <w:t>consumers</w:t>
      </w:r>
      <w:r w:rsidRPr="00276790">
        <w:rPr>
          <w:rFonts w:asciiTheme="minorHAnsi" w:hAnsiTheme="minorHAnsi" w:cstheme="minorBidi"/>
        </w:rPr>
        <w:t xml:space="preserve"> to type questions and read answers will not be accessible to all consumers.</w:t>
      </w:r>
    </w:p>
    <w:p w14:paraId="310DED5E" w14:textId="77777777"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Live chat or ‘contact us’ pages that are cluttered, difficult to navigate, or do not clearly state contact details.</w:t>
      </w:r>
    </w:p>
    <w:p w14:paraId="1340B95E" w14:textId="6CE626E6" w:rsidR="002F6E29" w:rsidRPr="00276790" w:rsidRDefault="002F6E29" w:rsidP="002F6E29">
      <w:pPr>
        <w:jc w:val="both"/>
        <w:rPr>
          <w:rFonts w:asciiTheme="minorHAnsi" w:hAnsiTheme="minorHAnsi" w:cstheme="minorBidi"/>
          <w:sz w:val="24"/>
          <w:szCs w:val="24"/>
        </w:rPr>
      </w:pPr>
      <w:r w:rsidRPr="00276790">
        <w:rPr>
          <w:rFonts w:asciiTheme="minorHAnsi" w:hAnsiTheme="minorHAnsi" w:cstheme="minorBidi"/>
          <w:sz w:val="24"/>
          <w:szCs w:val="24"/>
        </w:rPr>
        <w:t xml:space="preserve">The online information and sales material </w:t>
      </w:r>
      <w:r w:rsidR="004E385D">
        <w:rPr>
          <w:rFonts w:asciiTheme="minorHAnsi" w:hAnsiTheme="minorHAnsi" w:cstheme="minorBidi"/>
          <w:sz w:val="24"/>
          <w:szCs w:val="24"/>
        </w:rPr>
        <w:t xml:space="preserve">specifically </w:t>
      </w:r>
      <w:r w:rsidRPr="00276790">
        <w:rPr>
          <w:rFonts w:asciiTheme="minorHAnsi" w:hAnsiTheme="minorHAnsi" w:cstheme="minorBidi"/>
          <w:sz w:val="24"/>
          <w:szCs w:val="24"/>
        </w:rPr>
        <w:t xml:space="preserve">relating to mobile and tablet services </w:t>
      </w:r>
      <w:r w:rsidR="00475B66">
        <w:rPr>
          <w:rFonts w:asciiTheme="minorHAnsi" w:hAnsiTheme="minorHAnsi" w:cstheme="minorBidi"/>
          <w:sz w:val="24"/>
          <w:szCs w:val="24"/>
        </w:rPr>
        <w:t>had some additional</w:t>
      </w:r>
      <w:r w:rsidRPr="00276790">
        <w:rPr>
          <w:rFonts w:asciiTheme="minorHAnsi" w:hAnsiTheme="minorHAnsi" w:cstheme="minorBidi"/>
          <w:sz w:val="24"/>
          <w:szCs w:val="24"/>
        </w:rPr>
        <w:t xml:space="preserve"> limitations that should be avoided. This included situations where:</w:t>
      </w:r>
    </w:p>
    <w:p w14:paraId="351411F5" w14:textId="09426280"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 xml:space="preserve">It is difficult to find low cost options – for example, the low-cost plan is hidden from view unless the </w:t>
      </w:r>
      <w:r w:rsidR="002445E1">
        <w:rPr>
          <w:rFonts w:asciiTheme="minorHAnsi" w:hAnsiTheme="minorHAnsi" w:cstheme="minorBidi"/>
        </w:rPr>
        <w:t>consumer</w:t>
      </w:r>
      <w:r w:rsidRPr="00276790">
        <w:rPr>
          <w:rFonts w:asciiTheme="minorHAnsi" w:hAnsiTheme="minorHAnsi" w:cstheme="minorBidi"/>
        </w:rPr>
        <w:t xml:space="preserve"> scrolls all the way to the left of the screen.</w:t>
      </w:r>
    </w:p>
    <w:p w14:paraId="5E01B06E" w14:textId="16F673E0"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 xml:space="preserve">It is difficult to compare plans and handsets/tablets. For example, there are multiple options but there is no way to limit the information to the plans the </w:t>
      </w:r>
      <w:r w:rsidR="002445E1">
        <w:rPr>
          <w:rFonts w:asciiTheme="minorHAnsi" w:hAnsiTheme="minorHAnsi" w:cstheme="minorBidi"/>
        </w:rPr>
        <w:t>consumer</w:t>
      </w:r>
      <w:r w:rsidRPr="00276790">
        <w:rPr>
          <w:rFonts w:asciiTheme="minorHAnsi" w:hAnsiTheme="minorHAnsi" w:cstheme="minorBidi"/>
        </w:rPr>
        <w:t xml:space="preserve"> wants to compare.</w:t>
      </w:r>
    </w:p>
    <w:p w14:paraId="01DA504B" w14:textId="77777777"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It is difficult to be sure of the total monthly price until all selections have been made.</w:t>
      </w:r>
    </w:p>
    <w:p w14:paraId="1638AD37" w14:textId="22A16F57"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390568">
        <w:rPr>
          <w:rFonts w:asciiTheme="minorHAnsi" w:hAnsiTheme="minorHAnsi" w:cstheme="minorBidi"/>
        </w:rPr>
        <w:t xml:space="preserve">Price is presented in an inconsistent or unclear manner. </w:t>
      </w:r>
      <w:r w:rsidRPr="00276790">
        <w:rPr>
          <w:rFonts w:asciiTheme="minorHAnsi" w:hAnsiTheme="minorHAnsi" w:cstheme="minorBidi"/>
        </w:rPr>
        <w:t>Low-price handsets are listed as sold-out or are otherwise unavailable.</w:t>
      </w:r>
    </w:p>
    <w:p w14:paraId="1759E19D" w14:textId="77777777"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Phone specifications are presented in very small print.</w:t>
      </w:r>
    </w:p>
    <w:p w14:paraId="6E30F436" w14:textId="5A952CC9"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Information is not presented in a way that allows easy comparison of products on multiple relevant features (such as price, handset, included calls and data, excess usage fees, credit expiry periods)</w:t>
      </w:r>
      <w:r w:rsidR="009E45C8">
        <w:rPr>
          <w:rFonts w:asciiTheme="minorHAnsi" w:hAnsiTheme="minorHAnsi" w:cstheme="minorBidi"/>
        </w:rPr>
        <w:t>.</w:t>
      </w:r>
    </w:p>
    <w:p w14:paraId="41F46DF2" w14:textId="0E6C88A6" w:rsidR="004A0F8B" w:rsidRDefault="002F6E29" w:rsidP="002F6E29">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Phone and plan specifications use technical terms or jargon. For example, ‘4GX’, ‘SIM-only’, and technical details about screen resolution and camera quality.</w:t>
      </w:r>
    </w:p>
    <w:p w14:paraId="74C2F69C" w14:textId="411F01C3" w:rsidR="000B5FC5" w:rsidRDefault="000B5FC5" w:rsidP="002F6E29">
      <w:pPr>
        <w:pStyle w:val="ListParagraph"/>
        <w:numPr>
          <w:ilvl w:val="0"/>
          <w:numId w:val="2"/>
        </w:numPr>
        <w:spacing w:after="160" w:line="276" w:lineRule="auto"/>
        <w:jc w:val="both"/>
        <w:rPr>
          <w:rFonts w:asciiTheme="minorHAnsi" w:hAnsiTheme="minorHAnsi" w:cstheme="minorBidi"/>
        </w:rPr>
      </w:pPr>
      <w:r>
        <w:rPr>
          <w:rFonts w:asciiTheme="minorHAnsi" w:hAnsiTheme="minorHAnsi" w:cstheme="minorBidi"/>
        </w:rPr>
        <w:t>Consumers are presented with an unhelpful amount of information (for example, on one webpage, 1,000 products were presented after the consumer selected ‘phones’).</w:t>
      </w:r>
    </w:p>
    <w:p w14:paraId="6297583D" w14:textId="13370CD8" w:rsidR="004A0F8B" w:rsidRPr="004A0F8B" w:rsidRDefault="002F6E29" w:rsidP="002F6E29">
      <w:pPr>
        <w:pStyle w:val="ListParagraph"/>
        <w:numPr>
          <w:ilvl w:val="0"/>
          <w:numId w:val="2"/>
        </w:numPr>
        <w:spacing w:after="160" w:line="276" w:lineRule="auto"/>
        <w:jc w:val="both"/>
        <w:rPr>
          <w:rFonts w:asciiTheme="minorHAnsi" w:hAnsiTheme="minorHAnsi" w:cstheme="minorBidi"/>
        </w:rPr>
      </w:pPr>
      <w:r w:rsidRPr="004A0F8B">
        <w:rPr>
          <w:rFonts w:asciiTheme="minorHAnsi" w:hAnsiTheme="minorHAnsi" w:cstheme="minorBidi"/>
        </w:rPr>
        <w:t>Images are used that are not related to, and do not explain, the text</w:t>
      </w:r>
      <w:r w:rsidR="00390568" w:rsidRPr="004A0F8B">
        <w:rPr>
          <w:rFonts w:asciiTheme="minorHAnsi" w:hAnsiTheme="minorHAnsi" w:cstheme="minorBidi"/>
        </w:rPr>
        <w:t>.</w:t>
      </w:r>
      <w:r w:rsidRPr="004A0F8B">
        <w:rPr>
          <w:rFonts w:asciiTheme="minorHAnsi" w:hAnsiTheme="minorHAnsi" w:cstheme="minorBidi"/>
        </w:rPr>
        <w:t xml:space="preserve"> </w:t>
      </w:r>
    </w:p>
    <w:p w14:paraId="66F0B559" w14:textId="738F7C10" w:rsidR="002F6E29" w:rsidRPr="00276790" w:rsidRDefault="002F6E29" w:rsidP="002F6E29">
      <w:pPr>
        <w:jc w:val="both"/>
        <w:rPr>
          <w:rFonts w:asciiTheme="minorHAnsi" w:hAnsiTheme="minorHAnsi" w:cstheme="minorBidi"/>
          <w:sz w:val="24"/>
          <w:szCs w:val="24"/>
        </w:rPr>
      </w:pPr>
      <w:r w:rsidRPr="00276790">
        <w:rPr>
          <w:rFonts w:asciiTheme="minorHAnsi" w:hAnsiTheme="minorHAnsi" w:cstheme="minorBidi"/>
          <w:sz w:val="24"/>
          <w:szCs w:val="24"/>
        </w:rPr>
        <w:t>Some issues only arose in relation to home internet and home phone service offerings. These included:</w:t>
      </w:r>
    </w:p>
    <w:p w14:paraId="3B69F704" w14:textId="77777777"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 xml:space="preserve">Inconsistent presentation of whether a home broadband plan is bundled with home phone connectivity. </w:t>
      </w:r>
    </w:p>
    <w:p w14:paraId="6B362C91" w14:textId="77777777"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Home phone handsets that are only available to view instore and not online.</w:t>
      </w:r>
    </w:p>
    <w:p w14:paraId="1858A7E5" w14:textId="77777777" w:rsidR="002F6E29" w:rsidRPr="00276790"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t xml:space="preserve">Technical terms such as ‘ADSL2+’, ‘NBN’, ‘data’ or ‘modem’ </w:t>
      </w:r>
      <w:r>
        <w:rPr>
          <w:rFonts w:asciiTheme="minorHAnsi" w:hAnsiTheme="minorHAnsi" w:cstheme="minorBidi"/>
        </w:rPr>
        <w:t xml:space="preserve">that </w:t>
      </w:r>
      <w:r w:rsidRPr="00276790">
        <w:rPr>
          <w:rFonts w:asciiTheme="minorHAnsi" w:hAnsiTheme="minorHAnsi" w:cstheme="minorBidi"/>
        </w:rPr>
        <w:t>are not explained.</w:t>
      </w:r>
    </w:p>
    <w:p w14:paraId="7DBCCBCA" w14:textId="2150A811" w:rsidR="00CD18A4" w:rsidRPr="008601C8" w:rsidRDefault="002F6E29" w:rsidP="00BC1A54">
      <w:pPr>
        <w:pStyle w:val="ListParagraph"/>
        <w:numPr>
          <w:ilvl w:val="0"/>
          <w:numId w:val="2"/>
        </w:numPr>
        <w:spacing w:after="160" w:line="276" w:lineRule="auto"/>
        <w:jc w:val="both"/>
        <w:rPr>
          <w:rFonts w:asciiTheme="minorHAnsi" w:hAnsiTheme="minorHAnsi" w:cstheme="minorBidi"/>
        </w:rPr>
      </w:pPr>
      <w:r w:rsidRPr="00276790">
        <w:rPr>
          <w:rFonts w:asciiTheme="minorHAnsi" w:hAnsiTheme="minorHAnsi" w:cstheme="minorBidi"/>
        </w:rPr>
        <w:lastRenderedPageBreak/>
        <w:t>Information</w:t>
      </w:r>
      <w:r>
        <w:rPr>
          <w:rFonts w:asciiTheme="minorHAnsi" w:hAnsiTheme="minorHAnsi" w:cstheme="minorBidi"/>
        </w:rPr>
        <w:t xml:space="preserve"> that</w:t>
      </w:r>
      <w:r w:rsidRPr="00276790">
        <w:rPr>
          <w:rFonts w:asciiTheme="minorHAnsi" w:hAnsiTheme="minorHAnsi" w:cstheme="minorBidi"/>
        </w:rPr>
        <w:t xml:space="preserve"> is not presented in a way that allows easy comparison of products on multiple relevant features (such as contract te</w:t>
      </w:r>
      <w:r w:rsidR="009E45C8">
        <w:rPr>
          <w:rFonts w:asciiTheme="minorHAnsi" w:hAnsiTheme="minorHAnsi" w:cstheme="minorBidi"/>
        </w:rPr>
        <w:t>rm lengths, administrative fees and</w:t>
      </w:r>
      <w:r w:rsidRPr="00276790">
        <w:rPr>
          <w:rFonts w:asciiTheme="minorHAnsi" w:hAnsiTheme="minorHAnsi" w:cstheme="minorBidi"/>
        </w:rPr>
        <w:t xml:space="preserve"> internet speeds). </w:t>
      </w:r>
    </w:p>
    <w:p w14:paraId="26478EA9" w14:textId="648522C0" w:rsidR="002123B2" w:rsidRDefault="002123B2" w:rsidP="004A0F8B">
      <w:pPr>
        <w:pStyle w:val="Heading1"/>
        <w:numPr>
          <w:ilvl w:val="0"/>
          <w:numId w:val="13"/>
        </w:numPr>
        <w:rPr>
          <w:lang w:val="en-US" w:eastAsia="ja-JP"/>
        </w:rPr>
      </w:pPr>
      <w:bookmarkStart w:id="6" w:name="_Toc445818354"/>
      <w:bookmarkStart w:id="7" w:name="_Toc529514188"/>
      <w:bookmarkStart w:id="8" w:name="_Hlk529278961"/>
      <w:r w:rsidRPr="00276790">
        <w:rPr>
          <w:lang w:val="en-US" w:eastAsia="ja-JP"/>
        </w:rPr>
        <w:t>Recommendations</w:t>
      </w:r>
      <w:bookmarkEnd w:id="6"/>
      <w:r w:rsidRPr="00276790">
        <w:rPr>
          <w:lang w:val="en-US" w:eastAsia="ja-JP"/>
        </w:rPr>
        <w:t xml:space="preserve"> for suppliers</w:t>
      </w:r>
      <w:bookmarkEnd w:id="7"/>
    </w:p>
    <w:p w14:paraId="22389DFF" w14:textId="4ABAEFD6" w:rsidR="002123B2" w:rsidRDefault="00B632A8" w:rsidP="002123B2">
      <w:pPr>
        <w:jc w:val="both"/>
        <w:rPr>
          <w:rFonts w:asciiTheme="minorHAnsi" w:hAnsiTheme="minorHAnsi" w:cstheme="minorHAnsi"/>
          <w:sz w:val="24"/>
          <w:szCs w:val="24"/>
        </w:rPr>
      </w:pPr>
      <w:r>
        <w:rPr>
          <w:rFonts w:asciiTheme="minorHAnsi" w:hAnsiTheme="minorHAnsi" w:cstheme="minorHAnsi"/>
          <w:sz w:val="24"/>
          <w:szCs w:val="24"/>
        </w:rPr>
        <w:t>Based on the above analysis</w:t>
      </w:r>
      <w:r w:rsidR="000B5FC5">
        <w:rPr>
          <w:rFonts w:asciiTheme="minorHAnsi" w:hAnsiTheme="minorHAnsi" w:cstheme="minorHAnsi"/>
          <w:sz w:val="24"/>
          <w:szCs w:val="24"/>
        </w:rPr>
        <w:t xml:space="preserve">, </w:t>
      </w:r>
      <w:r w:rsidR="00DE3D4D">
        <w:rPr>
          <w:rFonts w:asciiTheme="minorHAnsi" w:hAnsiTheme="minorHAnsi" w:cstheme="minorHAnsi"/>
          <w:sz w:val="24"/>
          <w:szCs w:val="24"/>
        </w:rPr>
        <w:t>the research team</w:t>
      </w:r>
      <w:r w:rsidR="002D4F39">
        <w:rPr>
          <w:rFonts w:asciiTheme="minorHAnsi" w:hAnsiTheme="minorHAnsi" w:cstheme="minorHAnsi"/>
          <w:sz w:val="24"/>
          <w:szCs w:val="24"/>
        </w:rPr>
        <w:t xml:space="preserve"> developed a set of twelve</w:t>
      </w:r>
      <w:r w:rsidR="002123B2" w:rsidRPr="00276790">
        <w:rPr>
          <w:rFonts w:asciiTheme="minorHAnsi" w:hAnsiTheme="minorHAnsi" w:cstheme="minorHAnsi"/>
          <w:sz w:val="24"/>
          <w:szCs w:val="24"/>
        </w:rPr>
        <w:t xml:space="preserve"> recommendations to telecommunications providers for improving their online </w:t>
      </w:r>
      <w:r w:rsidR="002123B2">
        <w:rPr>
          <w:rFonts w:asciiTheme="minorHAnsi" w:hAnsiTheme="minorHAnsi" w:cstheme="minorHAnsi"/>
          <w:sz w:val="24"/>
          <w:szCs w:val="24"/>
        </w:rPr>
        <w:t xml:space="preserve">information and </w:t>
      </w:r>
      <w:r w:rsidR="002123B2" w:rsidRPr="00276790">
        <w:rPr>
          <w:rFonts w:asciiTheme="minorHAnsi" w:hAnsiTheme="minorHAnsi" w:cstheme="minorHAnsi"/>
          <w:sz w:val="24"/>
          <w:szCs w:val="24"/>
        </w:rPr>
        <w:t xml:space="preserve">sales materials for </w:t>
      </w:r>
      <w:r w:rsidR="00613CA3">
        <w:rPr>
          <w:rFonts w:asciiTheme="minorHAnsi" w:hAnsiTheme="minorHAnsi" w:cstheme="minorHAnsi"/>
          <w:sz w:val="24"/>
          <w:szCs w:val="24"/>
        </w:rPr>
        <w:t>consumers</w:t>
      </w:r>
      <w:r w:rsidR="002123B2" w:rsidRPr="00276790">
        <w:rPr>
          <w:rFonts w:asciiTheme="minorHAnsi" w:hAnsiTheme="minorHAnsi" w:cstheme="minorHAnsi"/>
          <w:sz w:val="24"/>
          <w:szCs w:val="24"/>
        </w:rPr>
        <w:t xml:space="preserve"> with cognitive disabilities.</w:t>
      </w:r>
      <w:r w:rsidR="000B5FC5">
        <w:rPr>
          <w:rFonts w:asciiTheme="minorHAnsi" w:hAnsiTheme="minorHAnsi" w:cstheme="minorHAnsi"/>
          <w:sz w:val="24"/>
          <w:szCs w:val="24"/>
        </w:rPr>
        <w:t xml:space="preserve"> The recommendations were formulated in consultation with a representative from People with Disability Australia, and organisation of and for people with disabilities, and a representative from VMIAC, and organisation of and for mental health consumers.</w:t>
      </w:r>
    </w:p>
    <w:p w14:paraId="711206BE" w14:textId="77777777" w:rsidR="002123B2" w:rsidRPr="005806DC" w:rsidRDefault="002123B2" w:rsidP="00BC1A54">
      <w:pPr>
        <w:pStyle w:val="ListParagraph"/>
        <w:numPr>
          <w:ilvl w:val="0"/>
          <w:numId w:val="7"/>
        </w:numPr>
        <w:tabs>
          <w:tab w:val="left" w:pos="426"/>
        </w:tabs>
        <w:spacing w:line="276" w:lineRule="auto"/>
        <w:ind w:hanging="6"/>
        <w:rPr>
          <w:rFonts w:ascii="Calibri" w:hAnsi="Calibri" w:cs="Calibri"/>
          <w:b/>
        </w:rPr>
      </w:pPr>
      <w:r w:rsidRPr="005806DC">
        <w:rPr>
          <w:rFonts w:ascii="Calibri" w:hAnsi="Calibri" w:cs="Calibri"/>
          <w:b/>
        </w:rPr>
        <w:t>Include people with disabilities in website and information design processes</w:t>
      </w:r>
    </w:p>
    <w:p w14:paraId="5B998F52" w14:textId="7D7BEDB4" w:rsidR="002123B2" w:rsidRPr="005806DC" w:rsidRDefault="002123B2" w:rsidP="002123B2">
      <w:pPr>
        <w:spacing w:after="0"/>
        <w:ind w:left="69"/>
        <w:rPr>
          <w:rFonts w:cs="Calibri"/>
          <w:sz w:val="24"/>
          <w:szCs w:val="24"/>
        </w:rPr>
      </w:pPr>
      <w:r w:rsidRPr="005806DC">
        <w:rPr>
          <w:rFonts w:cs="Calibri"/>
          <w:sz w:val="24"/>
          <w:szCs w:val="24"/>
        </w:rPr>
        <w:t xml:space="preserve">Any changes to improve accessibility for </w:t>
      </w:r>
      <w:r w:rsidR="00613CA3">
        <w:rPr>
          <w:rFonts w:cs="Calibri"/>
          <w:sz w:val="24"/>
          <w:szCs w:val="24"/>
        </w:rPr>
        <w:t>consumers</w:t>
      </w:r>
      <w:r w:rsidRPr="005806DC">
        <w:rPr>
          <w:rFonts w:cs="Calibri"/>
          <w:sz w:val="24"/>
          <w:szCs w:val="24"/>
        </w:rPr>
        <w:t xml:space="preserve"> with cognitive disabilities must include people with cognitive disabilities, and their representative organisations, in every stage of planning, development, implementation</w:t>
      </w:r>
      <w:r w:rsidR="00BA5184">
        <w:rPr>
          <w:rFonts w:cs="Calibri"/>
          <w:sz w:val="24"/>
          <w:szCs w:val="24"/>
        </w:rPr>
        <w:t>,</w:t>
      </w:r>
      <w:r w:rsidRPr="005806DC">
        <w:rPr>
          <w:rFonts w:cs="Calibri"/>
          <w:sz w:val="24"/>
          <w:szCs w:val="24"/>
        </w:rPr>
        <w:t xml:space="preserve"> and testing.</w:t>
      </w:r>
    </w:p>
    <w:p w14:paraId="2D1C3700" w14:textId="77777777" w:rsidR="002123B2" w:rsidRPr="005806DC" w:rsidRDefault="002123B2" w:rsidP="002123B2">
      <w:pPr>
        <w:spacing w:after="0"/>
        <w:ind w:left="69"/>
        <w:rPr>
          <w:rFonts w:cs="Calibri"/>
          <w:sz w:val="24"/>
          <w:szCs w:val="24"/>
        </w:rPr>
      </w:pPr>
    </w:p>
    <w:p w14:paraId="2E76B84B" w14:textId="77777777" w:rsidR="002123B2" w:rsidRPr="005806DC" w:rsidRDefault="002123B2" w:rsidP="00BC1A54">
      <w:pPr>
        <w:pStyle w:val="ListParagraph"/>
        <w:numPr>
          <w:ilvl w:val="0"/>
          <w:numId w:val="7"/>
        </w:numPr>
        <w:spacing w:line="276" w:lineRule="auto"/>
        <w:ind w:left="426" w:hanging="357"/>
        <w:rPr>
          <w:rFonts w:ascii="Calibri" w:hAnsi="Calibri" w:cs="Calibri"/>
          <w:b/>
        </w:rPr>
      </w:pPr>
      <w:r w:rsidRPr="005806DC">
        <w:rPr>
          <w:rFonts w:ascii="Calibri" w:hAnsi="Calibri" w:cs="Calibri"/>
          <w:b/>
        </w:rPr>
        <w:t>Implement organisation-wide changes</w:t>
      </w:r>
    </w:p>
    <w:p w14:paraId="1B88DF0E" w14:textId="44E0629D" w:rsidR="002123B2" w:rsidRPr="005806DC" w:rsidRDefault="002123B2" w:rsidP="002123B2">
      <w:pPr>
        <w:spacing w:after="0"/>
        <w:ind w:left="69"/>
        <w:rPr>
          <w:rFonts w:cs="Calibri"/>
          <w:sz w:val="24"/>
          <w:szCs w:val="24"/>
        </w:rPr>
      </w:pPr>
      <w:r w:rsidRPr="005806DC">
        <w:rPr>
          <w:rFonts w:cs="Calibri"/>
          <w:sz w:val="24"/>
          <w:szCs w:val="24"/>
        </w:rPr>
        <w:t xml:space="preserve">Changes to online information and sales material will only be effective if they are part of a wider culture of accessibility and inclusion of </w:t>
      </w:r>
      <w:r w:rsidR="00613CA3">
        <w:rPr>
          <w:rFonts w:cs="Calibri"/>
          <w:sz w:val="24"/>
          <w:szCs w:val="24"/>
        </w:rPr>
        <w:t>consumers</w:t>
      </w:r>
      <w:r w:rsidRPr="005806DC">
        <w:rPr>
          <w:rFonts w:cs="Calibri"/>
          <w:sz w:val="24"/>
          <w:szCs w:val="24"/>
        </w:rPr>
        <w:t xml:space="preserve"> with cognitive disabilities. Suppliers should develop and implement a Disability Action Plan, provide disability and mental health training to staff, and assign responsibility for ensuring accessibility to senior staff.</w:t>
      </w:r>
    </w:p>
    <w:p w14:paraId="6CE1CC56" w14:textId="77777777" w:rsidR="002123B2" w:rsidRPr="005806DC" w:rsidRDefault="002123B2" w:rsidP="002123B2">
      <w:pPr>
        <w:spacing w:after="0"/>
        <w:rPr>
          <w:rFonts w:cs="Calibri"/>
          <w:sz w:val="24"/>
          <w:szCs w:val="24"/>
        </w:rPr>
      </w:pPr>
    </w:p>
    <w:p w14:paraId="2D68FE8C" w14:textId="77777777" w:rsidR="002123B2" w:rsidRPr="005806DC" w:rsidRDefault="002123B2" w:rsidP="00BC1A54">
      <w:pPr>
        <w:pStyle w:val="ListParagraph"/>
        <w:numPr>
          <w:ilvl w:val="0"/>
          <w:numId w:val="7"/>
        </w:numPr>
        <w:spacing w:line="276" w:lineRule="auto"/>
        <w:ind w:left="426" w:hanging="357"/>
        <w:rPr>
          <w:rFonts w:ascii="Calibri" w:hAnsi="Calibri" w:cs="Calibri"/>
          <w:b/>
        </w:rPr>
      </w:pPr>
      <w:r w:rsidRPr="005806DC">
        <w:rPr>
          <w:rFonts w:ascii="Calibri" w:hAnsi="Calibri" w:cs="Calibri"/>
          <w:b/>
        </w:rPr>
        <w:t>Make webpages clear and easy to read</w:t>
      </w:r>
    </w:p>
    <w:p w14:paraId="2FFA0BB7" w14:textId="77777777" w:rsidR="002123B2" w:rsidRPr="005806DC" w:rsidRDefault="002123B2" w:rsidP="002123B2">
      <w:pPr>
        <w:spacing w:after="0"/>
        <w:ind w:left="69"/>
        <w:rPr>
          <w:rFonts w:cs="Calibri"/>
          <w:sz w:val="24"/>
          <w:szCs w:val="24"/>
        </w:rPr>
      </w:pPr>
      <w:r w:rsidRPr="005806DC">
        <w:rPr>
          <w:rFonts w:cs="Calibri"/>
          <w:sz w:val="24"/>
          <w:szCs w:val="24"/>
        </w:rPr>
        <w:t>Keep sentences short, use lots of white space, limit the amount of information per page, and consider the size and colour contrast of text.</w:t>
      </w:r>
      <w:r w:rsidRPr="005806DC">
        <w:rPr>
          <w:rFonts w:cs="Calibri"/>
          <w:sz w:val="24"/>
          <w:szCs w:val="24"/>
        </w:rPr>
        <w:br/>
      </w:r>
    </w:p>
    <w:p w14:paraId="26A03091" w14:textId="217E4EBC" w:rsidR="002123B2" w:rsidRPr="005806DC" w:rsidRDefault="00BA5184" w:rsidP="00BC1A54">
      <w:pPr>
        <w:pStyle w:val="ListParagraph"/>
        <w:numPr>
          <w:ilvl w:val="0"/>
          <w:numId w:val="7"/>
        </w:numPr>
        <w:spacing w:line="276" w:lineRule="auto"/>
        <w:ind w:left="426" w:hanging="357"/>
        <w:rPr>
          <w:rFonts w:ascii="Calibri" w:hAnsi="Calibri" w:cs="Calibri"/>
          <w:b/>
        </w:rPr>
      </w:pPr>
      <w:r>
        <w:rPr>
          <w:rFonts w:ascii="Calibri" w:hAnsi="Calibri" w:cs="Calibri"/>
          <w:b/>
        </w:rPr>
        <w:t>Make webpages easy</w:t>
      </w:r>
      <w:r w:rsidR="002123B2" w:rsidRPr="005806DC">
        <w:rPr>
          <w:rFonts w:ascii="Calibri" w:hAnsi="Calibri" w:cs="Calibri"/>
          <w:b/>
        </w:rPr>
        <w:t xml:space="preserve"> to navigate</w:t>
      </w:r>
    </w:p>
    <w:p w14:paraId="6A73F048" w14:textId="6F34091C" w:rsidR="002123B2" w:rsidRPr="005806DC" w:rsidRDefault="002123B2" w:rsidP="002123B2">
      <w:pPr>
        <w:spacing w:after="0"/>
        <w:ind w:left="69"/>
        <w:rPr>
          <w:rFonts w:cs="Calibri"/>
          <w:sz w:val="24"/>
          <w:szCs w:val="24"/>
        </w:rPr>
      </w:pPr>
      <w:r w:rsidRPr="005806DC">
        <w:rPr>
          <w:rFonts w:cs="Calibri"/>
          <w:sz w:val="24"/>
          <w:szCs w:val="24"/>
        </w:rPr>
        <w:t xml:space="preserve">Make sure it is easy to find and follow links, that link titles reflect destination material and lead to logical places, and that it is not necessary for </w:t>
      </w:r>
      <w:r w:rsidR="00613CA3">
        <w:rPr>
          <w:rFonts w:cs="Calibri"/>
          <w:sz w:val="24"/>
          <w:szCs w:val="24"/>
        </w:rPr>
        <w:t>consumers</w:t>
      </w:r>
      <w:r w:rsidRPr="005806DC">
        <w:rPr>
          <w:rFonts w:cs="Calibri"/>
          <w:sz w:val="24"/>
          <w:szCs w:val="24"/>
        </w:rPr>
        <w:t xml:space="preserve"> to scroll too much to find information.</w:t>
      </w:r>
      <w:r w:rsidRPr="005806DC">
        <w:rPr>
          <w:rFonts w:cs="Calibri"/>
          <w:sz w:val="24"/>
          <w:szCs w:val="24"/>
        </w:rPr>
        <w:br/>
      </w:r>
    </w:p>
    <w:p w14:paraId="7CD5F08A" w14:textId="77777777" w:rsidR="002123B2" w:rsidRPr="005806DC" w:rsidRDefault="002123B2" w:rsidP="00BC1A54">
      <w:pPr>
        <w:pStyle w:val="ListParagraph"/>
        <w:numPr>
          <w:ilvl w:val="0"/>
          <w:numId w:val="7"/>
        </w:numPr>
        <w:spacing w:line="276" w:lineRule="auto"/>
        <w:ind w:left="426" w:hanging="357"/>
        <w:rPr>
          <w:rFonts w:ascii="Calibri" w:hAnsi="Calibri" w:cs="Calibri"/>
          <w:b/>
        </w:rPr>
      </w:pPr>
      <w:r w:rsidRPr="005806DC">
        <w:rPr>
          <w:rFonts w:ascii="Calibri" w:hAnsi="Calibri" w:cs="Calibri"/>
          <w:b/>
        </w:rPr>
        <w:t>Make sure low-cost plans and handsets are easy to find and access</w:t>
      </w:r>
    </w:p>
    <w:p w14:paraId="3679DE09" w14:textId="77777777" w:rsidR="002123B2" w:rsidRPr="005806DC" w:rsidRDefault="002123B2" w:rsidP="002123B2">
      <w:pPr>
        <w:spacing w:after="0"/>
        <w:ind w:left="69"/>
        <w:rPr>
          <w:rFonts w:cs="Calibri"/>
          <w:sz w:val="24"/>
          <w:szCs w:val="24"/>
        </w:rPr>
      </w:pPr>
      <w:r w:rsidRPr="005806DC">
        <w:rPr>
          <w:rFonts w:cs="Calibri"/>
          <w:sz w:val="24"/>
          <w:szCs w:val="24"/>
        </w:rPr>
        <w:t>Make sure it is easy to find and select low-cost plans and handsets online, and that low-cost options are generally available and in stock.</w:t>
      </w:r>
    </w:p>
    <w:p w14:paraId="7C47DB81" w14:textId="77777777" w:rsidR="002123B2" w:rsidRPr="005806DC" w:rsidRDefault="002123B2" w:rsidP="002123B2">
      <w:pPr>
        <w:spacing w:after="0"/>
        <w:ind w:left="69"/>
        <w:rPr>
          <w:rFonts w:cs="Calibri"/>
          <w:sz w:val="24"/>
          <w:szCs w:val="24"/>
        </w:rPr>
      </w:pPr>
    </w:p>
    <w:p w14:paraId="6BBCD4B4" w14:textId="77777777" w:rsidR="002123B2" w:rsidRPr="005806DC" w:rsidRDefault="002123B2" w:rsidP="00BC1A54">
      <w:pPr>
        <w:pStyle w:val="ListParagraph"/>
        <w:numPr>
          <w:ilvl w:val="0"/>
          <w:numId w:val="7"/>
        </w:numPr>
        <w:spacing w:line="276" w:lineRule="auto"/>
        <w:ind w:left="426" w:hanging="357"/>
        <w:rPr>
          <w:rFonts w:ascii="Calibri" w:hAnsi="Calibri" w:cs="Calibri"/>
          <w:b/>
        </w:rPr>
      </w:pPr>
      <w:r w:rsidRPr="005806DC">
        <w:rPr>
          <w:rFonts w:ascii="Calibri" w:hAnsi="Calibri" w:cs="Calibri"/>
          <w:b/>
        </w:rPr>
        <w:t>Make important product and service information easy to find</w:t>
      </w:r>
    </w:p>
    <w:p w14:paraId="4638EC82" w14:textId="77777777" w:rsidR="002123B2" w:rsidRPr="005806DC" w:rsidRDefault="002123B2" w:rsidP="002123B2">
      <w:pPr>
        <w:spacing w:after="0"/>
        <w:ind w:left="69"/>
        <w:rPr>
          <w:rFonts w:cs="Calibri"/>
          <w:sz w:val="24"/>
          <w:szCs w:val="24"/>
        </w:rPr>
      </w:pPr>
      <w:r w:rsidRPr="005806DC">
        <w:rPr>
          <w:rFonts w:cs="Calibri"/>
          <w:sz w:val="24"/>
          <w:szCs w:val="24"/>
        </w:rPr>
        <w:t xml:space="preserve">Important information like total price and extra charges should be easy to find, and price should be presented in a consistent and clear manner. Where the purchase involves </w:t>
      </w:r>
      <w:r w:rsidRPr="005806DC">
        <w:rPr>
          <w:rFonts w:cs="Calibri"/>
          <w:sz w:val="24"/>
          <w:szCs w:val="24"/>
        </w:rPr>
        <w:lastRenderedPageBreak/>
        <w:t xml:space="preserve">multiple charges, each cost should be </w:t>
      </w:r>
      <w:proofErr w:type="gramStart"/>
      <w:r w:rsidRPr="005806DC">
        <w:rPr>
          <w:rFonts w:cs="Calibri"/>
          <w:sz w:val="24"/>
          <w:szCs w:val="24"/>
        </w:rPr>
        <w:t>itemised</w:t>
      </w:r>
      <w:proofErr w:type="gramEnd"/>
      <w:r w:rsidRPr="005806DC">
        <w:rPr>
          <w:rFonts w:cs="Calibri"/>
          <w:sz w:val="24"/>
          <w:szCs w:val="24"/>
        </w:rPr>
        <w:t xml:space="preserve"> and the overall cost should be presented in clear, large font.</w:t>
      </w:r>
    </w:p>
    <w:p w14:paraId="10D61F74" w14:textId="77777777" w:rsidR="002123B2" w:rsidRPr="005806DC" w:rsidRDefault="002123B2" w:rsidP="002123B2">
      <w:pPr>
        <w:spacing w:after="0"/>
        <w:ind w:left="69"/>
        <w:rPr>
          <w:rFonts w:cs="Calibri"/>
          <w:sz w:val="24"/>
          <w:szCs w:val="24"/>
        </w:rPr>
      </w:pPr>
    </w:p>
    <w:p w14:paraId="01817205" w14:textId="77777777" w:rsidR="002123B2" w:rsidRPr="005806DC" w:rsidRDefault="002123B2" w:rsidP="00BC1A54">
      <w:pPr>
        <w:pStyle w:val="ListParagraph"/>
        <w:numPr>
          <w:ilvl w:val="0"/>
          <w:numId w:val="7"/>
        </w:numPr>
        <w:spacing w:line="276" w:lineRule="auto"/>
        <w:ind w:left="426" w:hanging="357"/>
        <w:rPr>
          <w:rFonts w:ascii="Calibri" w:hAnsi="Calibri" w:cs="Calibri"/>
          <w:b/>
        </w:rPr>
      </w:pPr>
      <w:r w:rsidRPr="005806DC">
        <w:rPr>
          <w:rFonts w:ascii="Calibri" w:hAnsi="Calibri" w:cs="Calibri"/>
          <w:b/>
        </w:rPr>
        <w:t>Make it easy to compare options based on important product or service features</w:t>
      </w:r>
    </w:p>
    <w:p w14:paraId="5DFFEB3A" w14:textId="1A2FD06E" w:rsidR="002123B2" w:rsidRPr="005806DC" w:rsidRDefault="002123B2" w:rsidP="002123B2">
      <w:pPr>
        <w:spacing w:after="0"/>
        <w:ind w:left="69"/>
        <w:rPr>
          <w:rFonts w:cs="Calibri"/>
          <w:sz w:val="24"/>
          <w:szCs w:val="24"/>
        </w:rPr>
      </w:pPr>
      <w:r w:rsidRPr="005806DC">
        <w:rPr>
          <w:rFonts w:cs="Calibri"/>
          <w:sz w:val="24"/>
          <w:szCs w:val="24"/>
        </w:rPr>
        <w:t xml:space="preserve">Give </w:t>
      </w:r>
      <w:r w:rsidR="00613CA3">
        <w:rPr>
          <w:rFonts w:cs="Calibri"/>
          <w:sz w:val="24"/>
          <w:szCs w:val="24"/>
        </w:rPr>
        <w:t>consumers</w:t>
      </w:r>
      <w:r w:rsidRPr="005806DC">
        <w:rPr>
          <w:rFonts w:cs="Calibri"/>
          <w:sz w:val="24"/>
          <w:szCs w:val="24"/>
        </w:rPr>
        <w:t xml:space="preserve"> the o</w:t>
      </w:r>
      <w:r w:rsidR="000B5FC5">
        <w:rPr>
          <w:rFonts w:cs="Calibri"/>
          <w:sz w:val="24"/>
          <w:szCs w:val="24"/>
        </w:rPr>
        <w:t>ption to view one or more choice</w:t>
      </w:r>
      <w:r w:rsidRPr="005806DC">
        <w:rPr>
          <w:rFonts w:cs="Calibri"/>
          <w:sz w:val="24"/>
          <w:szCs w:val="24"/>
        </w:rPr>
        <w:t>s side-by-side. This makes it easy to compare options based on important features.</w:t>
      </w:r>
      <w:r w:rsidRPr="005806DC">
        <w:rPr>
          <w:rFonts w:cs="Calibri"/>
          <w:sz w:val="24"/>
          <w:szCs w:val="24"/>
        </w:rPr>
        <w:br/>
      </w:r>
    </w:p>
    <w:p w14:paraId="3DEFFFDD" w14:textId="77777777" w:rsidR="002123B2" w:rsidRPr="005806DC" w:rsidRDefault="002123B2" w:rsidP="00BC1A54">
      <w:pPr>
        <w:pStyle w:val="ListParagraph"/>
        <w:numPr>
          <w:ilvl w:val="0"/>
          <w:numId w:val="7"/>
        </w:numPr>
        <w:spacing w:line="276" w:lineRule="auto"/>
        <w:ind w:left="426" w:hanging="357"/>
        <w:rPr>
          <w:rFonts w:ascii="Calibri" w:hAnsi="Calibri" w:cs="Calibri"/>
          <w:b/>
        </w:rPr>
      </w:pPr>
      <w:r w:rsidRPr="005806DC">
        <w:rPr>
          <w:rFonts w:ascii="Calibri" w:hAnsi="Calibri" w:cs="Calibri"/>
          <w:b/>
        </w:rPr>
        <w:t>Avoid jargon where possible, or explain the meaning of complex terms</w:t>
      </w:r>
    </w:p>
    <w:p w14:paraId="3B37A6E3" w14:textId="4EA22276" w:rsidR="002123B2" w:rsidRPr="005806DC" w:rsidRDefault="002123B2" w:rsidP="002123B2">
      <w:pPr>
        <w:spacing w:after="0"/>
        <w:ind w:left="69"/>
        <w:rPr>
          <w:rFonts w:cs="Calibri"/>
          <w:sz w:val="24"/>
          <w:szCs w:val="24"/>
        </w:rPr>
      </w:pPr>
      <w:r w:rsidRPr="005806DC">
        <w:rPr>
          <w:rFonts w:cs="Calibri"/>
          <w:sz w:val="24"/>
          <w:szCs w:val="24"/>
        </w:rPr>
        <w:t xml:space="preserve">Define terms that </w:t>
      </w:r>
      <w:r w:rsidR="00613CA3">
        <w:rPr>
          <w:rFonts w:cs="Calibri"/>
          <w:sz w:val="24"/>
          <w:szCs w:val="24"/>
        </w:rPr>
        <w:t>consumers</w:t>
      </w:r>
      <w:r w:rsidRPr="005806DC">
        <w:rPr>
          <w:rFonts w:cs="Calibri"/>
          <w:sz w:val="24"/>
          <w:szCs w:val="24"/>
        </w:rPr>
        <w:t xml:space="preserve"> must understand when selecting a product or service. Do not assume that everyone will understand common but technical terms lik</w:t>
      </w:r>
      <w:r w:rsidR="00BA5184">
        <w:rPr>
          <w:rFonts w:cs="Calibri"/>
          <w:sz w:val="24"/>
          <w:szCs w:val="24"/>
        </w:rPr>
        <w:t xml:space="preserve">e ‘gigabyte’ or ‘SIM </w:t>
      </w:r>
      <w:r w:rsidRPr="005806DC">
        <w:rPr>
          <w:rFonts w:cs="Calibri"/>
          <w:sz w:val="24"/>
          <w:szCs w:val="24"/>
        </w:rPr>
        <w:t xml:space="preserve">card’.  Present information in straightforward language and refer to common, relatable concepts. Consider using graphics or images to enhance understanding. </w:t>
      </w:r>
      <w:r w:rsidRPr="005806DC">
        <w:rPr>
          <w:rFonts w:cs="Calibri"/>
          <w:sz w:val="24"/>
          <w:szCs w:val="24"/>
        </w:rPr>
        <w:br/>
      </w:r>
    </w:p>
    <w:p w14:paraId="610A37FE" w14:textId="77777777" w:rsidR="002123B2" w:rsidRPr="005806DC" w:rsidRDefault="002123B2" w:rsidP="00BC1A54">
      <w:pPr>
        <w:pStyle w:val="ListParagraph"/>
        <w:numPr>
          <w:ilvl w:val="0"/>
          <w:numId w:val="7"/>
        </w:numPr>
        <w:spacing w:line="276" w:lineRule="auto"/>
        <w:ind w:left="426" w:hanging="357"/>
        <w:rPr>
          <w:rFonts w:ascii="Calibri" w:hAnsi="Calibri" w:cs="Calibri"/>
          <w:b/>
        </w:rPr>
      </w:pPr>
      <w:r w:rsidRPr="005806DC">
        <w:rPr>
          <w:rFonts w:ascii="Calibri" w:hAnsi="Calibri" w:cs="Calibri"/>
          <w:b/>
        </w:rPr>
        <w:t>Provide information in plain language and/or Easy English formats</w:t>
      </w:r>
    </w:p>
    <w:p w14:paraId="6012E9D5" w14:textId="1CE2DCD3" w:rsidR="002123B2" w:rsidRPr="005806DC" w:rsidRDefault="00BA5184" w:rsidP="002123B2">
      <w:pPr>
        <w:spacing w:after="0"/>
        <w:ind w:left="69"/>
        <w:rPr>
          <w:rFonts w:cs="Calibri"/>
          <w:sz w:val="24"/>
          <w:szCs w:val="24"/>
        </w:rPr>
      </w:pPr>
      <w:r>
        <w:rPr>
          <w:rFonts w:cs="Calibri"/>
          <w:sz w:val="24"/>
          <w:szCs w:val="24"/>
        </w:rPr>
        <w:t>Offer p</w:t>
      </w:r>
      <w:r w:rsidR="002123B2" w:rsidRPr="005806DC">
        <w:rPr>
          <w:rFonts w:cs="Calibri"/>
          <w:sz w:val="24"/>
          <w:szCs w:val="24"/>
        </w:rPr>
        <w:t>lai</w:t>
      </w:r>
      <w:r>
        <w:rPr>
          <w:rFonts w:cs="Calibri"/>
          <w:sz w:val="24"/>
          <w:szCs w:val="24"/>
        </w:rPr>
        <w:t>n l</w:t>
      </w:r>
      <w:r w:rsidR="002123B2" w:rsidRPr="005806DC">
        <w:rPr>
          <w:rFonts w:cs="Calibri"/>
          <w:sz w:val="24"/>
          <w:szCs w:val="24"/>
        </w:rPr>
        <w:t xml:space="preserve">anguage or Easy English versions of all important information including online sales information and information about getting assistance. Different </w:t>
      </w:r>
      <w:r w:rsidR="00613CA3">
        <w:rPr>
          <w:rFonts w:cs="Calibri"/>
          <w:sz w:val="24"/>
          <w:szCs w:val="24"/>
        </w:rPr>
        <w:t>consumers</w:t>
      </w:r>
      <w:r w:rsidR="002123B2" w:rsidRPr="005806DC">
        <w:rPr>
          <w:rFonts w:cs="Calibri"/>
          <w:sz w:val="24"/>
          <w:szCs w:val="24"/>
        </w:rPr>
        <w:t xml:space="preserve"> will have different information needs and preferences; consider offering multiple options including video and audio.</w:t>
      </w:r>
    </w:p>
    <w:p w14:paraId="50A1730F" w14:textId="77777777" w:rsidR="002123B2" w:rsidRPr="005806DC" w:rsidRDefault="002123B2" w:rsidP="002123B2">
      <w:pPr>
        <w:spacing w:after="0"/>
        <w:ind w:left="69"/>
        <w:rPr>
          <w:rFonts w:cs="Calibri"/>
          <w:sz w:val="24"/>
          <w:szCs w:val="24"/>
        </w:rPr>
      </w:pPr>
    </w:p>
    <w:p w14:paraId="5CC7E8C1" w14:textId="77777777" w:rsidR="002123B2" w:rsidRPr="005806DC" w:rsidRDefault="002123B2" w:rsidP="00BC1A54">
      <w:pPr>
        <w:pStyle w:val="ListParagraph"/>
        <w:numPr>
          <w:ilvl w:val="0"/>
          <w:numId w:val="7"/>
        </w:numPr>
        <w:tabs>
          <w:tab w:val="left" w:pos="426"/>
        </w:tabs>
        <w:spacing w:line="276" w:lineRule="auto"/>
        <w:ind w:left="426" w:hanging="357"/>
        <w:rPr>
          <w:rFonts w:ascii="Calibri" w:hAnsi="Calibri" w:cs="Calibri"/>
          <w:b/>
        </w:rPr>
      </w:pPr>
      <w:r w:rsidRPr="005806DC">
        <w:rPr>
          <w:rFonts w:ascii="Calibri" w:hAnsi="Calibri" w:cs="Calibri"/>
          <w:b/>
        </w:rPr>
        <w:t>Emphasise images and storytelling</w:t>
      </w:r>
    </w:p>
    <w:p w14:paraId="7C3919F0" w14:textId="77777777" w:rsidR="002123B2" w:rsidRPr="005806DC" w:rsidRDefault="002123B2" w:rsidP="002123B2">
      <w:pPr>
        <w:spacing w:after="0"/>
        <w:ind w:left="69"/>
        <w:rPr>
          <w:rFonts w:cs="Calibri"/>
          <w:sz w:val="24"/>
          <w:szCs w:val="24"/>
        </w:rPr>
      </w:pPr>
      <w:r w:rsidRPr="005806DC">
        <w:rPr>
          <w:rFonts w:cs="Calibri"/>
          <w:sz w:val="24"/>
          <w:szCs w:val="24"/>
        </w:rPr>
        <w:t>Images can be a powerful way to communicate information. They may be the only accessible form of information for some people. Formats like cartoons and comics can tell a clear, short story, provided they are not patronising.</w:t>
      </w:r>
    </w:p>
    <w:p w14:paraId="35A5069F" w14:textId="77777777" w:rsidR="002123B2" w:rsidRPr="005806DC" w:rsidRDefault="002123B2" w:rsidP="002123B2">
      <w:pPr>
        <w:spacing w:after="0"/>
        <w:ind w:left="69"/>
        <w:rPr>
          <w:rFonts w:cs="Calibri"/>
          <w:sz w:val="24"/>
          <w:szCs w:val="24"/>
        </w:rPr>
      </w:pPr>
    </w:p>
    <w:p w14:paraId="16FBD41C" w14:textId="77777777" w:rsidR="002123B2" w:rsidRPr="005806DC" w:rsidRDefault="002123B2" w:rsidP="00BA5184">
      <w:pPr>
        <w:pStyle w:val="ListParagraph"/>
        <w:numPr>
          <w:ilvl w:val="0"/>
          <w:numId w:val="7"/>
        </w:numPr>
        <w:spacing w:line="276" w:lineRule="auto"/>
        <w:ind w:left="426" w:hanging="356"/>
        <w:rPr>
          <w:rFonts w:ascii="Calibri" w:hAnsi="Calibri" w:cs="Calibri"/>
          <w:b/>
        </w:rPr>
      </w:pPr>
      <w:r w:rsidRPr="005806DC">
        <w:rPr>
          <w:rFonts w:ascii="Calibri" w:hAnsi="Calibri" w:cs="Calibri"/>
          <w:b/>
        </w:rPr>
        <w:t xml:space="preserve"> Be creative and give people options</w:t>
      </w:r>
    </w:p>
    <w:p w14:paraId="5605018C" w14:textId="0B1417D6" w:rsidR="002123B2" w:rsidRPr="005806DC" w:rsidRDefault="002123B2" w:rsidP="002123B2">
      <w:pPr>
        <w:spacing w:after="0"/>
        <w:ind w:left="69"/>
        <w:rPr>
          <w:rFonts w:cs="Calibri"/>
          <w:sz w:val="24"/>
          <w:szCs w:val="24"/>
        </w:rPr>
      </w:pPr>
      <w:r w:rsidRPr="005806DC">
        <w:rPr>
          <w:rFonts w:cs="Calibri"/>
          <w:sz w:val="24"/>
          <w:szCs w:val="24"/>
        </w:rPr>
        <w:t xml:space="preserve">Be creative when thinking of different formats for presenting information. For example, information could be on a poster, in flowcharts, part of a ‘guided’ online tour, or in a captioned video. Give </w:t>
      </w:r>
      <w:r w:rsidR="00613CA3">
        <w:rPr>
          <w:rFonts w:cs="Calibri"/>
          <w:sz w:val="24"/>
          <w:szCs w:val="24"/>
        </w:rPr>
        <w:t>consumers</w:t>
      </w:r>
      <w:r w:rsidRPr="005806DC">
        <w:rPr>
          <w:rFonts w:cs="Calibri"/>
          <w:sz w:val="24"/>
          <w:szCs w:val="24"/>
        </w:rPr>
        <w:t xml:space="preserve"> the option to choose how they want to receive information. This might include offering multiple versions of the website.</w:t>
      </w:r>
      <w:r w:rsidRPr="005806DC">
        <w:rPr>
          <w:rFonts w:cs="Calibri"/>
          <w:sz w:val="24"/>
          <w:szCs w:val="24"/>
        </w:rPr>
        <w:br/>
      </w:r>
    </w:p>
    <w:p w14:paraId="19194DB9" w14:textId="77777777" w:rsidR="002123B2" w:rsidRPr="005806DC" w:rsidRDefault="002123B2" w:rsidP="00BC1A54">
      <w:pPr>
        <w:pStyle w:val="ListParagraph"/>
        <w:numPr>
          <w:ilvl w:val="0"/>
          <w:numId w:val="7"/>
        </w:numPr>
        <w:spacing w:line="276" w:lineRule="auto"/>
        <w:ind w:left="567" w:hanging="567"/>
        <w:rPr>
          <w:rFonts w:ascii="Calibri" w:hAnsi="Calibri" w:cs="Calibri"/>
          <w:b/>
        </w:rPr>
      </w:pPr>
      <w:r w:rsidRPr="005806DC">
        <w:rPr>
          <w:rFonts w:ascii="Calibri" w:hAnsi="Calibri" w:cs="Calibri"/>
          <w:b/>
        </w:rPr>
        <w:t>Ensure multiple forms of assistance are available for asking questions or getting help</w:t>
      </w:r>
    </w:p>
    <w:p w14:paraId="7AC78154" w14:textId="77777777" w:rsidR="002123B2" w:rsidRPr="005806DC" w:rsidRDefault="002123B2" w:rsidP="002123B2">
      <w:pPr>
        <w:rPr>
          <w:sz w:val="24"/>
          <w:szCs w:val="24"/>
          <w:lang w:val="en-US" w:eastAsia="ja-JP"/>
        </w:rPr>
      </w:pPr>
      <w:r w:rsidRPr="005806DC">
        <w:rPr>
          <w:rFonts w:cs="Calibri"/>
          <w:sz w:val="24"/>
          <w:szCs w:val="24"/>
        </w:rPr>
        <w:t xml:space="preserve">Companies should offer live chat, telephone numbers and email for people to get in touch. These should be easy to find and read, and it should be easy to identify the right contact point for a </w:t>
      </w:r>
      <w:proofErr w:type="gramStart"/>
      <w:r w:rsidRPr="005806DC">
        <w:rPr>
          <w:rFonts w:cs="Calibri"/>
          <w:sz w:val="24"/>
          <w:szCs w:val="24"/>
        </w:rPr>
        <w:t>particular query</w:t>
      </w:r>
      <w:proofErr w:type="gramEnd"/>
      <w:r w:rsidRPr="005806DC">
        <w:rPr>
          <w:rFonts w:cs="Calibri"/>
          <w:sz w:val="24"/>
          <w:szCs w:val="24"/>
        </w:rPr>
        <w:t xml:space="preserve"> or problem. There should also be the option to ask questions face-to-face.</w:t>
      </w:r>
    </w:p>
    <w:p w14:paraId="52B96C86" w14:textId="3C9D5A98" w:rsidR="002123B2" w:rsidRDefault="002123B2" w:rsidP="004A0F8B">
      <w:pPr>
        <w:pStyle w:val="Heading1"/>
        <w:numPr>
          <w:ilvl w:val="0"/>
          <w:numId w:val="13"/>
        </w:numPr>
        <w:rPr>
          <w:lang w:val="en-US" w:eastAsia="ja-JP"/>
        </w:rPr>
      </w:pPr>
      <w:bookmarkStart w:id="9" w:name="_Toc523917593"/>
      <w:bookmarkEnd w:id="8"/>
      <w:bookmarkEnd w:id="9"/>
      <w:r>
        <w:rPr>
          <w:lang w:val="en-US" w:eastAsia="ja-JP"/>
        </w:rPr>
        <w:t>Toolkit for suppliers</w:t>
      </w:r>
    </w:p>
    <w:p w14:paraId="227DB4AF" w14:textId="67A467D1" w:rsidR="002123B2" w:rsidRDefault="002123B2" w:rsidP="002123B2">
      <w:pPr>
        <w:jc w:val="both"/>
        <w:rPr>
          <w:rFonts w:asciiTheme="minorHAnsi" w:hAnsiTheme="minorHAnsi" w:cstheme="minorHAnsi"/>
          <w:sz w:val="24"/>
          <w:szCs w:val="24"/>
        </w:rPr>
      </w:pPr>
      <w:r>
        <w:rPr>
          <w:rFonts w:asciiTheme="minorHAnsi" w:hAnsiTheme="minorHAnsi" w:cstheme="minorHAnsi"/>
          <w:sz w:val="24"/>
          <w:szCs w:val="24"/>
        </w:rPr>
        <w:t>To facilitate</w:t>
      </w:r>
      <w:r w:rsidRPr="00276790">
        <w:rPr>
          <w:rFonts w:asciiTheme="minorHAnsi" w:hAnsiTheme="minorHAnsi" w:cstheme="minorHAnsi"/>
          <w:sz w:val="24"/>
          <w:szCs w:val="24"/>
        </w:rPr>
        <w:t xml:space="preserve"> the implementation of the recommendations,</w:t>
      </w:r>
      <w:r>
        <w:rPr>
          <w:rFonts w:asciiTheme="minorHAnsi" w:hAnsiTheme="minorHAnsi" w:cstheme="minorHAnsi"/>
          <w:sz w:val="24"/>
          <w:szCs w:val="24"/>
        </w:rPr>
        <w:t xml:space="preserve"> and in consultation with People with Disability Australia and VMIAC,</w:t>
      </w:r>
      <w:r w:rsidRPr="00276790">
        <w:rPr>
          <w:rFonts w:asciiTheme="minorHAnsi" w:hAnsiTheme="minorHAnsi" w:cstheme="minorHAnsi"/>
          <w:sz w:val="24"/>
          <w:szCs w:val="24"/>
        </w:rPr>
        <w:t xml:space="preserve"> </w:t>
      </w:r>
      <w:r w:rsidR="00DE3D4D">
        <w:rPr>
          <w:rFonts w:asciiTheme="minorHAnsi" w:hAnsiTheme="minorHAnsi" w:cstheme="minorHAnsi"/>
          <w:sz w:val="24"/>
          <w:szCs w:val="24"/>
        </w:rPr>
        <w:t>the research team</w:t>
      </w:r>
      <w:r w:rsidRPr="00276790">
        <w:rPr>
          <w:rFonts w:asciiTheme="minorHAnsi" w:hAnsiTheme="minorHAnsi" w:cstheme="minorHAnsi"/>
          <w:sz w:val="24"/>
          <w:szCs w:val="24"/>
        </w:rPr>
        <w:t xml:space="preserve"> created a toolkit of materials to assist </w:t>
      </w:r>
      <w:r w:rsidRPr="00276790">
        <w:rPr>
          <w:rFonts w:asciiTheme="minorHAnsi" w:hAnsiTheme="minorHAnsi" w:cstheme="minorHAnsi"/>
          <w:sz w:val="24"/>
          <w:szCs w:val="24"/>
        </w:rPr>
        <w:lastRenderedPageBreak/>
        <w:t xml:space="preserve">providers to </w:t>
      </w:r>
      <w:r w:rsidR="009F08D1">
        <w:rPr>
          <w:rFonts w:asciiTheme="minorHAnsi" w:hAnsiTheme="minorHAnsi" w:cstheme="minorHAnsi"/>
          <w:sz w:val="24"/>
          <w:szCs w:val="24"/>
        </w:rPr>
        <w:t xml:space="preserve">provide </w:t>
      </w:r>
      <w:r w:rsidRPr="00276790">
        <w:rPr>
          <w:rFonts w:asciiTheme="minorHAnsi" w:hAnsiTheme="minorHAnsi" w:cstheme="minorHAnsi"/>
          <w:sz w:val="24"/>
          <w:szCs w:val="24"/>
        </w:rPr>
        <w:t>writ</w:t>
      </w:r>
      <w:r>
        <w:rPr>
          <w:rFonts w:asciiTheme="minorHAnsi" w:hAnsiTheme="minorHAnsi" w:cstheme="minorHAnsi"/>
          <w:sz w:val="24"/>
          <w:szCs w:val="24"/>
        </w:rPr>
        <w:t xml:space="preserve">ten </w:t>
      </w:r>
      <w:r w:rsidR="00B7557F">
        <w:rPr>
          <w:rFonts w:asciiTheme="minorHAnsi" w:hAnsiTheme="minorHAnsi" w:cstheme="minorHAnsi"/>
          <w:sz w:val="24"/>
          <w:szCs w:val="24"/>
        </w:rPr>
        <w:t xml:space="preserve">consumer </w:t>
      </w:r>
      <w:r>
        <w:rPr>
          <w:rFonts w:asciiTheme="minorHAnsi" w:hAnsiTheme="minorHAnsi" w:cstheme="minorHAnsi"/>
          <w:sz w:val="24"/>
          <w:szCs w:val="24"/>
        </w:rPr>
        <w:t>information</w:t>
      </w:r>
      <w:r w:rsidR="009F08D1">
        <w:rPr>
          <w:rFonts w:asciiTheme="minorHAnsi" w:hAnsiTheme="minorHAnsi" w:cstheme="minorHAnsi"/>
          <w:sz w:val="24"/>
          <w:szCs w:val="24"/>
        </w:rPr>
        <w:t xml:space="preserve"> </w:t>
      </w:r>
      <w:r>
        <w:rPr>
          <w:rFonts w:asciiTheme="minorHAnsi" w:hAnsiTheme="minorHAnsi" w:cstheme="minorHAnsi"/>
          <w:sz w:val="24"/>
          <w:szCs w:val="24"/>
        </w:rPr>
        <w:t xml:space="preserve">in Easy English. </w:t>
      </w:r>
      <w:r w:rsidR="00260446">
        <w:rPr>
          <w:rFonts w:asciiTheme="minorHAnsi" w:hAnsiTheme="minorHAnsi" w:cstheme="minorHAnsi"/>
          <w:sz w:val="24"/>
          <w:szCs w:val="24"/>
        </w:rPr>
        <w:t xml:space="preserve">As outlined above, </w:t>
      </w:r>
      <w:r w:rsidR="00B7557F">
        <w:rPr>
          <w:rFonts w:asciiTheme="minorHAnsi" w:hAnsiTheme="minorHAnsi" w:cstheme="minorHAnsi"/>
          <w:sz w:val="24"/>
          <w:szCs w:val="24"/>
        </w:rPr>
        <w:t xml:space="preserve">this </w:t>
      </w:r>
      <w:r w:rsidRPr="00276790">
        <w:rPr>
          <w:rFonts w:asciiTheme="minorHAnsi" w:hAnsiTheme="minorHAnsi" w:cstheme="minorHAnsi"/>
          <w:sz w:val="24"/>
          <w:szCs w:val="24"/>
        </w:rPr>
        <w:t xml:space="preserve">format is likely to be accessible for people with cognitive disabilities, as well as other </w:t>
      </w:r>
      <w:r w:rsidR="00613CA3">
        <w:rPr>
          <w:rFonts w:asciiTheme="minorHAnsi" w:hAnsiTheme="minorHAnsi" w:cstheme="minorHAnsi"/>
          <w:sz w:val="24"/>
          <w:szCs w:val="24"/>
        </w:rPr>
        <w:t>consumers</w:t>
      </w:r>
      <w:r w:rsidRPr="00276790">
        <w:rPr>
          <w:rFonts w:asciiTheme="minorHAnsi" w:hAnsiTheme="minorHAnsi" w:cstheme="minorHAnsi"/>
          <w:sz w:val="24"/>
          <w:szCs w:val="24"/>
        </w:rPr>
        <w:t xml:space="preserve"> who prefer or require clear communication.</w:t>
      </w:r>
      <w:r>
        <w:rPr>
          <w:rFonts w:asciiTheme="minorHAnsi" w:hAnsiTheme="minorHAnsi" w:cstheme="minorHAnsi"/>
          <w:sz w:val="24"/>
          <w:szCs w:val="24"/>
        </w:rPr>
        <w:t xml:space="preserve"> </w:t>
      </w:r>
      <w:r w:rsidR="00343629">
        <w:rPr>
          <w:rFonts w:asciiTheme="minorHAnsi" w:hAnsiTheme="minorHAnsi" w:cstheme="minorHAnsi"/>
          <w:sz w:val="24"/>
          <w:szCs w:val="24"/>
        </w:rPr>
        <w:t>The factsheets were formatted into Easy English and tested with four people with intellectual disability by the Intellectual Disability Rights Service in New South Wales.</w:t>
      </w:r>
    </w:p>
    <w:p w14:paraId="2E853802" w14:textId="735D602F" w:rsidR="002123B2" w:rsidRDefault="002123B2" w:rsidP="002123B2">
      <w:pPr>
        <w:jc w:val="both"/>
        <w:rPr>
          <w:rFonts w:asciiTheme="minorHAnsi" w:hAnsiTheme="minorHAnsi" w:cstheme="minorHAnsi"/>
          <w:sz w:val="24"/>
          <w:szCs w:val="24"/>
        </w:rPr>
      </w:pPr>
      <w:r w:rsidRPr="00276790">
        <w:rPr>
          <w:rFonts w:asciiTheme="minorHAnsi" w:hAnsiTheme="minorHAnsi" w:cstheme="minorHAnsi"/>
          <w:sz w:val="24"/>
          <w:szCs w:val="24"/>
        </w:rPr>
        <w:t xml:space="preserve">The toolkit consists of four ‘things you need to know’ factsheet templates that address the key issues and questions that </w:t>
      </w:r>
      <w:r w:rsidR="00613CA3">
        <w:rPr>
          <w:rFonts w:asciiTheme="minorHAnsi" w:hAnsiTheme="minorHAnsi" w:cstheme="minorHAnsi"/>
          <w:sz w:val="24"/>
          <w:szCs w:val="24"/>
        </w:rPr>
        <w:t>consumers</w:t>
      </w:r>
      <w:r w:rsidRPr="00276790">
        <w:rPr>
          <w:rFonts w:asciiTheme="minorHAnsi" w:hAnsiTheme="minorHAnsi" w:cstheme="minorHAnsi"/>
          <w:sz w:val="24"/>
          <w:szCs w:val="24"/>
        </w:rPr>
        <w:t xml:space="preserve"> might have when</w:t>
      </w:r>
      <w:r>
        <w:rPr>
          <w:rFonts w:asciiTheme="minorHAnsi" w:hAnsiTheme="minorHAnsi" w:cstheme="minorHAnsi"/>
          <w:sz w:val="24"/>
          <w:szCs w:val="24"/>
        </w:rPr>
        <w:t xml:space="preserve"> they are:</w:t>
      </w:r>
    </w:p>
    <w:p w14:paraId="0884949F" w14:textId="59DEADFE" w:rsidR="002123B2" w:rsidRPr="00281CBF" w:rsidRDefault="002123B2" w:rsidP="00281CBF">
      <w:pPr>
        <w:pStyle w:val="ListParagraph"/>
        <w:numPr>
          <w:ilvl w:val="0"/>
          <w:numId w:val="6"/>
        </w:numPr>
        <w:jc w:val="both"/>
        <w:rPr>
          <w:rFonts w:asciiTheme="minorHAnsi" w:hAnsiTheme="minorHAnsi" w:cstheme="minorHAnsi"/>
        </w:rPr>
      </w:pPr>
      <w:r w:rsidRPr="00E40816">
        <w:rPr>
          <w:rFonts w:asciiTheme="minorHAnsi" w:hAnsiTheme="minorHAnsi" w:cstheme="minorHAnsi"/>
        </w:rPr>
        <w:t xml:space="preserve">shopping </w:t>
      </w:r>
      <w:r>
        <w:rPr>
          <w:rFonts w:asciiTheme="minorHAnsi" w:hAnsiTheme="minorHAnsi" w:cstheme="minorHAnsi"/>
        </w:rPr>
        <w:t>for a service;</w:t>
      </w:r>
    </w:p>
    <w:p w14:paraId="635EF6B2" w14:textId="1F5588B8" w:rsidR="002123B2" w:rsidRPr="00281CBF" w:rsidRDefault="002123B2" w:rsidP="00281CBF">
      <w:pPr>
        <w:pStyle w:val="ListParagraph"/>
        <w:numPr>
          <w:ilvl w:val="0"/>
          <w:numId w:val="6"/>
        </w:numPr>
        <w:jc w:val="both"/>
        <w:rPr>
          <w:rFonts w:asciiTheme="minorHAnsi" w:hAnsiTheme="minorHAnsi" w:cstheme="minorHAnsi"/>
        </w:rPr>
      </w:pPr>
      <w:r>
        <w:rPr>
          <w:rFonts w:asciiTheme="minorHAnsi" w:hAnsiTheme="minorHAnsi" w:cstheme="minorHAnsi"/>
        </w:rPr>
        <w:t>paying for a service;</w:t>
      </w:r>
    </w:p>
    <w:p w14:paraId="07105B0A" w14:textId="36559650" w:rsidR="002123B2" w:rsidRPr="00281CBF" w:rsidRDefault="002123B2" w:rsidP="00281CBF">
      <w:pPr>
        <w:pStyle w:val="ListParagraph"/>
        <w:numPr>
          <w:ilvl w:val="0"/>
          <w:numId w:val="6"/>
        </w:numPr>
        <w:jc w:val="both"/>
        <w:rPr>
          <w:rFonts w:asciiTheme="minorHAnsi" w:hAnsiTheme="minorHAnsi" w:cstheme="minorHAnsi"/>
        </w:rPr>
      </w:pPr>
      <w:r w:rsidRPr="00E40816">
        <w:rPr>
          <w:rFonts w:asciiTheme="minorHAnsi" w:hAnsiTheme="minorHAnsi" w:cstheme="minorHAnsi"/>
        </w:rPr>
        <w:t>experiencing financial hardship</w:t>
      </w:r>
      <w:r>
        <w:rPr>
          <w:rFonts w:asciiTheme="minorHAnsi" w:hAnsiTheme="minorHAnsi" w:cstheme="minorHAnsi"/>
        </w:rPr>
        <w:t>;</w:t>
      </w:r>
      <w:r w:rsidRPr="00E40816">
        <w:rPr>
          <w:rFonts w:asciiTheme="minorHAnsi" w:hAnsiTheme="minorHAnsi" w:cstheme="minorHAnsi"/>
        </w:rPr>
        <w:t xml:space="preserve"> or </w:t>
      </w:r>
    </w:p>
    <w:p w14:paraId="19814B7A" w14:textId="77777777" w:rsidR="002123B2" w:rsidRDefault="002123B2" w:rsidP="00BC1A54">
      <w:pPr>
        <w:pStyle w:val="ListParagraph"/>
        <w:numPr>
          <w:ilvl w:val="0"/>
          <w:numId w:val="6"/>
        </w:numPr>
        <w:jc w:val="both"/>
        <w:rPr>
          <w:rFonts w:asciiTheme="minorHAnsi" w:hAnsiTheme="minorHAnsi" w:cstheme="minorHAnsi"/>
        </w:rPr>
      </w:pPr>
      <w:r>
        <w:rPr>
          <w:rFonts w:asciiTheme="minorHAnsi" w:hAnsiTheme="minorHAnsi" w:cstheme="minorHAnsi"/>
        </w:rPr>
        <w:t xml:space="preserve">having </w:t>
      </w:r>
      <w:r w:rsidRPr="00E40816">
        <w:rPr>
          <w:rFonts w:asciiTheme="minorHAnsi" w:hAnsiTheme="minorHAnsi" w:cstheme="minorHAnsi"/>
        </w:rPr>
        <w:t>a problem with their device or service.</w:t>
      </w:r>
      <w:r>
        <w:rPr>
          <w:rFonts w:asciiTheme="minorHAnsi" w:hAnsiTheme="minorHAnsi" w:cstheme="minorHAnsi"/>
        </w:rPr>
        <w:tab/>
      </w:r>
      <w:r w:rsidRPr="00E40816">
        <w:rPr>
          <w:rFonts w:asciiTheme="minorHAnsi" w:hAnsiTheme="minorHAnsi" w:cstheme="minorHAnsi"/>
        </w:rPr>
        <w:t xml:space="preserve"> </w:t>
      </w:r>
      <w:r>
        <w:rPr>
          <w:rFonts w:asciiTheme="minorHAnsi" w:hAnsiTheme="minorHAnsi" w:cstheme="minorHAnsi"/>
        </w:rPr>
        <w:br/>
      </w:r>
    </w:p>
    <w:p w14:paraId="15D7DF71" w14:textId="603FE9DA" w:rsidR="00B721E6" w:rsidRPr="006F0214" w:rsidRDefault="002123B2" w:rsidP="006F0214">
      <w:pPr>
        <w:jc w:val="both"/>
        <w:rPr>
          <w:rFonts w:asciiTheme="minorHAnsi" w:hAnsiTheme="minorHAnsi" w:cstheme="minorHAnsi"/>
          <w:sz w:val="24"/>
          <w:szCs w:val="24"/>
        </w:rPr>
      </w:pPr>
      <w:r w:rsidRPr="00E40816">
        <w:rPr>
          <w:rFonts w:asciiTheme="minorHAnsi" w:hAnsiTheme="minorHAnsi" w:cstheme="minorHAnsi"/>
          <w:sz w:val="24"/>
          <w:szCs w:val="24"/>
        </w:rPr>
        <w:t>If</w:t>
      </w:r>
      <w:r>
        <w:rPr>
          <w:rFonts w:asciiTheme="minorHAnsi" w:hAnsiTheme="minorHAnsi" w:cstheme="minorHAnsi"/>
          <w:sz w:val="24"/>
          <w:szCs w:val="24"/>
        </w:rPr>
        <w:t xml:space="preserve"> suppliers</w:t>
      </w:r>
      <w:r w:rsidRPr="00E40816">
        <w:rPr>
          <w:rFonts w:asciiTheme="minorHAnsi" w:hAnsiTheme="minorHAnsi" w:cstheme="minorHAnsi"/>
          <w:sz w:val="24"/>
          <w:szCs w:val="24"/>
        </w:rPr>
        <w:t xml:space="preserve"> adapt these factsheets with their own contact information and offerings, </w:t>
      </w:r>
      <w:r w:rsidR="00613CA3">
        <w:rPr>
          <w:rFonts w:asciiTheme="minorHAnsi" w:hAnsiTheme="minorHAnsi" w:cstheme="minorHAnsi"/>
          <w:sz w:val="24"/>
          <w:szCs w:val="24"/>
        </w:rPr>
        <w:t>consumers</w:t>
      </w:r>
      <w:r w:rsidRPr="00E40816">
        <w:rPr>
          <w:rFonts w:asciiTheme="minorHAnsi" w:hAnsiTheme="minorHAnsi" w:cstheme="minorHAnsi"/>
          <w:sz w:val="24"/>
          <w:szCs w:val="24"/>
        </w:rPr>
        <w:t xml:space="preserve"> with cognitive disabilities can be better supported to select and use the services that meet their needs and preferences</w:t>
      </w:r>
      <w:r>
        <w:rPr>
          <w:rFonts w:asciiTheme="minorHAnsi" w:hAnsiTheme="minorHAnsi" w:cstheme="minorHAnsi"/>
          <w:sz w:val="24"/>
          <w:szCs w:val="24"/>
        </w:rPr>
        <w:t>, either by themselves or with the support of a trusted person</w:t>
      </w:r>
      <w:r w:rsidRPr="00E40816">
        <w:rPr>
          <w:rFonts w:asciiTheme="minorHAnsi" w:hAnsiTheme="minorHAnsi" w:cstheme="minorHAnsi"/>
          <w:sz w:val="24"/>
          <w:szCs w:val="24"/>
        </w:rPr>
        <w:t>.</w:t>
      </w:r>
      <w:bookmarkEnd w:id="0"/>
    </w:p>
    <w:p w14:paraId="139A3311" w14:textId="5B85CFAA" w:rsidR="004F41D4" w:rsidRPr="004F41D4" w:rsidRDefault="004F41D4" w:rsidP="004A0F8B">
      <w:pPr>
        <w:pStyle w:val="Heading1"/>
        <w:numPr>
          <w:ilvl w:val="0"/>
          <w:numId w:val="13"/>
        </w:numPr>
        <w:rPr>
          <w:lang w:eastAsia="ja-JP"/>
        </w:rPr>
      </w:pPr>
      <w:bookmarkStart w:id="10" w:name="_Toc445818360"/>
      <w:bookmarkStart w:id="11" w:name="_Toc529514202"/>
      <w:r w:rsidRPr="004F41D4">
        <w:rPr>
          <w:lang w:eastAsia="ja-JP"/>
        </w:rPr>
        <w:t>Conclusion</w:t>
      </w:r>
    </w:p>
    <w:p w14:paraId="6AFC4D0D" w14:textId="43D8E424" w:rsidR="004242A8" w:rsidRDefault="00F95D3C" w:rsidP="00513839">
      <w:pPr>
        <w:spacing w:before="120" w:after="120"/>
        <w:jc w:val="both"/>
        <w:rPr>
          <w:rFonts w:asciiTheme="minorHAnsi" w:hAnsiTheme="minorHAnsi" w:cs="Arial"/>
          <w:sz w:val="24"/>
          <w:szCs w:val="24"/>
        </w:rPr>
      </w:pPr>
      <w:r>
        <w:rPr>
          <w:rFonts w:asciiTheme="minorHAnsi" w:hAnsiTheme="minorHAnsi" w:cs="Arial"/>
          <w:sz w:val="24"/>
          <w:szCs w:val="24"/>
        </w:rPr>
        <w:t xml:space="preserve">Telecommunications suppliers can </w:t>
      </w:r>
      <w:r w:rsidR="00137106">
        <w:rPr>
          <w:rFonts w:asciiTheme="minorHAnsi" w:hAnsiTheme="minorHAnsi" w:cs="Arial"/>
          <w:sz w:val="24"/>
          <w:szCs w:val="24"/>
        </w:rPr>
        <w:t xml:space="preserve">do much to improve the </w:t>
      </w:r>
      <w:r w:rsidR="004F41D4" w:rsidRPr="00276790">
        <w:rPr>
          <w:rFonts w:asciiTheme="minorHAnsi" w:hAnsiTheme="minorHAnsi" w:cs="Arial"/>
          <w:sz w:val="24"/>
          <w:szCs w:val="24"/>
        </w:rPr>
        <w:t>accessibility of</w:t>
      </w:r>
      <w:r w:rsidR="00137106">
        <w:rPr>
          <w:rFonts w:asciiTheme="minorHAnsi" w:hAnsiTheme="minorHAnsi" w:cs="Arial"/>
          <w:sz w:val="24"/>
          <w:szCs w:val="24"/>
        </w:rPr>
        <w:t xml:space="preserve"> their</w:t>
      </w:r>
      <w:r w:rsidR="004F41D4" w:rsidRPr="00276790">
        <w:rPr>
          <w:rFonts w:asciiTheme="minorHAnsi" w:hAnsiTheme="minorHAnsi" w:cs="Arial"/>
          <w:sz w:val="24"/>
          <w:szCs w:val="24"/>
        </w:rPr>
        <w:t xml:space="preserve"> online </w:t>
      </w:r>
      <w:r w:rsidR="004F41D4">
        <w:rPr>
          <w:rFonts w:asciiTheme="minorHAnsi" w:hAnsiTheme="minorHAnsi" w:cs="Arial"/>
          <w:sz w:val="24"/>
          <w:szCs w:val="24"/>
        </w:rPr>
        <w:t>information and sales materials</w:t>
      </w:r>
      <w:r w:rsidR="004F41D4" w:rsidRPr="00276790">
        <w:rPr>
          <w:rFonts w:asciiTheme="minorHAnsi" w:hAnsiTheme="minorHAnsi" w:cs="Arial"/>
          <w:sz w:val="24"/>
          <w:szCs w:val="24"/>
        </w:rPr>
        <w:t xml:space="preserve"> for mobile, tablet, broadband </w:t>
      </w:r>
      <w:r w:rsidR="004F41D4">
        <w:rPr>
          <w:rFonts w:asciiTheme="minorHAnsi" w:hAnsiTheme="minorHAnsi" w:cs="Arial"/>
          <w:sz w:val="24"/>
          <w:szCs w:val="24"/>
        </w:rPr>
        <w:t>and</w:t>
      </w:r>
      <w:r w:rsidR="004F41D4" w:rsidRPr="00276790">
        <w:rPr>
          <w:rFonts w:asciiTheme="minorHAnsi" w:hAnsiTheme="minorHAnsi" w:cs="Arial"/>
          <w:sz w:val="24"/>
          <w:szCs w:val="24"/>
        </w:rPr>
        <w:t xml:space="preserve"> home phone</w:t>
      </w:r>
      <w:r w:rsidR="00B973B1">
        <w:rPr>
          <w:rFonts w:asciiTheme="minorHAnsi" w:hAnsiTheme="minorHAnsi" w:cs="Arial"/>
          <w:sz w:val="24"/>
          <w:szCs w:val="24"/>
        </w:rPr>
        <w:t xml:space="preserve"> services</w:t>
      </w:r>
      <w:r w:rsidR="004F41D4" w:rsidRPr="00276790">
        <w:rPr>
          <w:rFonts w:asciiTheme="minorHAnsi" w:hAnsiTheme="minorHAnsi" w:cs="Arial"/>
          <w:sz w:val="24"/>
          <w:szCs w:val="24"/>
        </w:rPr>
        <w:t xml:space="preserve"> for </w:t>
      </w:r>
      <w:r w:rsidR="00613CA3">
        <w:rPr>
          <w:rFonts w:asciiTheme="minorHAnsi" w:hAnsiTheme="minorHAnsi" w:cs="Arial"/>
          <w:sz w:val="24"/>
          <w:szCs w:val="24"/>
        </w:rPr>
        <w:t>consumers</w:t>
      </w:r>
      <w:r w:rsidR="004F41D4" w:rsidRPr="00276790">
        <w:rPr>
          <w:rFonts w:asciiTheme="minorHAnsi" w:hAnsiTheme="minorHAnsi" w:cs="Arial"/>
          <w:sz w:val="24"/>
          <w:szCs w:val="24"/>
        </w:rPr>
        <w:t xml:space="preserve"> with cognitive disabilities. </w:t>
      </w:r>
      <w:r w:rsidR="00137106">
        <w:rPr>
          <w:rFonts w:asciiTheme="minorHAnsi" w:hAnsiTheme="minorHAnsi" w:cs="Arial"/>
          <w:sz w:val="24"/>
          <w:szCs w:val="24"/>
        </w:rPr>
        <w:t xml:space="preserve">Our analysis demonstrated that </w:t>
      </w:r>
      <w:r w:rsidR="004F41D4" w:rsidRPr="00276790">
        <w:rPr>
          <w:rFonts w:asciiTheme="minorHAnsi" w:hAnsiTheme="minorHAnsi" w:cs="Arial"/>
          <w:sz w:val="24"/>
          <w:szCs w:val="24"/>
        </w:rPr>
        <w:t xml:space="preserve">most websites had many </w:t>
      </w:r>
      <w:r w:rsidR="004F41D4">
        <w:rPr>
          <w:rFonts w:asciiTheme="minorHAnsi" w:hAnsiTheme="minorHAnsi" w:cs="Arial"/>
          <w:sz w:val="24"/>
          <w:szCs w:val="24"/>
        </w:rPr>
        <w:t>shortcomings</w:t>
      </w:r>
      <w:r w:rsidR="004F41D4" w:rsidRPr="00276790">
        <w:rPr>
          <w:rFonts w:asciiTheme="minorHAnsi" w:hAnsiTheme="minorHAnsi" w:cs="Arial"/>
          <w:sz w:val="24"/>
          <w:szCs w:val="24"/>
        </w:rPr>
        <w:t xml:space="preserve">. </w:t>
      </w:r>
      <w:r w:rsidR="00513839">
        <w:rPr>
          <w:rFonts w:asciiTheme="minorHAnsi" w:hAnsiTheme="minorHAnsi" w:cs="Arial"/>
          <w:sz w:val="24"/>
          <w:szCs w:val="24"/>
        </w:rPr>
        <w:t>The twelve recommendation</w:t>
      </w:r>
      <w:r w:rsidR="00613CA3">
        <w:rPr>
          <w:rFonts w:asciiTheme="minorHAnsi" w:hAnsiTheme="minorHAnsi" w:cs="Arial"/>
          <w:sz w:val="24"/>
          <w:szCs w:val="24"/>
        </w:rPr>
        <w:t>s</w:t>
      </w:r>
      <w:r w:rsidR="00513839">
        <w:rPr>
          <w:rFonts w:asciiTheme="minorHAnsi" w:hAnsiTheme="minorHAnsi" w:cs="Arial"/>
          <w:sz w:val="24"/>
          <w:szCs w:val="24"/>
        </w:rPr>
        <w:t xml:space="preserve"> draw on this analysis, as well as past research and </w:t>
      </w:r>
      <w:r w:rsidR="004242A8" w:rsidRPr="00276790">
        <w:rPr>
          <w:rFonts w:asciiTheme="minorHAnsi" w:hAnsiTheme="minorHAnsi" w:cs="Arial"/>
          <w:sz w:val="24"/>
          <w:szCs w:val="24"/>
        </w:rPr>
        <w:t xml:space="preserve">the expert advice of several </w:t>
      </w:r>
      <w:r w:rsidR="004242A8">
        <w:rPr>
          <w:rFonts w:asciiTheme="minorHAnsi" w:hAnsiTheme="minorHAnsi" w:cs="Arial"/>
          <w:sz w:val="24"/>
          <w:szCs w:val="24"/>
        </w:rPr>
        <w:t>representative organisations of people with cognitive disabilities</w:t>
      </w:r>
      <w:r w:rsidR="00513839">
        <w:rPr>
          <w:rFonts w:asciiTheme="minorHAnsi" w:hAnsiTheme="minorHAnsi" w:cs="Arial"/>
          <w:sz w:val="24"/>
          <w:szCs w:val="24"/>
        </w:rPr>
        <w:t>,</w:t>
      </w:r>
      <w:r w:rsidR="004242A8" w:rsidRPr="00276790">
        <w:rPr>
          <w:rFonts w:asciiTheme="minorHAnsi" w:hAnsiTheme="minorHAnsi" w:cs="Arial"/>
          <w:sz w:val="24"/>
          <w:szCs w:val="24"/>
        </w:rPr>
        <w:t xml:space="preserve"> to</w:t>
      </w:r>
      <w:r w:rsidR="00513839">
        <w:rPr>
          <w:rFonts w:asciiTheme="minorHAnsi" w:hAnsiTheme="minorHAnsi" w:cs="Arial"/>
          <w:sz w:val="24"/>
          <w:szCs w:val="24"/>
        </w:rPr>
        <w:t xml:space="preserve"> provide clear guidance for</w:t>
      </w:r>
      <w:r w:rsidR="004242A8" w:rsidRPr="00276790">
        <w:rPr>
          <w:rFonts w:asciiTheme="minorHAnsi" w:hAnsiTheme="minorHAnsi" w:cs="Arial"/>
          <w:sz w:val="24"/>
          <w:szCs w:val="24"/>
        </w:rPr>
        <w:t xml:space="preserve"> </w:t>
      </w:r>
      <w:r w:rsidR="00513839">
        <w:rPr>
          <w:rFonts w:asciiTheme="minorHAnsi" w:hAnsiTheme="minorHAnsi" w:cs="Arial"/>
          <w:sz w:val="24"/>
          <w:szCs w:val="24"/>
        </w:rPr>
        <w:t>improving suppliers’ websites</w:t>
      </w:r>
      <w:r w:rsidR="004242A8" w:rsidRPr="00276790">
        <w:rPr>
          <w:rFonts w:asciiTheme="minorHAnsi" w:hAnsiTheme="minorHAnsi" w:cs="Arial"/>
          <w:sz w:val="24"/>
          <w:szCs w:val="24"/>
        </w:rPr>
        <w:t xml:space="preserve">. The attached </w:t>
      </w:r>
      <w:r w:rsidR="004242A8">
        <w:rPr>
          <w:rFonts w:asciiTheme="minorHAnsi" w:hAnsiTheme="minorHAnsi" w:cs="Arial"/>
          <w:sz w:val="24"/>
          <w:szCs w:val="24"/>
        </w:rPr>
        <w:t>t</w:t>
      </w:r>
      <w:r w:rsidR="004242A8" w:rsidRPr="00276790">
        <w:rPr>
          <w:rFonts w:asciiTheme="minorHAnsi" w:hAnsiTheme="minorHAnsi" w:cs="Arial"/>
          <w:sz w:val="24"/>
          <w:szCs w:val="24"/>
        </w:rPr>
        <w:t xml:space="preserve">oolkit for </w:t>
      </w:r>
      <w:r w:rsidR="004242A8">
        <w:rPr>
          <w:rFonts w:asciiTheme="minorHAnsi" w:hAnsiTheme="minorHAnsi" w:cs="Arial"/>
          <w:sz w:val="24"/>
          <w:szCs w:val="24"/>
        </w:rPr>
        <w:t>s</w:t>
      </w:r>
      <w:r w:rsidR="004242A8" w:rsidRPr="00276790">
        <w:rPr>
          <w:rFonts w:asciiTheme="minorHAnsi" w:hAnsiTheme="minorHAnsi" w:cs="Arial"/>
          <w:sz w:val="24"/>
          <w:szCs w:val="24"/>
        </w:rPr>
        <w:t xml:space="preserve">uppliers provides four Easy English templates to assist suppliers to develop accessible materials for a diverse range of </w:t>
      </w:r>
      <w:r w:rsidR="00613CA3">
        <w:rPr>
          <w:rFonts w:asciiTheme="minorHAnsi" w:hAnsiTheme="minorHAnsi" w:cs="Arial"/>
          <w:sz w:val="24"/>
          <w:szCs w:val="24"/>
        </w:rPr>
        <w:t>consumers</w:t>
      </w:r>
      <w:r w:rsidR="004242A8" w:rsidRPr="00276790">
        <w:rPr>
          <w:rFonts w:asciiTheme="minorHAnsi" w:hAnsiTheme="minorHAnsi" w:cs="Arial"/>
          <w:sz w:val="24"/>
          <w:szCs w:val="24"/>
        </w:rPr>
        <w:t xml:space="preserve"> with cognitive disabilities</w:t>
      </w:r>
      <w:r w:rsidR="004242A8">
        <w:rPr>
          <w:rFonts w:asciiTheme="minorHAnsi" w:hAnsiTheme="minorHAnsi" w:cs="Arial"/>
          <w:sz w:val="24"/>
          <w:szCs w:val="24"/>
        </w:rPr>
        <w:t>.</w:t>
      </w:r>
    </w:p>
    <w:p w14:paraId="242AC560" w14:textId="72B50F05" w:rsidR="006F0214" w:rsidRPr="00276790" w:rsidRDefault="006F0214" w:rsidP="006F0214">
      <w:pPr>
        <w:jc w:val="both"/>
        <w:rPr>
          <w:rFonts w:asciiTheme="minorHAnsi" w:hAnsiTheme="minorHAnsi" w:cstheme="minorHAnsi"/>
          <w:sz w:val="24"/>
          <w:szCs w:val="24"/>
        </w:rPr>
      </w:pPr>
      <w:r>
        <w:rPr>
          <w:rFonts w:asciiTheme="minorHAnsi" w:hAnsiTheme="minorHAnsi" w:cstheme="minorHAnsi"/>
          <w:sz w:val="24"/>
          <w:szCs w:val="24"/>
        </w:rPr>
        <w:t>I</w:t>
      </w:r>
      <w:r w:rsidRPr="00276790">
        <w:rPr>
          <w:rFonts w:asciiTheme="minorHAnsi" w:hAnsiTheme="minorHAnsi" w:cstheme="minorHAnsi"/>
          <w:sz w:val="24"/>
          <w:szCs w:val="24"/>
        </w:rPr>
        <w:t xml:space="preserve">mproving website information and sales material and making it easier for </w:t>
      </w:r>
      <w:r w:rsidR="00613CA3">
        <w:rPr>
          <w:rFonts w:asciiTheme="minorHAnsi" w:hAnsiTheme="minorHAnsi" w:cstheme="minorHAnsi"/>
          <w:sz w:val="24"/>
          <w:szCs w:val="24"/>
        </w:rPr>
        <w:t>consumers</w:t>
      </w:r>
      <w:r>
        <w:rPr>
          <w:rFonts w:asciiTheme="minorHAnsi" w:hAnsiTheme="minorHAnsi" w:cstheme="minorHAnsi"/>
          <w:sz w:val="24"/>
          <w:szCs w:val="24"/>
        </w:rPr>
        <w:t xml:space="preserve"> to get assistance can contribute to ensuring the consumer rights and human rights of people with cognitive disabilities are respected when they are making decisions about telecommunications products and services. It may</w:t>
      </w:r>
      <w:r w:rsidRPr="00276790">
        <w:rPr>
          <w:rFonts w:asciiTheme="minorHAnsi" w:hAnsiTheme="minorHAnsi" w:cstheme="minorHAnsi"/>
          <w:sz w:val="24"/>
          <w:szCs w:val="24"/>
        </w:rPr>
        <w:t xml:space="preserve"> </w:t>
      </w:r>
      <w:r>
        <w:rPr>
          <w:rFonts w:asciiTheme="minorHAnsi" w:hAnsiTheme="minorHAnsi" w:cstheme="minorHAnsi"/>
          <w:sz w:val="24"/>
          <w:szCs w:val="24"/>
        </w:rPr>
        <w:t xml:space="preserve">also </w:t>
      </w:r>
      <w:r w:rsidRPr="00276790">
        <w:rPr>
          <w:rFonts w:asciiTheme="minorHAnsi" w:hAnsiTheme="minorHAnsi" w:cstheme="minorHAnsi"/>
          <w:sz w:val="24"/>
          <w:szCs w:val="24"/>
        </w:rPr>
        <w:t xml:space="preserve">have a range of benefits for suppliers. </w:t>
      </w:r>
      <w:r>
        <w:rPr>
          <w:rFonts w:asciiTheme="minorHAnsi" w:hAnsiTheme="minorHAnsi" w:cstheme="minorHAnsi"/>
          <w:sz w:val="24"/>
          <w:szCs w:val="24"/>
        </w:rPr>
        <w:t>It can</w:t>
      </w:r>
      <w:r w:rsidRPr="00276790">
        <w:rPr>
          <w:rFonts w:asciiTheme="minorHAnsi" w:hAnsiTheme="minorHAnsi" w:cstheme="minorHAnsi"/>
          <w:sz w:val="24"/>
          <w:szCs w:val="24"/>
        </w:rPr>
        <w:t xml:space="preserve"> assist with meaningful compliance with the Australian Consumer Law and the Telecommunications Code </w:t>
      </w:r>
      <w:r>
        <w:rPr>
          <w:rFonts w:asciiTheme="minorHAnsi" w:hAnsiTheme="minorHAnsi" w:cstheme="minorHAnsi"/>
          <w:sz w:val="24"/>
          <w:szCs w:val="24"/>
        </w:rPr>
        <w:t xml:space="preserve">in terms of </w:t>
      </w:r>
      <w:r w:rsidRPr="00276790">
        <w:rPr>
          <w:rFonts w:asciiTheme="minorHAnsi" w:hAnsiTheme="minorHAnsi" w:cstheme="minorHAnsi"/>
          <w:sz w:val="24"/>
          <w:szCs w:val="24"/>
        </w:rPr>
        <w:t xml:space="preserve">the provision of ‘plain language’ information and communication with consumers generally, and consumers with </w:t>
      </w:r>
      <w:proofErr w:type="gramStart"/>
      <w:r w:rsidRPr="00276790">
        <w:rPr>
          <w:rFonts w:asciiTheme="minorHAnsi" w:hAnsiTheme="minorHAnsi" w:cstheme="minorHAnsi"/>
          <w:sz w:val="24"/>
          <w:szCs w:val="24"/>
        </w:rPr>
        <w:t>disabilities in particular</w:t>
      </w:r>
      <w:proofErr w:type="gramEnd"/>
      <w:r w:rsidRPr="00276790">
        <w:rPr>
          <w:rFonts w:asciiTheme="minorHAnsi" w:hAnsiTheme="minorHAnsi" w:cstheme="minorHAnsi"/>
          <w:sz w:val="24"/>
          <w:szCs w:val="24"/>
        </w:rPr>
        <w:t xml:space="preserve">.  More broadly, it is likely to make suppliers’ products and services available to the hundreds of thousands of Australians with cognitive disabilities, and to the many other </w:t>
      </w:r>
      <w:r w:rsidR="00613CA3">
        <w:rPr>
          <w:rFonts w:asciiTheme="minorHAnsi" w:hAnsiTheme="minorHAnsi" w:cstheme="minorHAnsi"/>
          <w:sz w:val="24"/>
          <w:szCs w:val="24"/>
        </w:rPr>
        <w:t>consumers</w:t>
      </w:r>
      <w:r w:rsidRPr="00276790">
        <w:rPr>
          <w:rFonts w:asciiTheme="minorHAnsi" w:hAnsiTheme="minorHAnsi" w:cstheme="minorHAnsi"/>
          <w:sz w:val="24"/>
          <w:szCs w:val="24"/>
        </w:rPr>
        <w:t xml:space="preserve"> who currently find</w:t>
      </w:r>
      <w:r>
        <w:rPr>
          <w:rFonts w:asciiTheme="minorHAnsi" w:hAnsiTheme="minorHAnsi" w:cstheme="minorHAnsi"/>
          <w:sz w:val="24"/>
          <w:szCs w:val="24"/>
        </w:rPr>
        <w:t xml:space="preserve"> online</w:t>
      </w:r>
      <w:r w:rsidRPr="00276790">
        <w:rPr>
          <w:rFonts w:asciiTheme="minorHAnsi" w:hAnsiTheme="minorHAnsi" w:cstheme="minorHAnsi"/>
          <w:sz w:val="24"/>
          <w:szCs w:val="24"/>
        </w:rPr>
        <w:t xml:space="preserve"> information and sales </w:t>
      </w:r>
      <w:r>
        <w:rPr>
          <w:rFonts w:asciiTheme="minorHAnsi" w:hAnsiTheme="minorHAnsi" w:cstheme="minorHAnsi"/>
          <w:sz w:val="24"/>
          <w:szCs w:val="24"/>
        </w:rPr>
        <w:t xml:space="preserve">materials </w:t>
      </w:r>
      <w:r w:rsidRPr="00276790">
        <w:rPr>
          <w:rFonts w:asciiTheme="minorHAnsi" w:hAnsiTheme="minorHAnsi" w:cstheme="minorHAnsi"/>
          <w:sz w:val="24"/>
          <w:szCs w:val="24"/>
        </w:rPr>
        <w:t>complex</w:t>
      </w:r>
      <w:r>
        <w:rPr>
          <w:rFonts w:asciiTheme="minorHAnsi" w:hAnsiTheme="minorHAnsi" w:cstheme="minorHAnsi"/>
          <w:sz w:val="24"/>
          <w:szCs w:val="24"/>
        </w:rPr>
        <w:t>, unhelpful, and difficult to navigate.</w:t>
      </w:r>
    </w:p>
    <w:p w14:paraId="415883A8" w14:textId="5107D5E5" w:rsidR="004822C2" w:rsidRPr="002C5D4B" w:rsidRDefault="001401BF" w:rsidP="002C5D4B">
      <w:pPr>
        <w:spacing w:before="120" w:after="120"/>
        <w:jc w:val="both"/>
        <w:rPr>
          <w:lang w:val="en-US" w:eastAsia="ja-JP"/>
        </w:rPr>
      </w:pPr>
      <w:r>
        <w:rPr>
          <w:rFonts w:asciiTheme="minorHAnsi" w:hAnsiTheme="minorHAnsi" w:cs="Arial"/>
          <w:sz w:val="24"/>
          <w:szCs w:val="24"/>
        </w:rPr>
        <w:lastRenderedPageBreak/>
        <w:t>C</w:t>
      </w:r>
      <w:r w:rsidR="00C977B2" w:rsidRPr="00276790">
        <w:rPr>
          <w:rFonts w:asciiTheme="minorHAnsi" w:hAnsiTheme="minorHAnsi" w:cs="Arial"/>
          <w:sz w:val="24"/>
          <w:szCs w:val="24"/>
        </w:rPr>
        <w:t>hanges to the Telecommunications Code, and perhaps other forms of regulation, are also necessary to ensure that suppliers can – and are clearly obliged to – maximise accessibility for consumers with cognitive disabilities. The analysis also indicates that further research is</w:t>
      </w:r>
      <w:r w:rsidR="00C977B2">
        <w:rPr>
          <w:rFonts w:asciiTheme="minorHAnsi" w:hAnsiTheme="minorHAnsi" w:cs="Arial"/>
          <w:sz w:val="24"/>
          <w:szCs w:val="24"/>
        </w:rPr>
        <w:t xml:space="preserve"> required</w:t>
      </w:r>
      <w:r w:rsidR="00C977B2" w:rsidRPr="00276790">
        <w:rPr>
          <w:rFonts w:asciiTheme="minorHAnsi" w:hAnsiTheme="minorHAnsi" w:cs="Arial"/>
          <w:sz w:val="24"/>
          <w:szCs w:val="24"/>
        </w:rPr>
        <w:t xml:space="preserve"> to develop the evidence base and ensure that accessibility measures address the diverse requirements and experiences of consumers with cognitive disabilities. </w:t>
      </w:r>
      <w:r w:rsidR="00AA68FA">
        <w:rPr>
          <w:rFonts w:asciiTheme="minorHAnsi" w:hAnsiTheme="minorHAnsi" w:cs="Arial"/>
          <w:sz w:val="24"/>
          <w:szCs w:val="24"/>
        </w:rPr>
        <w:t>For example,</w:t>
      </w:r>
      <w:r w:rsidR="00C03094">
        <w:rPr>
          <w:rFonts w:asciiTheme="minorHAnsi" w:hAnsiTheme="minorHAnsi" w:cs="Arial"/>
          <w:sz w:val="24"/>
          <w:szCs w:val="24"/>
        </w:rPr>
        <w:t xml:space="preserve"> pr</w:t>
      </w:r>
      <w:r w:rsidR="00C977B2" w:rsidRPr="00276790">
        <w:rPr>
          <w:rFonts w:asciiTheme="minorHAnsi" w:hAnsiTheme="minorHAnsi" w:cs="Arial"/>
          <w:sz w:val="24"/>
          <w:szCs w:val="24"/>
        </w:rPr>
        <w:t xml:space="preserve">ojects </w:t>
      </w:r>
      <w:r w:rsidR="00B973B1">
        <w:rPr>
          <w:rFonts w:asciiTheme="minorHAnsi" w:hAnsiTheme="minorHAnsi" w:cs="Arial"/>
          <w:sz w:val="24"/>
          <w:szCs w:val="24"/>
        </w:rPr>
        <w:t xml:space="preserve">could assist </w:t>
      </w:r>
      <w:r w:rsidR="00C977B2" w:rsidRPr="00276790">
        <w:rPr>
          <w:rFonts w:asciiTheme="minorHAnsi" w:hAnsiTheme="minorHAnsi" w:cs="Arial"/>
          <w:sz w:val="24"/>
          <w:szCs w:val="24"/>
        </w:rPr>
        <w:t>self-advocacy groups, family members and other informal supporters, disability and mental health service providers, lawyers, consumer advocates and financial counsellors</w:t>
      </w:r>
      <w:r w:rsidR="00B973B1">
        <w:rPr>
          <w:rFonts w:asciiTheme="minorHAnsi" w:hAnsiTheme="minorHAnsi" w:cs="Arial"/>
          <w:sz w:val="24"/>
          <w:szCs w:val="24"/>
        </w:rPr>
        <w:t>, to develop their capacity to facilitate and enact supported decision-making</w:t>
      </w:r>
      <w:r w:rsidR="0089007A">
        <w:rPr>
          <w:rFonts w:asciiTheme="minorHAnsi" w:hAnsiTheme="minorHAnsi" w:cs="Arial"/>
          <w:sz w:val="24"/>
          <w:szCs w:val="24"/>
        </w:rPr>
        <w:t xml:space="preserve"> in consumer transactions</w:t>
      </w:r>
      <w:r w:rsidR="00613CA3">
        <w:rPr>
          <w:rFonts w:asciiTheme="minorHAnsi" w:hAnsiTheme="minorHAnsi" w:cs="Arial"/>
          <w:sz w:val="24"/>
          <w:szCs w:val="24"/>
        </w:rPr>
        <w:t>. Such projects</w:t>
      </w:r>
      <w:r w:rsidR="00B45763">
        <w:rPr>
          <w:rFonts w:asciiTheme="minorHAnsi" w:hAnsiTheme="minorHAnsi" w:cs="Arial"/>
          <w:sz w:val="24"/>
          <w:szCs w:val="24"/>
        </w:rPr>
        <w:t xml:space="preserve"> c</w:t>
      </w:r>
      <w:r w:rsidR="00613CA3">
        <w:rPr>
          <w:rFonts w:asciiTheme="minorHAnsi" w:hAnsiTheme="minorHAnsi" w:cs="Arial"/>
          <w:sz w:val="24"/>
          <w:szCs w:val="24"/>
        </w:rPr>
        <w:t>ould help</w:t>
      </w:r>
      <w:r w:rsidR="00C977B2" w:rsidRPr="00276790">
        <w:rPr>
          <w:rFonts w:asciiTheme="minorHAnsi" w:hAnsiTheme="minorHAnsi" w:cs="Arial"/>
          <w:sz w:val="24"/>
          <w:szCs w:val="24"/>
        </w:rPr>
        <w:t xml:space="preserve"> to ensure that people with cognitive disabilities have access to </w:t>
      </w:r>
      <w:r w:rsidR="00613CA3">
        <w:rPr>
          <w:rFonts w:asciiTheme="minorHAnsi" w:hAnsiTheme="minorHAnsi" w:cs="Arial"/>
          <w:sz w:val="24"/>
          <w:szCs w:val="24"/>
        </w:rPr>
        <w:t>support</w:t>
      </w:r>
      <w:r w:rsidR="00C977B2" w:rsidRPr="00276790">
        <w:rPr>
          <w:rFonts w:asciiTheme="minorHAnsi" w:hAnsiTheme="minorHAnsi" w:cs="Arial"/>
          <w:sz w:val="24"/>
          <w:szCs w:val="24"/>
        </w:rPr>
        <w:t xml:space="preserve"> to make decisions </w:t>
      </w:r>
      <w:r w:rsidR="00613CA3">
        <w:rPr>
          <w:rFonts w:asciiTheme="minorHAnsi" w:hAnsiTheme="minorHAnsi" w:cs="Arial"/>
          <w:sz w:val="24"/>
          <w:szCs w:val="24"/>
        </w:rPr>
        <w:t xml:space="preserve">about </w:t>
      </w:r>
      <w:r w:rsidR="00C977B2" w:rsidRPr="00276790">
        <w:rPr>
          <w:rFonts w:asciiTheme="minorHAnsi" w:hAnsiTheme="minorHAnsi" w:cs="Arial"/>
          <w:sz w:val="24"/>
          <w:szCs w:val="24"/>
        </w:rPr>
        <w:t>phone and internet services. More detailed, systematic analyses of the accessibility of mobile handsets, tablets and other telecommunications technology are also needed to ensure that suppliers can recomme</w:t>
      </w:r>
      <w:r w:rsidR="00EC008C">
        <w:rPr>
          <w:rFonts w:asciiTheme="minorHAnsi" w:hAnsiTheme="minorHAnsi" w:cs="Arial"/>
          <w:sz w:val="24"/>
          <w:szCs w:val="24"/>
        </w:rPr>
        <w:t xml:space="preserve">nd suitable products based on </w:t>
      </w:r>
      <w:proofErr w:type="gramStart"/>
      <w:r w:rsidR="00613CA3">
        <w:rPr>
          <w:rFonts w:asciiTheme="minorHAnsi" w:hAnsiTheme="minorHAnsi" w:cs="Arial"/>
          <w:sz w:val="24"/>
          <w:szCs w:val="24"/>
        </w:rPr>
        <w:t>consumers</w:t>
      </w:r>
      <w:r w:rsidR="00EC008C">
        <w:rPr>
          <w:rFonts w:asciiTheme="minorHAnsi" w:hAnsiTheme="minorHAnsi" w:cs="Arial"/>
          <w:sz w:val="24"/>
          <w:szCs w:val="24"/>
        </w:rPr>
        <w:t>’</w:t>
      </w:r>
      <w:proofErr w:type="gramEnd"/>
      <w:r w:rsidR="00C977B2" w:rsidRPr="00276790">
        <w:rPr>
          <w:rFonts w:asciiTheme="minorHAnsi" w:hAnsiTheme="minorHAnsi" w:cs="Arial"/>
          <w:sz w:val="24"/>
          <w:szCs w:val="24"/>
        </w:rPr>
        <w:t xml:space="preserve"> stated wants and needs.</w:t>
      </w:r>
      <w:bookmarkEnd w:id="10"/>
      <w:bookmarkEnd w:id="11"/>
    </w:p>
    <w:sectPr w:rsidR="004822C2" w:rsidRPr="002C5D4B" w:rsidSect="00A33C68">
      <w:footerReference w:type="first" r:id="rId18"/>
      <w:pgSz w:w="11906" w:h="16838"/>
      <w:pgMar w:top="1440" w:right="1440" w:bottom="1440" w:left="1440" w:header="7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CAE9C" w14:textId="77777777" w:rsidR="00390568" w:rsidRDefault="00390568" w:rsidP="000D3F93">
      <w:pPr>
        <w:spacing w:after="0" w:line="240" w:lineRule="auto"/>
      </w:pPr>
      <w:r>
        <w:separator/>
      </w:r>
    </w:p>
  </w:endnote>
  <w:endnote w:type="continuationSeparator" w:id="0">
    <w:p w14:paraId="1738046F" w14:textId="77777777" w:rsidR="00390568" w:rsidRDefault="00390568" w:rsidP="000D3F93">
      <w:pPr>
        <w:spacing w:after="0" w:line="240" w:lineRule="auto"/>
      </w:pPr>
      <w:r>
        <w:continuationSeparator/>
      </w:r>
    </w:p>
  </w:endnote>
  <w:endnote w:type="continuationNotice" w:id="1">
    <w:p w14:paraId="61972CB0" w14:textId="77777777" w:rsidR="00390568" w:rsidRDefault="003905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one Serif">
    <w:altName w:val="Cambria"/>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DF0F" w14:textId="77777777" w:rsidR="00390568" w:rsidRDefault="00390568" w:rsidP="00DD6F0E">
    <w:pPr>
      <w:pStyle w:val="Footer"/>
      <w:pBdr>
        <w:top w:val="single" w:sz="4" w:space="14" w:color="0F243E"/>
      </w:pBdr>
      <w:jc w:val="center"/>
    </w:pPr>
    <w:r>
      <w:t>ACCAN GRANTS SCHEME</w:t>
    </w:r>
  </w:p>
  <w:p w14:paraId="0CD71121" w14:textId="77777777" w:rsidR="00390568" w:rsidRDefault="00390568" w:rsidP="00DD6F0E">
    <w:pPr>
      <w:pStyle w:val="Footer"/>
      <w:spacing w:after="0"/>
      <w:jc w:val="center"/>
    </w:pP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6C345" w14:textId="77777777" w:rsidR="00390568" w:rsidRDefault="00390568" w:rsidP="00DD6F0E">
    <w:pPr>
      <w:pStyle w:val="Footer"/>
      <w:pBdr>
        <w:top w:val="single" w:sz="4" w:space="14" w:color="0F243E"/>
      </w:pBdr>
      <w:jc w:val="center"/>
    </w:pPr>
    <w:r>
      <w:t>ACCAN GRANTS SCHEME</w:t>
    </w:r>
  </w:p>
  <w:p w14:paraId="020DEAD6" w14:textId="77777777" w:rsidR="00390568" w:rsidRDefault="00390568" w:rsidP="00DD6F0E">
    <w:pPr>
      <w:pStyle w:val="Footer"/>
      <w:pBdr>
        <w:top w:val="single" w:sz="4" w:space="14" w:color="0F243E"/>
      </w:pBd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38A89" w14:textId="77777777" w:rsidR="00390568" w:rsidRDefault="00390568" w:rsidP="000D3F93">
      <w:pPr>
        <w:spacing w:after="0" w:line="240" w:lineRule="auto"/>
      </w:pPr>
      <w:r>
        <w:separator/>
      </w:r>
    </w:p>
  </w:footnote>
  <w:footnote w:type="continuationSeparator" w:id="0">
    <w:p w14:paraId="6334F3C3" w14:textId="77777777" w:rsidR="00390568" w:rsidRDefault="00390568" w:rsidP="000D3F93">
      <w:pPr>
        <w:spacing w:after="0" w:line="240" w:lineRule="auto"/>
      </w:pPr>
      <w:r>
        <w:continuationSeparator/>
      </w:r>
    </w:p>
  </w:footnote>
  <w:footnote w:type="continuationNotice" w:id="1">
    <w:p w14:paraId="025CEB25" w14:textId="77777777" w:rsidR="00390568" w:rsidRDefault="00390568">
      <w:pPr>
        <w:spacing w:after="0" w:line="240" w:lineRule="auto"/>
      </w:pPr>
    </w:p>
  </w:footnote>
  <w:footnote w:id="2">
    <w:p w14:paraId="1089EE41" w14:textId="77777777" w:rsidR="00390568" w:rsidRPr="00255637" w:rsidRDefault="00390568" w:rsidP="00DA71AE">
      <w:pPr>
        <w:pStyle w:val="FootnoteText"/>
      </w:pPr>
      <w:r w:rsidRPr="00255637">
        <w:rPr>
          <w:rStyle w:val="FootnoteReference"/>
        </w:rPr>
        <w:footnoteRef/>
      </w:r>
      <w:r w:rsidRPr="00255637">
        <w:t xml:space="preserve"> Yvette Maker, Bernadette McSherry, Lisa Brophy, Jeannie Marie Paterson and Anna Arstein-Kerslake, ‘Supporti</w:t>
      </w:r>
      <w:r>
        <w:t>ng People with Decision-Making I</w:t>
      </w:r>
      <w:r w:rsidRPr="00255637">
        <w:t xml:space="preserve">mpairments: Choice, Control and Consumer Transactions’ (2017) 24 </w:t>
      </w:r>
      <w:r w:rsidRPr="00255637">
        <w:rPr>
          <w:i/>
          <w:iCs/>
        </w:rPr>
        <w:t xml:space="preserve">Journal of Law and Medicine </w:t>
      </w:r>
      <w:r w:rsidRPr="00255637">
        <w:rPr>
          <w:iCs/>
        </w:rPr>
        <w:t>756</w:t>
      </w:r>
      <w:r>
        <w:rPr>
          <w:iCs/>
        </w:rPr>
        <w:t>-762</w:t>
      </w:r>
      <w:r w:rsidRPr="00255637">
        <w:t xml:space="preserve">, 758; Paul Jaeger, ‘Telecommunications Policy and Individuals with Disabilities: Issues of Accessibility and Social Inclusion in the Policy and Research Agenda’ (2006) 30 </w:t>
      </w:r>
      <w:r w:rsidRPr="00255637">
        <w:rPr>
          <w:i/>
          <w:iCs/>
        </w:rPr>
        <w:t>Telecommunications Policy</w:t>
      </w:r>
      <w:r w:rsidRPr="00255637">
        <w:t xml:space="preserve"> 112</w:t>
      </w:r>
      <w:r>
        <w:t>-124</w:t>
      </w:r>
      <w:r w:rsidRPr="00255637">
        <w:t>, 113.</w:t>
      </w:r>
    </w:p>
  </w:footnote>
  <w:footnote w:id="3">
    <w:p w14:paraId="7160724B" w14:textId="7DD0BC12" w:rsidR="00390568" w:rsidRDefault="00390568">
      <w:pPr>
        <w:pStyle w:val="FootnoteText"/>
      </w:pPr>
      <w:r>
        <w:rPr>
          <w:rStyle w:val="FootnoteReference"/>
        </w:rPr>
        <w:footnoteRef/>
      </w:r>
      <w:r>
        <w:t xml:space="preserve"> </w:t>
      </w:r>
      <w:r w:rsidRPr="00255637">
        <w:t xml:space="preserve">Communications Alliance, </w:t>
      </w:r>
      <w:r w:rsidRPr="00255637">
        <w:rPr>
          <w:i/>
          <w:iCs/>
        </w:rPr>
        <w:t xml:space="preserve">Telecommunications Consumer Protections Code, </w:t>
      </w:r>
      <w:r w:rsidRPr="00255637">
        <w:t>C628: 2015 (incorporating Variation No 1/2018), July 2018 (‘</w:t>
      </w:r>
      <w:r w:rsidRPr="00255637">
        <w:rPr>
          <w:i/>
        </w:rPr>
        <w:t>TCP Code’</w:t>
      </w:r>
      <w:r w:rsidRPr="00255637">
        <w:t>).</w:t>
      </w:r>
    </w:p>
  </w:footnote>
  <w:footnote w:id="4">
    <w:p w14:paraId="4A03268E" w14:textId="1188FE61" w:rsidR="00390568" w:rsidRPr="00255637" w:rsidRDefault="00390568" w:rsidP="00C34540">
      <w:pPr>
        <w:pStyle w:val="FootnoteText"/>
      </w:pPr>
      <w:r w:rsidRPr="00255637">
        <w:rPr>
          <w:rStyle w:val="FootnoteReference"/>
        </w:rPr>
        <w:footnoteRef/>
      </w:r>
      <w:r w:rsidRPr="00255637">
        <w:t xml:space="preserve"> The terms ‘people with cognitive disabilities’ and ‘consumers with cognitive disabilities’ are used in this paper to refer to persons with a range of impairments and/or diagnoses who may experience (or be perceived to exp</w:t>
      </w:r>
      <w:r>
        <w:t xml:space="preserve">erience) difficulties regarding </w:t>
      </w:r>
      <w:r w:rsidRPr="00255637">
        <w:t>the ability to learn, concentrate on, process, remember, or communicate information; awareness; and/or decision-making.</w:t>
      </w:r>
    </w:p>
  </w:footnote>
  <w:footnote w:id="5">
    <w:p w14:paraId="00111714" w14:textId="77777777" w:rsidR="00390568" w:rsidRPr="00255637" w:rsidRDefault="00390568" w:rsidP="00AD60FA">
      <w:pPr>
        <w:pStyle w:val="FootnoteText"/>
        <w:rPr>
          <w:lang w:val="en-US"/>
        </w:rPr>
      </w:pPr>
      <w:r w:rsidRPr="00255637">
        <w:rPr>
          <w:rStyle w:val="FootnoteReference"/>
        </w:rPr>
        <w:footnoteRef/>
      </w:r>
      <w:r w:rsidRPr="00255637">
        <w:t xml:space="preserve"> </w:t>
      </w:r>
      <w:r w:rsidRPr="00255637">
        <w:rPr>
          <w:i/>
          <w:lang w:val="en-US"/>
        </w:rPr>
        <w:t>Competition and Consumer Act 2010</w:t>
      </w:r>
      <w:r w:rsidRPr="00255637">
        <w:rPr>
          <w:lang w:val="en-US"/>
        </w:rPr>
        <w:t xml:space="preserve"> (</w:t>
      </w:r>
      <w:proofErr w:type="spellStart"/>
      <w:r w:rsidRPr="00255637">
        <w:rPr>
          <w:lang w:val="en-US"/>
        </w:rPr>
        <w:t>Cth</w:t>
      </w:r>
      <w:proofErr w:type="spellEnd"/>
      <w:r w:rsidRPr="00255637">
        <w:rPr>
          <w:lang w:val="en-US"/>
        </w:rPr>
        <w:t xml:space="preserve">) </w:t>
      </w:r>
      <w:proofErr w:type="spellStart"/>
      <w:r w:rsidRPr="00255637">
        <w:rPr>
          <w:lang w:val="en-US"/>
        </w:rPr>
        <w:t>sch</w:t>
      </w:r>
      <w:proofErr w:type="spellEnd"/>
      <w:r w:rsidRPr="00255637">
        <w:rPr>
          <w:lang w:val="en-US"/>
        </w:rPr>
        <w:t xml:space="preserve"> 2 (‘</w:t>
      </w:r>
      <w:r w:rsidRPr="008C6AE9">
        <w:rPr>
          <w:i/>
          <w:lang w:val="en-US"/>
        </w:rPr>
        <w:t>Australian Consumer Law</w:t>
      </w:r>
      <w:r w:rsidRPr="00255637">
        <w:rPr>
          <w:lang w:val="en-US"/>
        </w:rPr>
        <w:t>’).</w:t>
      </w:r>
    </w:p>
  </w:footnote>
  <w:footnote w:id="6">
    <w:p w14:paraId="7C260F14" w14:textId="5C560FAE" w:rsidR="00390568" w:rsidRPr="002445E1" w:rsidRDefault="00390568" w:rsidP="00A23256">
      <w:pPr>
        <w:pStyle w:val="FootnoteText"/>
      </w:pPr>
      <w:r>
        <w:rPr>
          <w:rStyle w:val="FootnoteReference"/>
        </w:rPr>
        <w:footnoteRef/>
      </w:r>
      <w:r>
        <w:t xml:space="preserve"> </w:t>
      </w:r>
      <w:r w:rsidR="002445E1">
        <w:rPr>
          <w:i/>
        </w:rPr>
        <w:t>Australian Consumer Law</w:t>
      </w:r>
      <w:r w:rsidR="002445E1">
        <w:t xml:space="preserve"> pts 2-1, 2-2, 2-3, 3-1, 3-2.</w:t>
      </w:r>
    </w:p>
  </w:footnote>
  <w:footnote w:id="7">
    <w:p w14:paraId="5870FD96" w14:textId="7ABC2CF2" w:rsidR="00390568" w:rsidRDefault="00390568">
      <w:pPr>
        <w:pStyle w:val="FootnoteText"/>
      </w:pPr>
      <w:r>
        <w:rPr>
          <w:rStyle w:val="FootnoteReference"/>
        </w:rPr>
        <w:footnoteRef/>
      </w:r>
      <w:r>
        <w:t xml:space="preserve"> See Yvette Maker, Jeannie Marie Paterson, Anna Arstein-Kerslake, Bernadette McSherry and Lisa Brophy, ‘From Safety Nets to Support Networks: Beyond “Vulnerability” in Protection for Consumers with Cognitive Disabilities’ (2018) 41(3) </w:t>
      </w:r>
      <w:r>
        <w:rPr>
          <w:i/>
        </w:rPr>
        <w:t xml:space="preserve">UNSW Law Journal </w:t>
      </w:r>
      <w:r>
        <w:t>818-45.</w:t>
      </w:r>
    </w:p>
  </w:footnote>
  <w:footnote w:id="8">
    <w:p w14:paraId="583E907F" w14:textId="298E8F73" w:rsidR="00390568" w:rsidRPr="00136542" w:rsidRDefault="00390568" w:rsidP="00D3433F">
      <w:pPr>
        <w:pStyle w:val="FootnoteText"/>
        <w:rPr>
          <w:lang w:val="pt-BR"/>
        </w:rPr>
      </w:pPr>
      <w:r w:rsidRPr="00255637">
        <w:rPr>
          <w:rStyle w:val="FootnoteReference"/>
        </w:rPr>
        <w:footnoteRef/>
      </w:r>
      <w:r w:rsidRPr="00136542">
        <w:rPr>
          <w:lang w:val="pt-BR"/>
        </w:rPr>
        <w:t xml:space="preserve"> </w:t>
      </w:r>
      <w:r w:rsidRPr="00136542">
        <w:rPr>
          <w:i/>
          <w:lang w:val="pt-BR"/>
        </w:rPr>
        <w:t>TCP Code</w:t>
      </w:r>
      <w:r w:rsidRPr="00136542">
        <w:rPr>
          <w:lang w:val="pt-BR"/>
        </w:rPr>
        <w:t xml:space="preserve"> r</w:t>
      </w:r>
      <w:r>
        <w:rPr>
          <w:lang w:val="pt-BR"/>
        </w:rPr>
        <w:t>r</w:t>
      </w:r>
      <w:r w:rsidRPr="00136542">
        <w:rPr>
          <w:lang w:val="pt-BR"/>
        </w:rPr>
        <w:t xml:space="preserve"> 3.1.1</w:t>
      </w:r>
      <w:r>
        <w:rPr>
          <w:lang w:val="pt-BR"/>
        </w:rPr>
        <w:t>, 3.2.1, 4.3</w:t>
      </w:r>
      <w:r w:rsidRPr="00136542">
        <w:rPr>
          <w:lang w:val="pt-BR"/>
        </w:rPr>
        <w:t>.</w:t>
      </w:r>
    </w:p>
  </w:footnote>
  <w:footnote w:id="9">
    <w:p w14:paraId="410604E0" w14:textId="77777777" w:rsidR="00390568" w:rsidRPr="00136542" w:rsidRDefault="00390568" w:rsidP="005B63CB">
      <w:pPr>
        <w:pStyle w:val="FootnoteText"/>
        <w:rPr>
          <w:lang w:val="pt-BR"/>
        </w:rPr>
      </w:pPr>
      <w:r w:rsidRPr="00255637">
        <w:rPr>
          <w:rStyle w:val="FootnoteReference"/>
        </w:rPr>
        <w:footnoteRef/>
      </w:r>
      <w:r w:rsidRPr="00136542">
        <w:rPr>
          <w:lang w:val="pt-BR"/>
        </w:rPr>
        <w:t xml:space="preserve"> Ibid r 3.2.3.</w:t>
      </w:r>
    </w:p>
  </w:footnote>
  <w:footnote w:id="10">
    <w:p w14:paraId="654FC763" w14:textId="77777777" w:rsidR="00390568" w:rsidRPr="00255637" w:rsidRDefault="00390568" w:rsidP="007566C8">
      <w:pPr>
        <w:pStyle w:val="FootnoteText"/>
        <w:rPr>
          <w:lang w:val="en-US"/>
        </w:rPr>
      </w:pPr>
      <w:r w:rsidRPr="00561AD2">
        <w:rPr>
          <w:rStyle w:val="FootnoteReference"/>
        </w:rPr>
        <w:footnoteRef/>
      </w:r>
      <w:r w:rsidRPr="00561AD2">
        <w:t xml:space="preserve"> Web Accessibility Initiative (WAI), </w:t>
      </w:r>
      <w:r w:rsidRPr="00561AD2">
        <w:rPr>
          <w:i/>
        </w:rPr>
        <w:t>Web Content Accessibility Guidelines (WCAG) 2.1</w:t>
      </w:r>
      <w:r w:rsidRPr="00561AD2">
        <w:t xml:space="preserve"> (5 June 2018) World Wide Web Consortium (W3C) &lt;https://www.w3.org/TR/WCAG21/&gt; (‘</w:t>
      </w:r>
      <w:r w:rsidRPr="00561AD2">
        <w:rPr>
          <w:i/>
        </w:rPr>
        <w:t>Web Content Accessibility Guidelines’)</w:t>
      </w:r>
      <w:r w:rsidRPr="00561AD2">
        <w:t>.</w:t>
      </w:r>
    </w:p>
  </w:footnote>
  <w:footnote w:id="11">
    <w:p w14:paraId="5E9E4D80" w14:textId="06C6A588" w:rsidR="00390568" w:rsidRPr="00287B6F" w:rsidRDefault="00390568">
      <w:pPr>
        <w:pStyle w:val="FootnoteText"/>
        <w:rPr>
          <w:lang w:val="pt-BR"/>
        </w:rPr>
      </w:pPr>
      <w:r>
        <w:rPr>
          <w:rStyle w:val="FootnoteReference"/>
        </w:rPr>
        <w:footnoteRef/>
      </w:r>
      <w:r w:rsidRPr="00287B6F">
        <w:rPr>
          <w:lang w:val="pt-BR"/>
        </w:rPr>
        <w:t xml:space="preserve"> Ibid.</w:t>
      </w:r>
    </w:p>
  </w:footnote>
  <w:footnote w:id="12">
    <w:p w14:paraId="6CF055F7" w14:textId="77777777" w:rsidR="00390568" w:rsidRPr="00136542" w:rsidRDefault="00390568" w:rsidP="008075A7">
      <w:pPr>
        <w:pStyle w:val="FootnoteText"/>
        <w:rPr>
          <w:lang w:val="pt-BR"/>
        </w:rPr>
      </w:pPr>
      <w:r w:rsidRPr="00255637">
        <w:rPr>
          <w:rStyle w:val="FootnoteReference"/>
        </w:rPr>
        <w:footnoteRef/>
      </w:r>
      <w:r w:rsidRPr="00136542">
        <w:rPr>
          <w:lang w:val="pt-BR"/>
        </w:rPr>
        <w:t xml:space="preserve"> </w:t>
      </w:r>
      <w:r w:rsidRPr="00136542">
        <w:rPr>
          <w:i/>
          <w:lang w:val="pt-BR"/>
        </w:rPr>
        <w:t>TCP Code</w:t>
      </w:r>
      <w:r w:rsidRPr="00136542">
        <w:rPr>
          <w:lang w:val="pt-BR"/>
        </w:rPr>
        <w:t xml:space="preserve"> r 3.2.2. </w:t>
      </w:r>
    </w:p>
  </w:footnote>
  <w:footnote w:id="13">
    <w:p w14:paraId="459D43A9" w14:textId="3B6749A7" w:rsidR="00390568" w:rsidRPr="00255637" w:rsidRDefault="00390568" w:rsidP="00287B6F">
      <w:pPr>
        <w:pStyle w:val="FootnoteText"/>
        <w:rPr>
          <w:lang w:val="pt-BR"/>
        </w:rPr>
      </w:pPr>
      <w:r w:rsidRPr="00255637">
        <w:rPr>
          <w:rStyle w:val="FootnoteReference"/>
        </w:rPr>
        <w:footnoteRef/>
      </w:r>
      <w:r w:rsidRPr="00255637">
        <w:rPr>
          <w:lang w:val="pt-BR"/>
        </w:rPr>
        <w:t xml:space="preserve"> Ibid r 4.1.1(a).</w:t>
      </w:r>
    </w:p>
  </w:footnote>
  <w:footnote w:id="14">
    <w:p w14:paraId="4CAD9D90" w14:textId="77777777" w:rsidR="003669B7" w:rsidRPr="00255637" w:rsidRDefault="003669B7" w:rsidP="003669B7">
      <w:pPr>
        <w:pStyle w:val="FootnoteText"/>
      </w:pPr>
      <w:r w:rsidRPr="00255637">
        <w:rPr>
          <w:rStyle w:val="FootnoteReference"/>
        </w:rPr>
        <w:footnoteRef/>
      </w:r>
      <w:r>
        <w:t xml:space="preserve"> </w:t>
      </w:r>
      <w:bookmarkStart w:id="1" w:name="_Hlk526169951"/>
      <w:r w:rsidRPr="00255637">
        <w:rPr>
          <w:i/>
        </w:rPr>
        <w:t>Convention on the Rights of Persons with Disabilities</w:t>
      </w:r>
      <w:r w:rsidRPr="00255637">
        <w:t>, opened for signature 30 March 2007, 2515 UNTS 3 (entered into force 3 May 2008) (‘</w:t>
      </w:r>
      <w:r w:rsidRPr="00255637">
        <w:rPr>
          <w:i/>
        </w:rPr>
        <w:t>CRPD</w:t>
      </w:r>
      <w:r w:rsidRPr="00255637">
        <w:t>’)</w:t>
      </w:r>
      <w:bookmarkEnd w:id="1"/>
      <w:r w:rsidRPr="00255637">
        <w:t xml:space="preserve"> arts 9 and 12.</w:t>
      </w:r>
    </w:p>
  </w:footnote>
  <w:footnote w:id="15">
    <w:p w14:paraId="4596B9DC" w14:textId="77777777" w:rsidR="00702E8D" w:rsidRPr="00362A23" w:rsidRDefault="00702E8D" w:rsidP="00702E8D">
      <w:pPr>
        <w:pStyle w:val="FootnoteText"/>
        <w:rPr>
          <w:lang w:val="en-US"/>
        </w:rPr>
      </w:pPr>
      <w:r w:rsidRPr="00255637">
        <w:rPr>
          <w:rStyle w:val="FootnoteReference"/>
        </w:rPr>
        <w:footnoteRef/>
      </w:r>
      <w:r w:rsidRPr="00362A23">
        <w:rPr>
          <w:lang w:val="en-US"/>
        </w:rPr>
        <w:t xml:space="preserve"> </w:t>
      </w:r>
      <w:r w:rsidRPr="00362A23">
        <w:rPr>
          <w:i/>
          <w:lang w:val="en-US"/>
        </w:rPr>
        <w:t>CRPD</w:t>
      </w:r>
      <w:r w:rsidRPr="00362A23">
        <w:rPr>
          <w:lang w:val="en-US"/>
        </w:rPr>
        <w:t xml:space="preserve"> art 34.</w:t>
      </w:r>
    </w:p>
  </w:footnote>
  <w:footnote w:id="16">
    <w:p w14:paraId="1F0C3877" w14:textId="3ECDC1EE" w:rsidR="00390568" w:rsidRPr="00255637" w:rsidRDefault="00390568" w:rsidP="006235C1">
      <w:pPr>
        <w:pStyle w:val="FootnoteText"/>
      </w:pPr>
      <w:r w:rsidRPr="00255637">
        <w:rPr>
          <w:rStyle w:val="FootnoteReference"/>
        </w:rPr>
        <w:footnoteRef/>
      </w:r>
      <w:r w:rsidRPr="00255637">
        <w:t xml:space="preserve"> </w:t>
      </w:r>
      <w:r>
        <w:t xml:space="preserve">Committee on the Rights of Persons with Disabilities, </w:t>
      </w:r>
      <w:r>
        <w:rPr>
          <w:i/>
        </w:rPr>
        <w:t>Communication No 1/2010: Views Adopted by the Committee at its Ninth Session (15-19 April 2013),</w:t>
      </w:r>
      <w:r>
        <w:t xml:space="preserve"> 9</w:t>
      </w:r>
      <w:r w:rsidRPr="00981496">
        <w:rPr>
          <w:vertAlign w:val="superscript"/>
        </w:rPr>
        <w:t>th</w:t>
      </w:r>
      <w:r>
        <w:t xml:space="preserve"> sess, UN Doc CRPD/C/9/D/2010 (21 June 2013); </w:t>
      </w:r>
      <w:r w:rsidRPr="00255637">
        <w:t>Yvette Maker, Anna Arstein-Kerslake, Bernadette McSherry, Jeannie Marie Pa</w:t>
      </w:r>
      <w:r w:rsidR="002445E1">
        <w:t>terson and Lisa Brophy</w:t>
      </w:r>
      <w:r w:rsidRPr="00255637">
        <w:t xml:space="preserve">, ‘Ensuring </w:t>
      </w:r>
      <w:r>
        <w:t>E</w:t>
      </w:r>
      <w:r w:rsidRPr="00255637">
        <w:t xml:space="preserve">quality for </w:t>
      </w:r>
      <w:r>
        <w:t>P</w:t>
      </w:r>
      <w:r w:rsidRPr="00255637">
        <w:t xml:space="preserve">ersons with </w:t>
      </w:r>
      <w:r>
        <w:t>C</w:t>
      </w:r>
      <w:r w:rsidRPr="00255637">
        <w:t xml:space="preserve">ognitive </w:t>
      </w:r>
      <w:r>
        <w:t>D</w:t>
      </w:r>
      <w:r w:rsidRPr="00255637">
        <w:t xml:space="preserve">isabilities in </w:t>
      </w:r>
      <w:r>
        <w:t>C</w:t>
      </w:r>
      <w:r w:rsidRPr="00255637">
        <w:t xml:space="preserve">onsumer </w:t>
      </w:r>
      <w:r>
        <w:t>C</w:t>
      </w:r>
      <w:r w:rsidRPr="00255637">
        <w:t xml:space="preserve">ontracting: </w:t>
      </w:r>
      <w:r>
        <w:t>A</w:t>
      </w:r>
      <w:r w:rsidRPr="00255637">
        <w:t xml:space="preserve">n </w:t>
      </w:r>
      <w:r>
        <w:t>I</w:t>
      </w:r>
      <w:r w:rsidRPr="00255637">
        <w:t xml:space="preserve">nternational </w:t>
      </w:r>
      <w:r>
        <w:t>H</w:t>
      </w:r>
      <w:r w:rsidRPr="00255637">
        <w:t xml:space="preserve">uman </w:t>
      </w:r>
      <w:r>
        <w:t>R</w:t>
      </w:r>
      <w:r w:rsidRPr="00255637">
        <w:t xml:space="preserve">ights </w:t>
      </w:r>
      <w:r>
        <w:t>P</w:t>
      </w:r>
      <w:r w:rsidRPr="00255637">
        <w:t xml:space="preserve">erspective’ (2018) 19(1) </w:t>
      </w:r>
      <w:r w:rsidRPr="00255637">
        <w:rPr>
          <w:i/>
          <w:iCs/>
        </w:rPr>
        <w:t>Melbourne Journal of International Law</w:t>
      </w:r>
      <w:r w:rsidRPr="00255637">
        <w:rPr>
          <w:iCs/>
        </w:rPr>
        <w:t xml:space="preserve"> 178</w:t>
      </w:r>
      <w:r>
        <w:rPr>
          <w:iCs/>
        </w:rPr>
        <w:t>-199</w:t>
      </w:r>
      <w:r w:rsidRPr="00255637">
        <w:t xml:space="preserve">, 183. </w:t>
      </w:r>
    </w:p>
  </w:footnote>
  <w:footnote w:id="17">
    <w:p w14:paraId="2207B5D9" w14:textId="44225CA8" w:rsidR="00390568" w:rsidRPr="00255637" w:rsidRDefault="00390568" w:rsidP="00EB2B41">
      <w:pPr>
        <w:pStyle w:val="FootnoteText"/>
      </w:pPr>
      <w:r w:rsidRPr="00255637">
        <w:rPr>
          <w:rStyle w:val="FootnoteReference"/>
        </w:rPr>
        <w:footnoteRef/>
      </w:r>
      <w:r w:rsidRPr="00255637">
        <w:t xml:space="preserve"> See, eg, </w:t>
      </w:r>
      <w:r w:rsidR="00702E8D" w:rsidRPr="000645F8">
        <w:rPr>
          <w:i/>
        </w:rPr>
        <w:t>Disability Discrimination Act 1992</w:t>
      </w:r>
      <w:r w:rsidR="00702E8D">
        <w:t xml:space="preserve"> (Cth) s 24; </w:t>
      </w:r>
      <w:r w:rsidRPr="000645F8">
        <w:rPr>
          <w:i/>
        </w:rPr>
        <w:t>Equal Opportunity Act 2010</w:t>
      </w:r>
      <w:r w:rsidR="00702E8D">
        <w:t xml:space="preserve"> (Vic) ss 6 and 44.</w:t>
      </w:r>
      <w:r w:rsidRPr="00255637">
        <w:t xml:space="preserve"> </w:t>
      </w:r>
    </w:p>
  </w:footnote>
  <w:footnote w:id="18">
    <w:p w14:paraId="1AC77493" w14:textId="6610F2B0" w:rsidR="00390568" w:rsidRPr="00255637" w:rsidRDefault="00390568" w:rsidP="000815F5">
      <w:pPr>
        <w:pStyle w:val="FootnoteText"/>
      </w:pPr>
      <w:r w:rsidRPr="00255637">
        <w:rPr>
          <w:rStyle w:val="FootnoteReference"/>
        </w:rPr>
        <w:footnoteRef/>
      </w:r>
      <w:r w:rsidRPr="00255637">
        <w:t xml:space="preserve"> Committee on the Rights of Persons with Disabilities, </w:t>
      </w:r>
      <w:r w:rsidRPr="00255637">
        <w:rPr>
          <w:i/>
        </w:rPr>
        <w:t>General Comment No.</w:t>
      </w:r>
      <w:r w:rsidRPr="00255637">
        <w:t xml:space="preserve"> </w:t>
      </w:r>
      <w:r w:rsidRPr="00255637">
        <w:rPr>
          <w:i/>
        </w:rPr>
        <w:t>2 (2014) Article 9: Accessibility</w:t>
      </w:r>
      <w:r w:rsidRPr="00255637">
        <w:t>, 11</w:t>
      </w:r>
      <w:r w:rsidRPr="00255637">
        <w:rPr>
          <w:vertAlign w:val="superscript"/>
        </w:rPr>
        <w:t>th</w:t>
      </w:r>
      <w:r w:rsidRPr="00255637">
        <w:t xml:space="preserve"> sess, UN Doc CRPD/C/GC/2 (22 May 2014) para 7.</w:t>
      </w:r>
    </w:p>
  </w:footnote>
  <w:footnote w:id="19">
    <w:p w14:paraId="5245D48F" w14:textId="77777777" w:rsidR="00390568" w:rsidRPr="001D0BF2" w:rsidRDefault="00390568" w:rsidP="00570DE0">
      <w:pPr>
        <w:pStyle w:val="FootnoteText"/>
      </w:pPr>
      <w:r>
        <w:rPr>
          <w:rStyle w:val="FootnoteReference"/>
        </w:rPr>
        <w:footnoteRef/>
      </w:r>
      <w:r>
        <w:t xml:space="preserve"> </w:t>
      </w:r>
      <w:r>
        <w:rPr>
          <w:i/>
        </w:rPr>
        <w:t>CRPD</w:t>
      </w:r>
      <w:r>
        <w:t xml:space="preserve"> art 12(2).</w:t>
      </w:r>
    </w:p>
  </w:footnote>
  <w:footnote w:id="20">
    <w:p w14:paraId="2462EF79" w14:textId="058FCAC9" w:rsidR="00390568" w:rsidRPr="00255637" w:rsidRDefault="00390568" w:rsidP="000A698F">
      <w:pPr>
        <w:pStyle w:val="FootnoteText"/>
      </w:pPr>
      <w:r w:rsidRPr="00255637">
        <w:rPr>
          <w:rStyle w:val="FootnoteReference"/>
        </w:rPr>
        <w:footnoteRef/>
      </w:r>
      <w:r w:rsidRPr="00255637">
        <w:t xml:space="preserve"> Bernadette McSherry, ‘Legal </w:t>
      </w:r>
      <w:r>
        <w:t>C</w:t>
      </w:r>
      <w:r w:rsidRPr="00255637">
        <w:t xml:space="preserve">apacity under the </w:t>
      </w:r>
      <w:r>
        <w:t>C</w:t>
      </w:r>
      <w:r w:rsidRPr="00255637">
        <w:t xml:space="preserve">onvention on the </w:t>
      </w:r>
      <w:r>
        <w:t>R</w:t>
      </w:r>
      <w:r w:rsidRPr="00255637">
        <w:t xml:space="preserve">ights of </w:t>
      </w:r>
      <w:r>
        <w:t>P</w:t>
      </w:r>
      <w:r w:rsidRPr="00255637">
        <w:t xml:space="preserve">ersons with </w:t>
      </w:r>
      <w:r>
        <w:t>D</w:t>
      </w:r>
      <w:r w:rsidRPr="00255637">
        <w:t xml:space="preserve">isabilities’ (2012) 20(1) </w:t>
      </w:r>
      <w:r w:rsidRPr="00255637">
        <w:rPr>
          <w:i/>
          <w:iCs/>
        </w:rPr>
        <w:t xml:space="preserve">Journal of Law and Medicine </w:t>
      </w:r>
      <w:r w:rsidRPr="00255637">
        <w:t>22</w:t>
      </w:r>
      <w:r>
        <w:t>-27</w:t>
      </w:r>
      <w:r w:rsidRPr="00255637">
        <w:t>, 24;</w:t>
      </w:r>
      <w:r w:rsidRPr="001A756A">
        <w:t xml:space="preserve"> </w:t>
      </w:r>
      <w:r w:rsidRPr="00255637">
        <w:t xml:space="preserve">Committee on the Rights of Persons with Disabilities, </w:t>
      </w:r>
      <w:r w:rsidRPr="00255637">
        <w:rPr>
          <w:i/>
        </w:rPr>
        <w:t xml:space="preserve">General Comment </w:t>
      </w:r>
      <w:r>
        <w:rPr>
          <w:i/>
        </w:rPr>
        <w:t>No. 1 (2014) Article 12: Equal Recognition Before the L</w:t>
      </w:r>
      <w:r w:rsidRPr="00255637">
        <w:rPr>
          <w:i/>
        </w:rPr>
        <w:t>aw</w:t>
      </w:r>
      <w:r w:rsidRPr="00255637">
        <w:t>, 11</w:t>
      </w:r>
      <w:r w:rsidRPr="00255637">
        <w:rPr>
          <w:vertAlign w:val="superscript"/>
        </w:rPr>
        <w:t>th</w:t>
      </w:r>
      <w:r w:rsidRPr="00255637">
        <w:t xml:space="preserve"> sess, UN Doc C</w:t>
      </w:r>
      <w:r>
        <w:t>RPD/C/GC/1 (19 May 2014) (‘</w:t>
      </w:r>
      <w:r w:rsidRPr="00593806">
        <w:rPr>
          <w:i/>
        </w:rPr>
        <w:t>General Comment No. 1</w:t>
      </w:r>
      <w:r>
        <w:t>’),</w:t>
      </w:r>
      <w:r w:rsidRPr="00255637">
        <w:t xml:space="preserve"> para 12.</w:t>
      </w:r>
    </w:p>
  </w:footnote>
  <w:footnote w:id="21">
    <w:p w14:paraId="7EB27B06" w14:textId="74856F08" w:rsidR="00390568" w:rsidRPr="002445E1" w:rsidRDefault="00390568" w:rsidP="00E207C1">
      <w:pPr>
        <w:pStyle w:val="FootnoteText"/>
      </w:pPr>
      <w:r w:rsidRPr="00255637">
        <w:rPr>
          <w:rStyle w:val="FootnoteReference"/>
        </w:rPr>
        <w:footnoteRef/>
      </w:r>
      <w:r w:rsidRPr="00255637">
        <w:t xml:space="preserve"> </w:t>
      </w:r>
      <w:r w:rsidRPr="00255637">
        <w:rPr>
          <w:i/>
        </w:rPr>
        <w:t>General Comment No. 1</w:t>
      </w:r>
      <w:r>
        <w:t>,</w:t>
      </w:r>
      <w:r w:rsidRPr="00255637">
        <w:rPr>
          <w:i/>
        </w:rPr>
        <w:t xml:space="preserve"> </w:t>
      </w:r>
      <w:r w:rsidRPr="00AF1EAB">
        <w:t>UN Doc CRPD/C/GC/1</w:t>
      </w:r>
      <w:r>
        <w:t xml:space="preserve">, </w:t>
      </w:r>
      <w:r w:rsidR="002445E1">
        <w:t xml:space="preserve">para 16; </w:t>
      </w:r>
      <w:r w:rsidR="002445E1">
        <w:rPr>
          <w:i/>
        </w:rPr>
        <w:t xml:space="preserve">CRPD </w:t>
      </w:r>
      <w:r w:rsidR="002445E1">
        <w:t>art 12(3).</w:t>
      </w:r>
    </w:p>
  </w:footnote>
  <w:footnote w:id="22">
    <w:p w14:paraId="24BAA1F0" w14:textId="5E09F787" w:rsidR="00390568" w:rsidRPr="00255637" w:rsidRDefault="00390568" w:rsidP="00AC2C3A">
      <w:pPr>
        <w:pStyle w:val="FootnoteText"/>
      </w:pPr>
      <w:r w:rsidRPr="00255637">
        <w:rPr>
          <w:rStyle w:val="FootnoteReference"/>
        </w:rPr>
        <w:footnoteRef/>
      </w:r>
      <w:r w:rsidRPr="00255637">
        <w:t xml:space="preserve"> </w:t>
      </w:r>
      <w:r w:rsidR="002445E1">
        <w:rPr>
          <w:i/>
        </w:rPr>
        <w:t xml:space="preserve">General Comment No. 1, </w:t>
      </w:r>
      <w:r w:rsidR="002445E1">
        <w:t>UN Doc CRPD/C/GC/1,</w:t>
      </w:r>
      <w:r>
        <w:t xml:space="preserve"> para 29; </w:t>
      </w:r>
      <w:r w:rsidR="002445E1">
        <w:rPr>
          <w:i/>
        </w:rPr>
        <w:t xml:space="preserve">CRPD </w:t>
      </w:r>
      <w:r w:rsidR="002445E1">
        <w:t xml:space="preserve">art 12(3)-(4); </w:t>
      </w:r>
      <w:r w:rsidRPr="00255637">
        <w:t>Maker</w:t>
      </w:r>
      <w:r>
        <w:t xml:space="preserve"> et al</w:t>
      </w:r>
      <w:r w:rsidRPr="00255637">
        <w:t xml:space="preserve">, </w:t>
      </w:r>
      <w:r>
        <w:t>‘</w:t>
      </w:r>
      <w:r w:rsidRPr="00255637">
        <w:t xml:space="preserve">Ensuring </w:t>
      </w:r>
      <w:r>
        <w:t>E</w:t>
      </w:r>
      <w:r w:rsidRPr="00255637">
        <w:t xml:space="preserve">quality for </w:t>
      </w:r>
      <w:r>
        <w:t>P</w:t>
      </w:r>
      <w:r w:rsidRPr="00255637">
        <w:t xml:space="preserve">ersons with </w:t>
      </w:r>
      <w:r>
        <w:t>C</w:t>
      </w:r>
      <w:r w:rsidRPr="00255637">
        <w:t xml:space="preserve">ognitive </w:t>
      </w:r>
      <w:r>
        <w:t>D</w:t>
      </w:r>
      <w:r w:rsidRPr="00255637">
        <w:t xml:space="preserve">isabilities in </w:t>
      </w:r>
      <w:r>
        <w:t>C</w:t>
      </w:r>
      <w:r w:rsidRPr="00255637">
        <w:t xml:space="preserve">onsumer </w:t>
      </w:r>
      <w:r>
        <w:t>C</w:t>
      </w:r>
      <w:r w:rsidRPr="00255637">
        <w:t>ontracting</w:t>
      </w:r>
      <w:r>
        <w:t xml:space="preserve">’, </w:t>
      </w:r>
      <w:r w:rsidRPr="00255637">
        <w:t xml:space="preserve">above </w:t>
      </w:r>
      <w:r w:rsidR="002445E1">
        <w:t>n 15</w:t>
      </w:r>
      <w:r w:rsidRPr="00255637">
        <w:t>, 186.</w:t>
      </w:r>
    </w:p>
  </w:footnote>
  <w:footnote w:id="23">
    <w:p w14:paraId="3445416B" w14:textId="77777777" w:rsidR="00390568" w:rsidRPr="004A618F" w:rsidRDefault="00390568" w:rsidP="00DB2771">
      <w:pPr>
        <w:spacing w:after="0" w:line="240" w:lineRule="auto"/>
      </w:pPr>
      <w:r w:rsidRPr="005D723B">
        <w:rPr>
          <w:rStyle w:val="FootnoteReference"/>
        </w:rPr>
        <w:footnoteRef/>
      </w:r>
      <w:r>
        <w:t xml:space="preserve"> </w:t>
      </w:r>
      <w:r w:rsidRPr="004A618F">
        <w:rPr>
          <w:i/>
        </w:rPr>
        <w:t>Baltic Shipping Co v Dillon</w:t>
      </w:r>
      <w:r w:rsidRPr="004A618F">
        <w:t xml:space="preserve"> (1991) 22 NSWLR 1, 25 (Kirby P). </w:t>
      </w:r>
    </w:p>
  </w:footnote>
  <w:footnote w:id="24">
    <w:p w14:paraId="5FEB6DF3" w14:textId="77777777" w:rsidR="00390568" w:rsidRPr="00255637" w:rsidRDefault="00390568" w:rsidP="00DB2771">
      <w:pPr>
        <w:spacing w:after="0" w:line="240" w:lineRule="auto"/>
        <w:rPr>
          <w:rFonts w:asciiTheme="minorHAnsi" w:hAnsiTheme="minorHAnsi" w:cstheme="minorHAnsi"/>
        </w:rPr>
      </w:pPr>
      <w:r w:rsidRPr="00255637">
        <w:rPr>
          <w:rStyle w:val="FootnoteReference"/>
          <w:rFonts w:asciiTheme="minorHAnsi" w:hAnsiTheme="minorHAnsi" w:cstheme="minorHAnsi"/>
          <w:color w:val="000000"/>
        </w:rPr>
        <w:footnoteRef/>
      </w:r>
      <w:r w:rsidRPr="00255637">
        <w:rPr>
          <w:rFonts w:asciiTheme="minorHAnsi" w:hAnsiTheme="minorHAnsi" w:cstheme="minorHAnsi"/>
        </w:rPr>
        <w:t xml:space="preserve"> </w:t>
      </w:r>
      <w:hyperlink r:id="rId1" w:history="1">
        <w:r w:rsidRPr="00255637">
          <w:rPr>
            <w:rFonts w:asciiTheme="minorHAnsi" w:hAnsiTheme="minorHAnsi" w:cstheme="minorHAnsi"/>
            <w:iCs/>
          </w:rPr>
          <w:t>Programme for the International Assessment of Adult Competencies (PIAAC)</w:t>
        </w:r>
      </w:hyperlink>
      <w:r w:rsidRPr="00255637">
        <w:rPr>
          <w:rFonts w:asciiTheme="minorHAnsi" w:hAnsiTheme="minorHAnsi" w:cstheme="minorHAnsi"/>
        </w:rPr>
        <w:t xml:space="preserve">, </w:t>
      </w:r>
      <w:r w:rsidRPr="00255637">
        <w:rPr>
          <w:rFonts w:asciiTheme="minorHAnsi" w:hAnsiTheme="minorHAnsi" w:cstheme="minorHAnsi"/>
          <w:i/>
        </w:rPr>
        <w:t>Survey of Adult Skills (PIAAC)</w:t>
      </w:r>
      <w:r w:rsidRPr="00255637">
        <w:rPr>
          <w:rFonts w:asciiTheme="minorHAnsi" w:hAnsiTheme="minorHAnsi" w:cstheme="minorHAnsi"/>
        </w:rPr>
        <w:t xml:space="preserve"> </w:t>
      </w:r>
      <w:r w:rsidRPr="00561AD2">
        <w:rPr>
          <w:rFonts w:asciiTheme="minorHAnsi" w:hAnsiTheme="minorHAnsi" w:cstheme="minorHAnsi"/>
        </w:rPr>
        <w:t>(2018) Organisation for Economic Co-operation and Development (OECD) &lt;http://www.oecd.org/skills/piaac/&gt;.</w:t>
      </w:r>
    </w:p>
  </w:footnote>
  <w:footnote w:id="25">
    <w:p w14:paraId="6EE8AA19" w14:textId="152F1F81" w:rsidR="00390568" w:rsidRPr="00255637" w:rsidRDefault="00390568" w:rsidP="00DB2771">
      <w:pPr>
        <w:pStyle w:val="FootnoteText"/>
      </w:pPr>
      <w:r w:rsidRPr="00255637">
        <w:rPr>
          <w:rStyle w:val="FootnoteReference"/>
          <w:color w:val="000000"/>
        </w:rPr>
        <w:footnoteRef/>
      </w:r>
      <w:r w:rsidRPr="00255637">
        <w:t xml:space="preserve"> </w:t>
      </w:r>
      <w:bookmarkStart w:id="3" w:name="_Hlk526170184"/>
      <w:r w:rsidRPr="00255637">
        <w:t xml:space="preserve">Russell </w:t>
      </w:r>
      <w:proofErr w:type="spellStart"/>
      <w:r w:rsidRPr="00255637">
        <w:t>Korobkin</w:t>
      </w:r>
      <w:proofErr w:type="spellEnd"/>
      <w:r w:rsidRPr="00255637">
        <w:t xml:space="preserve">, ‘Bounded Rationality, Standard Form Contracts, and Unconscionability’ (2003) 70 </w:t>
      </w:r>
      <w:r w:rsidRPr="00255637">
        <w:rPr>
          <w:i/>
        </w:rPr>
        <w:t>University of Chicago Law Review</w:t>
      </w:r>
      <w:r w:rsidRPr="00255637">
        <w:rPr>
          <w:i/>
          <w:iCs/>
        </w:rPr>
        <w:t xml:space="preserve"> </w:t>
      </w:r>
      <w:r w:rsidRPr="00255637">
        <w:t>1203</w:t>
      </w:r>
      <w:bookmarkEnd w:id="3"/>
      <w:r>
        <w:t xml:space="preserve">-1295, </w:t>
      </w:r>
      <w:r w:rsidRPr="00255637">
        <w:t>1226-1269.</w:t>
      </w:r>
    </w:p>
  </w:footnote>
  <w:footnote w:id="26">
    <w:p w14:paraId="2647DCE0" w14:textId="34465FD0" w:rsidR="00390568" w:rsidRPr="00255637" w:rsidRDefault="00390568" w:rsidP="001731CD">
      <w:pPr>
        <w:pStyle w:val="FootnoteText"/>
      </w:pPr>
      <w:r w:rsidRPr="00255637">
        <w:rPr>
          <w:rStyle w:val="FootnoteReference"/>
        </w:rPr>
        <w:footnoteRef/>
      </w:r>
      <w:r>
        <w:t xml:space="preserve"> </w:t>
      </w:r>
      <w:bookmarkStart w:id="4" w:name="_Hlk526170311"/>
      <w:r w:rsidRPr="00255637">
        <w:t xml:space="preserve">Susan C Hayes and Fiona B Martin, ‘Consumers with an </w:t>
      </w:r>
      <w:r>
        <w:t>I</w:t>
      </w:r>
      <w:r w:rsidRPr="00255637">
        <w:t xml:space="preserve">ntellectual </w:t>
      </w:r>
      <w:r>
        <w:t>D</w:t>
      </w:r>
      <w:r w:rsidRPr="00255637">
        <w:t xml:space="preserve">isability and </w:t>
      </w:r>
      <w:r>
        <w:t>C</w:t>
      </w:r>
      <w:r w:rsidRPr="00255637">
        <w:t xml:space="preserve">arers: Perceptions of </w:t>
      </w:r>
      <w:r>
        <w:t>I</w:t>
      </w:r>
      <w:r w:rsidRPr="00255637">
        <w:t xml:space="preserve">nteractions with </w:t>
      </w:r>
      <w:r>
        <w:t>Banks</w:t>
      </w:r>
      <w:r w:rsidRPr="00255637">
        <w:t xml:space="preserve">’ (2007) 11(1) </w:t>
      </w:r>
      <w:r w:rsidRPr="00255637">
        <w:rPr>
          <w:i/>
          <w:iCs/>
        </w:rPr>
        <w:t xml:space="preserve">Journal of Intellectual Disabilities </w:t>
      </w:r>
      <w:r w:rsidRPr="00255637">
        <w:rPr>
          <w:iCs/>
        </w:rPr>
        <w:t>9</w:t>
      </w:r>
      <w:bookmarkEnd w:id="4"/>
      <w:r>
        <w:rPr>
          <w:iCs/>
        </w:rPr>
        <w:t>-22</w:t>
      </w:r>
      <w:r>
        <w:t>,</w:t>
      </w:r>
      <w:r w:rsidRPr="00255637">
        <w:t xml:space="preserve"> 14-16.</w:t>
      </w:r>
    </w:p>
  </w:footnote>
  <w:footnote w:id="27">
    <w:p w14:paraId="13BB3B08" w14:textId="00FBA448" w:rsidR="00390568" w:rsidRPr="009E78FA" w:rsidRDefault="00390568" w:rsidP="001731CD">
      <w:pPr>
        <w:pStyle w:val="FootnoteText"/>
        <w:rPr>
          <w:lang w:val="en-US"/>
        </w:rPr>
      </w:pPr>
      <w:r w:rsidRPr="00255637">
        <w:rPr>
          <w:rStyle w:val="FootnoteReference"/>
        </w:rPr>
        <w:footnoteRef/>
      </w:r>
      <w:r w:rsidRPr="009E78FA">
        <w:rPr>
          <w:lang w:val="en-US"/>
        </w:rPr>
        <w:t xml:space="preserve"> </w:t>
      </w:r>
      <w:r w:rsidRPr="00255637">
        <w:t xml:space="preserve">Rachel Hale, Bernadette McSherry, Jeannie Paterson, Lisa Brophy and Anna Arstein-Kerslake, </w:t>
      </w:r>
      <w:r w:rsidRPr="00E72DE7">
        <w:rPr>
          <w:i/>
        </w:rPr>
        <w:t>Consumer Transactions: Equitable Support Models for Individuals with Decision-Making Impairments</w:t>
      </w:r>
      <w:r w:rsidRPr="00255637">
        <w:t xml:space="preserve"> (University of Melbourne</w:t>
      </w:r>
      <w:r w:rsidR="009E26B9">
        <w:t>,</w:t>
      </w:r>
      <w:r w:rsidRPr="00255637">
        <w:t xml:space="preserve"> 2017)</w:t>
      </w:r>
      <w:r>
        <w:t xml:space="preserve"> </w:t>
      </w:r>
      <w:r w:rsidRPr="009E78FA">
        <w:rPr>
          <w:lang w:val="en-US"/>
        </w:rPr>
        <w:t>58.</w:t>
      </w:r>
    </w:p>
  </w:footnote>
  <w:footnote w:id="28">
    <w:p w14:paraId="2B5AA270" w14:textId="17235D25" w:rsidR="00390568" w:rsidRPr="00136542" w:rsidRDefault="00390568" w:rsidP="00834D0B">
      <w:pPr>
        <w:pStyle w:val="FootnoteText"/>
        <w:rPr>
          <w:lang w:val="en-US"/>
        </w:rPr>
      </w:pPr>
      <w:r w:rsidRPr="00255637">
        <w:rPr>
          <w:rStyle w:val="FootnoteReference"/>
        </w:rPr>
        <w:footnoteRef/>
      </w:r>
      <w:r w:rsidRPr="00136542">
        <w:rPr>
          <w:lang w:val="en-US"/>
        </w:rPr>
        <w:t xml:space="preserve"> Dany Lussier-Desrochers, Claude L Normand, Alejandro Romero-Torres, Yves </w:t>
      </w:r>
      <w:proofErr w:type="spellStart"/>
      <w:r w:rsidRPr="00136542">
        <w:rPr>
          <w:lang w:val="en-US"/>
        </w:rPr>
        <w:t>Lachapelle</w:t>
      </w:r>
      <w:proofErr w:type="spellEnd"/>
      <w:r w:rsidRPr="00136542">
        <w:rPr>
          <w:lang w:val="en-US"/>
        </w:rPr>
        <w:t xml:space="preserve">, </w:t>
      </w:r>
      <w:proofErr w:type="spellStart"/>
      <w:r w:rsidRPr="00136542">
        <w:rPr>
          <w:lang w:val="en-US"/>
        </w:rPr>
        <w:t>Valérie</w:t>
      </w:r>
      <w:proofErr w:type="spellEnd"/>
      <w:r w:rsidRPr="00136542">
        <w:rPr>
          <w:lang w:val="en-US"/>
        </w:rPr>
        <w:t xml:space="preserve"> Godin-Tremblay, Marie-</w:t>
      </w:r>
      <w:proofErr w:type="spellStart"/>
      <w:r w:rsidRPr="00136542">
        <w:rPr>
          <w:lang w:val="en-US"/>
        </w:rPr>
        <w:t>Ève</w:t>
      </w:r>
      <w:proofErr w:type="spellEnd"/>
      <w:r w:rsidRPr="00136542">
        <w:rPr>
          <w:lang w:val="en-US"/>
        </w:rPr>
        <w:t xml:space="preserve"> Dupont, Jeannie Roux, Laurence </w:t>
      </w:r>
      <w:proofErr w:type="spellStart"/>
      <w:r w:rsidRPr="00136542">
        <w:rPr>
          <w:lang w:val="en-US"/>
        </w:rPr>
        <w:t>Pépin-Beauchesne</w:t>
      </w:r>
      <w:proofErr w:type="spellEnd"/>
      <w:r w:rsidRPr="00136542">
        <w:rPr>
          <w:lang w:val="en-US"/>
        </w:rPr>
        <w:t xml:space="preserve"> and Pascale Bilodeau, ‘Bridging the digital divide for people with intellectual disability’ (2017) 11(1) </w:t>
      </w:r>
      <w:r w:rsidRPr="00136542">
        <w:rPr>
          <w:i/>
          <w:iCs/>
          <w:lang w:val="en-US"/>
        </w:rPr>
        <w:t>Cyberpsychology: Journal of Psychosocial Research on Cyberspace</w:t>
      </w:r>
      <w:r w:rsidRPr="00136542">
        <w:rPr>
          <w:lang w:val="en-US"/>
        </w:rPr>
        <w:t xml:space="preserve"> 53-74.</w:t>
      </w:r>
    </w:p>
  </w:footnote>
  <w:footnote w:id="29">
    <w:p w14:paraId="754B66D0" w14:textId="05F49BD7" w:rsidR="00390568" w:rsidRPr="006F4097" w:rsidRDefault="00390568" w:rsidP="00972EA8">
      <w:pPr>
        <w:pStyle w:val="FootnoteText"/>
      </w:pPr>
      <w:r w:rsidRPr="00255637">
        <w:rPr>
          <w:rStyle w:val="FootnoteReference"/>
        </w:rPr>
        <w:footnoteRef/>
      </w:r>
      <w:r w:rsidRPr="00255637">
        <w:t xml:space="preserve"> </w:t>
      </w:r>
      <w:r w:rsidR="002445E1">
        <w:t xml:space="preserve">See, </w:t>
      </w:r>
      <w:proofErr w:type="spellStart"/>
      <w:r w:rsidR="002445E1">
        <w:t>eg</w:t>
      </w:r>
      <w:proofErr w:type="spellEnd"/>
      <w:r w:rsidR="002445E1">
        <w:t>,</w:t>
      </w:r>
      <w:r>
        <w:t xml:space="preserve"> </w:t>
      </w:r>
      <w:r w:rsidRPr="00255637">
        <w:t xml:space="preserve">Linda </w:t>
      </w:r>
      <w:proofErr w:type="spellStart"/>
      <w:r w:rsidRPr="00255637">
        <w:t>Mechling</w:t>
      </w:r>
      <w:proofErr w:type="spellEnd"/>
      <w:r w:rsidRPr="00255637">
        <w:t>, ‘Review of Twenty-First Centu</w:t>
      </w:r>
      <w:r>
        <w:t>ry Portable Electronic Devices for Persons w</w:t>
      </w:r>
      <w:r w:rsidRPr="00255637">
        <w:t>ith Mode</w:t>
      </w:r>
      <w:r>
        <w:t>rate Intellectual Disabilities a</w:t>
      </w:r>
      <w:r w:rsidRPr="00255637">
        <w:t xml:space="preserve">nd Autism Spectrum Disorders’ (2011) 46(4) </w:t>
      </w:r>
      <w:r w:rsidRPr="00255637">
        <w:rPr>
          <w:i/>
          <w:iCs/>
        </w:rPr>
        <w:t>Education and Training in Autism and Developmental Disabilities</w:t>
      </w:r>
      <w:r w:rsidRPr="00255637">
        <w:t xml:space="preserve"> 479</w:t>
      </w:r>
      <w:r>
        <w:t xml:space="preserve">-498, 480; </w:t>
      </w:r>
      <w:r w:rsidRPr="00255637">
        <w:t xml:space="preserve">Peter David Blanck, </w:t>
      </w:r>
      <w:proofErr w:type="spellStart"/>
      <w:r w:rsidRPr="00E72DE7">
        <w:rPr>
          <w:i/>
        </w:rPr>
        <w:t>eQuality</w:t>
      </w:r>
      <w:proofErr w:type="spellEnd"/>
      <w:r w:rsidRPr="00E72DE7">
        <w:rPr>
          <w:i/>
        </w:rPr>
        <w:t>: The Struggle for Web Accessibility by Persons with Cognitive Disabilities</w:t>
      </w:r>
      <w:r w:rsidRPr="00255637">
        <w:t xml:space="preserve"> (Cambridge University Press, 2014)</w:t>
      </w:r>
      <w:r w:rsidR="002445E1">
        <w:t xml:space="preserve"> 26</w:t>
      </w:r>
      <w:r>
        <w:t>.</w:t>
      </w:r>
    </w:p>
  </w:footnote>
  <w:footnote w:id="30">
    <w:p w14:paraId="47D5D18F" w14:textId="155A1367" w:rsidR="00390568" w:rsidRPr="00255637" w:rsidRDefault="00390568" w:rsidP="006C7777">
      <w:pPr>
        <w:pStyle w:val="Footnote"/>
        <w:tabs>
          <w:tab w:val="clear" w:pos="737"/>
          <w:tab w:val="clear" w:pos="1020"/>
          <w:tab w:val="left" w:pos="0"/>
        </w:tabs>
        <w:ind w:left="0" w:firstLine="0"/>
        <w:rPr>
          <w:rFonts w:asciiTheme="minorHAnsi" w:hAnsiTheme="minorHAnsi" w:cstheme="minorHAnsi"/>
          <w:color w:val="000000"/>
          <w:sz w:val="22"/>
          <w:szCs w:val="22"/>
          <w:lang w:val="en-GB"/>
        </w:rPr>
      </w:pPr>
      <w:r w:rsidRPr="00255637">
        <w:rPr>
          <w:rFonts w:asciiTheme="minorHAnsi" w:hAnsiTheme="minorHAnsi" w:cstheme="minorHAnsi"/>
          <w:sz w:val="22"/>
          <w:szCs w:val="22"/>
          <w:vertAlign w:val="superscript"/>
        </w:rPr>
        <w:footnoteRef/>
      </w:r>
      <w:r w:rsidRPr="00255637">
        <w:rPr>
          <w:rFonts w:asciiTheme="minorHAnsi" w:hAnsiTheme="minorHAnsi" w:cstheme="minorHAnsi"/>
          <w:color w:val="000000"/>
          <w:sz w:val="22"/>
          <w:szCs w:val="22"/>
          <w:lang w:val="en-GB"/>
        </w:rPr>
        <w:t xml:space="preserve"> See, eg, Jeffrey Davis, ‘Protecting Consumers from </w:t>
      </w:r>
      <w:proofErr w:type="spellStart"/>
      <w:r w:rsidRPr="00255637">
        <w:rPr>
          <w:rFonts w:asciiTheme="minorHAnsi" w:hAnsiTheme="minorHAnsi" w:cstheme="minorHAnsi"/>
          <w:color w:val="000000"/>
          <w:sz w:val="22"/>
          <w:szCs w:val="22"/>
          <w:lang w:val="en-GB"/>
        </w:rPr>
        <w:t>Overdisclosure</w:t>
      </w:r>
      <w:proofErr w:type="spellEnd"/>
      <w:r w:rsidRPr="00255637">
        <w:rPr>
          <w:rFonts w:asciiTheme="minorHAnsi" w:hAnsiTheme="minorHAnsi" w:cstheme="minorHAnsi"/>
          <w:color w:val="000000"/>
          <w:sz w:val="22"/>
          <w:szCs w:val="22"/>
          <w:lang w:val="en-GB"/>
        </w:rPr>
        <w:t xml:space="preserve"> and Gobbledygook: An Empirical Look at the Simplification of Consumer-Credit Contracts’ (1977) 63</w:t>
      </w:r>
      <w:r w:rsidR="00E26356">
        <w:rPr>
          <w:rFonts w:asciiTheme="minorHAnsi" w:hAnsiTheme="minorHAnsi" w:cstheme="minorHAnsi"/>
          <w:color w:val="000000"/>
          <w:sz w:val="22"/>
          <w:szCs w:val="22"/>
          <w:lang w:val="en-GB"/>
        </w:rPr>
        <w:t>(6)</w:t>
      </w:r>
      <w:r w:rsidRPr="00255637">
        <w:rPr>
          <w:rFonts w:asciiTheme="minorHAnsi" w:hAnsiTheme="minorHAnsi" w:cstheme="minorHAnsi"/>
          <w:color w:val="000000"/>
          <w:sz w:val="22"/>
          <w:szCs w:val="22"/>
          <w:lang w:val="en-GB"/>
        </w:rPr>
        <w:t xml:space="preserve"> </w:t>
      </w:r>
      <w:r w:rsidRPr="00255637">
        <w:rPr>
          <w:rFonts w:asciiTheme="minorHAnsi" w:hAnsiTheme="minorHAnsi" w:cstheme="minorHAnsi"/>
          <w:i/>
          <w:iCs/>
          <w:color w:val="000000"/>
          <w:sz w:val="22"/>
          <w:szCs w:val="22"/>
          <w:lang w:val="en-GB"/>
        </w:rPr>
        <w:t>Virginia L</w:t>
      </w:r>
      <w:r>
        <w:rPr>
          <w:rFonts w:asciiTheme="minorHAnsi" w:hAnsiTheme="minorHAnsi" w:cstheme="minorHAnsi"/>
          <w:i/>
          <w:iCs/>
          <w:color w:val="000000"/>
          <w:sz w:val="22"/>
          <w:szCs w:val="22"/>
          <w:lang w:val="en-GB"/>
        </w:rPr>
        <w:t xml:space="preserve">aw </w:t>
      </w:r>
      <w:r w:rsidRPr="00255637">
        <w:rPr>
          <w:rFonts w:asciiTheme="minorHAnsi" w:hAnsiTheme="minorHAnsi" w:cstheme="minorHAnsi"/>
          <w:i/>
          <w:iCs/>
          <w:color w:val="000000"/>
          <w:sz w:val="22"/>
          <w:szCs w:val="22"/>
          <w:lang w:val="en-GB"/>
        </w:rPr>
        <w:t>R</w:t>
      </w:r>
      <w:r>
        <w:rPr>
          <w:rFonts w:asciiTheme="minorHAnsi" w:hAnsiTheme="minorHAnsi" w:cstheme="minorHAnsi"/>
          <w:i/>
          <w:iCs/>
          <w:color w:val="000000"/>
          <w:sz w:val="22"/>
          <w:szCs w:val="22"/>
          <w:lang w:val="en-GB"/>
        </w:rPr>
        <w:t>eport</w:t>
      </w:r>
      <w:r w:rsidRPr="00255637">
        <w:rPr>
          <w:rFonts w:asciiTheme="minorHAnsi" w:hAnsiTheme="minorHAnsi" w:cstheme="minorHAnsi"/>
          <w:color w:val="000000"/>
          <w:sz w:val="22"/>
          <w:szCs w:val="22"/>
          <w:lang w:val="en-GB"/>
        </w:rPr>
        <w:t xml:space="preserve"> 841</w:t>
      </w:r>
      <w:r>
        <w:rPr>
          <w:rFonts w:asciiTheme="minorHAnsi" w:hAnsiTheme="minorHAnsi" w:cstheme="minorHAnsi"/>
          <w:color w:val="000000"/>
          <w:sz w:val="22"/>
          <w:szCs w:val="22"/>
          <w:lang w:val="en-GB"/>
        </w:rPr>
        <w:t>-920</w:t>
      </w:r>
      <w:r w:rsidRPr="00255637">
        <w:rPr>
          <w:rFonts w:asciiTheme="minorHAnsi" w:hAnsiTheme="minorHAnsi" w:cstheme="minorHAnsi"/>
          <w:color w:val="000000"/>
          <w:sz w:val="22"/>
          <w:szCs w:val="22"/>
          <w:lang w:val="en-GB"/>
        </w:rPr>
        <w:t>, 846-56.</w:t>
      </w:r>
    </w:p>
  </w:footnote>
  <w:footnote w:id="31">
    <w:p w14:paraId="5CA73591" w14:textId="77777777" w:rsidR="00390568" w:rsidRPr="00255637" w:rsidRDefault="00390568" w:rsidP="00A975DB">
      <w:pPr>
        <w:pStyle w:val="FootnoteText"/>
      </w:pPr>
      <w:r w:rsidRPr="00255637">
        <w:rPr>
          <w:rStyle w:val="FootnoteReference"/>
        </w:rPr>
        <w:footnoteRef/>
      </w:r>
      <w:r w:rsidRPr="00255637">
        <w:t xml:space="preserve"> </w:t>
      </w:r>
      <w:r>
        <w:t xml:space="preserve">Disability Rights Now, </w:t>
      </w:r>
      <w:r w:rsidRPr="00E72DE7">
        <w:rPr>
          <w:i/>
        </w:rPr>
        <w:t>Civil Society Report to the United Nations Committee on the Rights of Persons with Disabilities: Compiled by Disability Representative, Advocacy, Legal and Human Rights Organisations</w:t>
      </w:r>
      <w:r w:rsidRPr="00255637">
        <w:t xml:space="preserve"> (August 2012) 146.</w:t>
      </w:r>
    </w:p>
  </w:footnote>
  <w:footnote w:id="32">
    <w:p w14:paraId="71F2FF96" w14:textId="77777777" w:rsidR="00390568" w:rsidRPr="00255637" w:rsidRDefault="00390568" w:rsidP="00D2074D">
      <w:pPr>
        <w:pStyle w:val="FootnoteText"/>
      </w:pPr>
      <w:r w:rsidRPr="00255637">
        <w:rPr>
          <w:rStyle w:val="FootnoteReference"/>
        </w:rPr>
        <w:footnoteRef/>
      </w:r>
      <w:r w:rsidRPr="00255637">
        <w:t xml:space="preserve"> </w:t>
      </w:r>
      <w:r w:rsidRPr="00F34DE3">
        <w:t xml:space="preserve">Julie Anderson, Keith McVilly, Stella Koritsas, Hilary Johnson, Michele Wiese, Roger </w:t>
      </w:r>
      <w:proofErr w:type="spellStart"/>
      <w:r w:rsidRPr="00F34DE3">
        <w:t>Stancliffe</w:t>
      </w:r>
      <w:proofErr w:type="spellEnd"/>
      <w:r w:rsidRPr="00F34DE3">
        <w:t xml:space="preserve">, </w:t>
      </w:r>
      <w:r>
        <w:br/>
      </w:r>
      <w:r w:rsidRPr="00F34DE3">
        <w:t xml:space="preserve">K Lyon, Naomi </w:t>
      </w:r>
      <w:proofErr w:type="spellStart"/>
      <w:r w:rsidRPr="00F34DE3">
        <w:t>Rezzani</w:t>
      </w:r>
      <w:proofErr w:type="spellEnd"/>
      <w:r w:rsidRPr="00F34DE3">
        <w:t xml:space="preserve"> and J </w:t>
      </w:r>
      <w:proofErr w:type="spellStart"/>
      <w:r w:rsidRPr="00F34DE3">
        <w:t>Ozge</w:t>
      </w:r>
      <w:proofErr w:type="spellEnd"/>
      <w:r w:rsidRPr="00F34DE3">
        <w:t xml:space="preserve">, </w:t>
      </w:r>
      <w:r w:rsidRPr="00F34DE3">
        <w:rPr>
          <w:i/>
        </w:rPr>
        <w:t>Accessible Written Information Resources for Adults with Intellectual Di</w:t>
      </w:r>
      <w:r>
        <w:rPr>
          <w:i/>
        </w:rPr>
        <w:t xml:space="preserve">sability: Good Practice Summary </w:t>
      </w:r>
      <w:r>
        <w:t>(2017)</w:t>
      </w:r>
      <w:r w:rsidRPr="00F34DE3">
        <w:t xml:space="preserve"> Research to Action Guide, NDS Centre for Ap</w:t>
      </w:r>
      <w:r>
        <w:t>plied Disability Research</w:t>
      </w:r>
      <w:r w:rsidRPr="00255637">
        <w:t>;</w:t>
      </w:r>
      <w:r w:rsidRPr="00255637">
        <w:rPr>
          <w:i/>
        </w:rPr>
        <w:t xml:space="preserve"> </w:t>
      </w:r>
      <w:r w:rsidRPr="00255637">
        <w:t xml:space="preserve">Scope Communication Resource Centre, </w:t>
      </w:r>
      <w:r w:rsidRPr="00255637">
        <w:rPr>
          <w:i/>
        </w:rPr>
        <w:t>Easy English Writing Style Guide</w:t>
      </w:r>
      <w:r w:rsidRPr="00255637">
        <w:t xml:space="preserve"> (November 2007).</w:t>
      </w:r>
    </w:p>
  </w:footnote>
  <w:footnote w:id="33">
    <w:p w14:paraId="1EFB88A3" w14:textId="2342146B" w:rsidR="00390568" w:rsidRPr="00255637" w:rsidRDefault="00390568" w:rsidP="005515CC">
      <w:pPr>
        <w:pStyle w:val="FootnoteText"/>
      </w:pPr>
      <w:r w:rsidRPr="00255637">
        <w:rPr>
          <w:rStyle w:val="FootnoteReference"/>
        </w:rPr>
        <w:footnoteRef/>
      </w:r>
      <w:r w:rsidRPr="00255637">
        <w:t xml:space="preserve"> Rebekah Joy Sutherland and Tom Isherwood, ‘The Evidence for Easy-Read for People with Intellectual Disabilities: A Systematic Literature Review’ (2016) 13(4) </w:t>
      </w:r>
      <w:r w:rsidRPr="00255637">
        <w:rPr>
          <w:i/>
          <w:iCs/>
        </w:rPr>
        <w:t xml:space="preserve">Journal of Policy and Practice in Intellectual Disabilities </w:t>
      </w:r>
      <w:r w:rsidRPr="00255637">
        <w:t>297</w:t>
      </w:r>
      <w:r>
        <w:t xml:space="preserve">-310, 297; </w:t>
      </w:r>
      <w:r w:rsidRPr="00F34DE3">
        <w:t>Julie Anderson, Keith McVilly, Stella Koritsas, Hilary Johnson, M</w:t>
      </w:r>
      <w:r>
        <w:t xml:space="preserve">ichele Wiese, Roger </w:t>
      </w:r>
      <w:proofErr w:type="spellStart"/>
      <w:r>
        <w:t>Stancliffe</w:t>
      </w:r>
      <w:proofErr w:type="spellEnd"/>
      <w:r>
        <w:t xml:space="preserve">, </w:t>
      </w:r>
      <w:r w:rsidRPr="00F34DE3">
        <w:t xml:space="preserve">K Lyon, Naomi </w:t>
      </w:r>
      <w:proofErr w:type="spellStart"/>
      <w:r w:rsidRPr="00F34DE3">
        <w:t>Rezzani</w:t>
      </w:r>
      <w:proofErr w:type="spellEnd"/>
      <w:r w:rsidRPr="00F34DE3">
        <w:t xml:space="preserve"> and J </w:t>
      </w:r>
      <w:proofErr w:type="spellStart"/>
      <w:r w:rsidRPr="00F34DE3">
        <w:t>Ozge</w:t>
      </w:r>
      <w:proofErr w:type="spellEnd"/>
      <w:r w:rsidRPr="00F34DE3">
        <w:t xml:space="preserve">, </w:t>
      </w:r>
      <w:r w:rsidRPr="00F34DE3">
        <w:rPr>
          <w:i/>
        </w:rPr>
        <w:t>Accessible Written Information Resources for Adults with Intellectual Disability: A Rapid Review of the Literature</w:t>
      </w:r>
      <w:r>
        <w:t xml:space="preserve"> (2017)</w:t>
      </w:r>
      <w:r w:rsidRPr="00F34DE3">
        <w:rPr>
          <w:i/>
        </w:rPr>
        <w:t xml:space="preserve"> </w:t>
      </w:r>
      <w:r w:rsidRPr="00F34DE3">
        <w:t>Research to Action Guide, NDS Centre for Ap</w:t>
      </w:r>
      <w:r>
        <w:t>plied Disability Research 3.</w:t>
      </w:r>
    </w:p>
  </w:footnote>
  <w:footnote w:id="34">
    <w:p w14:paraId="2EC1467C" w14:textId="0A3D99DA" w:rsidR="00390568" w:rsidRPr="00255637" w:rsidRDefault="00390568" w:rsidP="002B0864">
      <w:pPr>
        <w:pStyle w:val="FootnoteText"/>
      </w:pPr>
      <w:r w:rsidRPr="00255637">
        <w:rPr>
          <w:rStyle w:val="FootnoteReference"/>
        </w:rPr>
        <w:footnoteRef/>
      </w:r>
      <w:r>
        <w:t xml:space="preserve"> Anderson et al,</w:t>
      </w:r>
      <w:r w:rsidRPr="00B13095">
        <w:rPr>
          <w:i/>
        </w:rPr>
        <w:t xml:space="preserve"> </w:t>
      </w:r>
      <w:r w:rsidRPr="00F34DE3">
        <w:rPr>
          <w:i/>
        </w:rPr>
        <w:t>Accessible Written Information Resources for Adults with Intellectual Di</w:t>
      </w:r>
      <w:r>
        <w:rPr>
          <w:i/>
        </w:rPr>
        <w:t>sability: Good Practice Summary</w:t>
      </w:r>
      <w:r>
        <w:t>, above n 3</w:t>
      </w:r>
      <w:r w:rsidR="002445E1">
        <w:t>1</w:t>
      </w:r>
      <w:r w:rsidRPr="00255637">
        <w:t>, 11.</w:t>
      </w:r>
    </w:p>
  </w:footnote>
  <w:footnote w:id="35">
    <w:p w14:paraId="0416EBA4" w14:textId="77777777" w:rsidR="005E2F91" w:rsidRPr="00534F39" w:rsidRDefault="005E2F91" w:rsidP="005E2F91">
      <w:pPr>
        <w:pStyle w:val="FootnoteText"/>
      </w:pPr>
      <w:r w:rsidRPr="00534F39">
        <w:rPr>
          <w:rStyle w:val="FootnoteReference"/>
        </w:rPr>
        <w:footnoteRef/>
      </w:r>
      <w:r>
        <w:t xml:space="preserve"> </w:t>
      </w:r>
      <w:r w:rsidRPr="00255637">
        <w:t xml:space="preserve">Peter David Blanck, </w:t>
      </w:r>
      <w:proofErr w:type="spellStart"/>
      <w:r w:rsidRPr="00E72DE7">
        <w:rPr>
          <w:i/>
        </w:rPr>
        <w:t>eQuality</w:t>
      </w:r>
      <w:proofErr w:type="spellEnd"/>
      <w:r w:rsidRPr="00E72DE7">
        <w:rPr>
          <w:i/>
        </w:rPr>
        <w:t>: The Struggle for Web Accessibility by Persons with Cognitive Disabilities</w:t>
      </w:r>
      <w:r w:rsidRPr="00255637">
        <w:t xml:space="preserve"> (Cambridge University Press, 2014)</w:t>
      </w:r>
      <w:r w:rsidRPr="00534F39">
        <w:t xml:space="preserve"> 166.</w:t>
      </w:r>
    </w:p>
  </w:footnote>
  <w:footnote w:id="36">
    <w:p w14:paraId="4930865C" w14:textId="5582729D" w:rsidR="00390568" w:rsidRPr="00255637" w:rsidRDefault="00390568" w:rsidP="00461E47">
      <w:pPr>
        <w:pStyle w:val="FootnoteText"/>
      </w:pPr>
      <w:r w:rsidRPr="00534F39">
        <w:rPr>
          <w:rStyle w:val="FootnoteReference"/>
        </w:rPr>
        <w:footnoteRef/>
      </w:r>
      <w:r w:rsidRPr="00534F39">
        <w:t xml:space="preserve"> </w:t>
      </w:r>
      <w:r w:rsidRPr="00534F39">
        <w:rPr>
          <w:i/>
        </w:rPr>
        <w:t xml:space="preserve">Web Content Accessibility Guidelines, </w:t>
      </w:r>
      <w:r w:rsidR="002445E1">
        <w:t>above n 9</w:t>
      </w:r>
      <w:r>
        <w:t>.</w:t>
      </w:r>
    </w:p>
  </w:footnote>
  <w:footnote w:id="37">
    <w:p w14:paraId="19A972A1" w14:textId="65131C60" w:rsidR="00390568" w:rsidRPr="00255637" w:rsidRDefault="00390568" w:rsidP="00362048">
      <w:pPr>
        <w:pStyle w:val="FootnoteText"/>
      </w:pPr>
      <w:r w:rsidRPr="00255637">
        <w:rPr>
          <w:rStyle w:val="FootnoteReference"/>
        </w:rPr>
        <w:footnoteRef/>
      </w:r>
      <w:r w:rsidRPr="00255637">
        <w:t xml:space="preserve"> Maker</w:t>
      </w:r>
      <w:r>
        <w:t xml:space="preserve"> et al</w:t>
      </w:r>
      <w:r w:rsidRPr="00255637">
        <w:t xml:space="preserve">, </w:t>
      </w:r>
      <w:r>
        <w:t>‘</w:t>
      </w:r>
      <w:r w:rsidRPr="00255637">
        <w:t xml:space="preserve">Ensuring </w:t>
      </w:r>
      <w:r>
        <w:t>E</w:t>
      </w:r>
      <w:r w:rsidRPr="00255637">
        <w:t xml:space="preserve">quality for </w:t>
      </w:r>
      <w:r>
        <w:t>P</w:t>
      </w:r>
      <w:r w:rsidRPr="00255637">
        <w:t xml:space="preserve">ersons with </w:t>
      </w:r>
      <w:r>
        <w:t>C</w:t>
      </w:r>
      <w:r w:rsidRPr="00255637">
        <w:t xml:space="preserve">ognitive </w:t>
      </w:r>
      <w:r>
        <w:t>D</w:t>
      </w:r>
      <w:r w:rsidRPr="00255637">
        <w:t xml:space="preserve">isabilities in </w:t>
      </w:r>
      <w:r>
        <w:t>C</w:t>
      </w:r>
      <w:r w:rsidRPr="00255637">
        <w:t xml:space="preserve">onsumer </w:t>
      </w:r>
      <w:r>
        <w:t>C</w:t>
      </w:r>
      <w:r w:rsidRPr="00255637">
        <w:t>ontracting</w:t>
      </w:r>
      <w:r>
        <w:t xml:space="preserve">’, </w:t>
      </w:r>
      <w:r w:rsidRPr="00255637">
        <w:t xml:space="preserve">above </w:t>
      </w:r>
      <w:r>
        <w:t>n 1</w:t>
      </w:r>
      <w:r w:rsidR="000B5FC5">
        <w:t>5</w:t>
      </w:r>
      <w:r w:rsidRPr="00255637">
        <w:t xml:space="preserve">, 14. </w:t>
      </w:r>
    </w:p>
  </w:footnote>
  <w:footnote w:id="38">
    <w:p w14:paraId="7AEA74C2" w14:textId="1FD07B06" w:rsidR="00390568" w:rsidRPr="00255637" w:rsidRDefault="00390568" w:rsidP="00362048">
      <w:pPr>
        <w:pStyle w:val="FootnoteText"/>
        <w:rPr>
          <w:lang w:val="en-US"/>
        </w:rPr>
      </w:pPr>
      <w:r w:rsidRPr="00255637">
        <w:rPr>
          <w:rStyle w:val="FootnoteReference"/>
        </w:rPr>
        <w:footnoteRef/>
      </w:r>
      <w:r w:rsidRPr="00255637">
        <w:t xml:space="preserve"> </w:t>
      </w:r>
      <w:bookmarkStart w:id="5" w:name="_Hlk526169847"/>
      <w:r w:rsidRPr="00255637">
        <w:t>Yvette Maker, Bernadette McSherry, Lisa Brophy, Jeannie Marie Paterson and Anna Arstein-Kerslake, ‘Supporti</w:t>
      </w:r>
      <w:r>
        <w:t>ng People with Decision-Making I</w:t>
      </w:r>
      <w:r w:rsidRPr="00255637">
        <w:t xml:space="preserve">mpairments: Choice, Control and Consumer Transactions’ (2017) 24 </w:t>
      </w:r>
      <w:r w:rsidRPr="00255637">
        <w:rPr>
          <w:i/>
          <w:iCs/>
        </w:rPr>
        <w:t xml:space="preserve">Journal of Law and Medicine </w:t>
      </w:r>
      <w:r w:rsidRPr="00255637">
        <w:rPr>
          <w:iCs/>
        </w:rPr>
        <w:t>756</w:t>
      </w:r>
      <w:bookmarkEnd w:id="5"/>
      <w:r>
        <w:rPr>
          <w:iCs/>
        </w:rPr>
        <w:t xml:space="preserve">-762, </w:t>
      </w:r>
      <w:r w:rsidRPr="00255637">
        <w:rPr>
          <w:lang w:val="en-US"/>
        </w:rPr>
        <w:t>760.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0582C"/>
    <w:multiLevelType w:val="hybridMultilevel"/>
    <w:tmpl w:val="0840DE64"/>
    <w:lvl w:ilvl="0" w:tplc="CC7EBCF2">
      <w:start w:val="1"/>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B135987"/>
    <w:multiLevelType w:val="multilevel"/>
    <w:tmpl w:val="96C0BDA0"/>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20C27327"/>
    <w:multiLevelType w:val="multilevel"/>
    <w:tmpl w:val="616E1F1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lang w:val="en-AU"/>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24B9754E"/>
    <w:multiLevelType w:val="hybridMultilevel"/>
    <w:tmpl w:val="3806D0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6AD7E5A"/>
    <w:multiLevelType w:val="multilevel"/>
    <w:tmpl w:val="B15A7F5E"/>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A786D4E"/>
    <w:multiLevelType w:val="hybridMultilevel"/>
    <w:tmpl w:val="2B28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74740"/>
    <w:multiLevelType w:val="hybridMultilevel"/>
    <w:tmpl w:val="A51CBEF4"/>
    <w:lvl w:ilvl="0" w:tplc="CBAE7D9E">
      <w:start w:val="1"/>
      <w:numFmt w:val="bullet"/>
      <w:lvlText w:val=""/>
      <w:lvlJc w:val="left"/>
      <w:pPr>
        <w:ind w:left="360" w:hanging="360"/>
      </w:pPr>
      <w:rPr>
        <w:rFonts w:ascii="Symbol" w:eastAsia="Calibri" w:hAnsi="Symbol"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0CA128A"/>
    <w:multiLevelType w:val="multilevel"/>
    <w:tmpl w:val="FC9EBCC8"/>
    <w:lvl w:ilvl="0">
      <w:start w:val="2"/>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5CE63D89"/>
    <w:multiLevelType w:val="multilevel"/>
    <w:tmpl w:val="616E1F1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lang w:val="en-AU"/>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 w15:restartNumberingAfterBreak="0">
    <w:nsid w:val="5E070B05"/>
    <w:multiLevelType w:val="hybridMultilevel"/>
    <w:tmpl w:val="7926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42410"/>
    <w:multiLevelType w:val="hybridMultilevel"/>
    <w:tmpl w:val="8206C3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099799C"/>
    <w:multiLevelType w:val="multilevel"/>
    <w:tmpl w:val="616E1F1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lang w:val="en-AU"/>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 w15:restartNumberingAfterBreak="0">
    <w:nsid w:val="74E11C39"/>
    <w:multiLevelType w:val="hybridMultilevel"/>
    <w:tmpl w:val="8BF0F738"/>
    <w:lvl w:ilvl="0" w:tplc="0409000F">
      <w:start w:val="1"/>
      <w:numFmt w:val="decimal"/>
      <w:lvlText w:val="%1."/>
      <w:lvlJc w:val="left"/>
      <w:pPr>
        <w:ind w:left="6" w:hanging="360"/>
      </w:pPr>
    </w:lvl>
    <w:lvl w:ilvl="1" w:tplc="04090019">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num w:numId="1">
    <w:abstractNumId w:val="0"/>
  </w:num>
  <w:num w:numId="2">
    <w:abstractNumId w:val="6"/>
  </w:num>
  <w:num w:numId="3">
    <w:abstractNumId w:val="10"/>
  </w:num>
  <w:num w:numId="4">
    <w:abstractNumId w:val="4"/>
  </w:num>
  <w:num w:numId="5">
    <w:abstractNumId w:val="5"/>
  </w:num>
  <w:num w:numId="6">
    <w:abstractNumId w:val="3"/>
  </w:num>
  <w:num w:numId="7">
    <w:abstractNumId w:val="12"/>
  </w:num>
  <w:num w:numId="8">
    <w:abstractNumId w:val="11"/>
  </w:num>
  <w:num w:numId="9">
    <w:abstractNumId w:val="9"/>
  </w:num>
  <w:num w:numId="10">
    <w:abstractNumId w:val="7"/>
  </w:num>
  <w:num w:numId="11">
    <w:abstractNumId w:val="2"/>
  </w:num>
  <w:num w:numId="12">
    <w:abstractNumId w:val="8"/>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079"/>
    <w:rsid w:val="000003F4"/>
    <w:rsid w:val="000010D9"/>
    <w:rsid w:val="00002861"/>
    <w:rsid w:val="00002C87"/>
    <w:rsid w:val="00003850"/>
    <w:rsid w:val="00003937"/>
    <w:rsid w:val="00006493"/>
    <w:rsid w:val="00006654"/>
    <w:rsid w:val="00007801"/>
    <w:rsid w:val="00011EB4"/>
    <w:rsid w:val="00013806"/>
    <w:rsid w:val="000139EB"/>
    <w:rsid w:val="00014758"/>
    <w:rsid w:val="00015270"/>
    <w:rsid w:val="0001529D"/>
    <w:rsid w:val="00016CC0"/>
    <w:rsid w:val="00020DA1"/>
    <w:rsid w:val="0002340F"/>
    <w:rsid w:val="0002389B"/>
    <w:rsid w:val="00023B95"/>
    <w:rsid w:val="0002554B"/>
    <w:rsid w:val="000255A4"/>
    <w:rsid w:val="00026E0C"/>
    <w:rsid w:val="00027CFE"/>
    <w:rsid w:val="00035779"/>
    <w:rsid w:val="00036470"/>
    <w:rsid w:val="0004099D"/>
    <w:rsid w:val="00040F99"/>
    <w:rsid w:val="00042D7D"/>
    <w:rsid w:val="00043F53"/>
    <w:rsid w:val="000441F2"/>
    <w:rsid w:val="0004509E"/>
    <w:rsid w:val="000465BA"/>
    <w:rsid w:val="0004686C"/>
    <w:rsid w:val="00047728"/>
    <w:rsid w:val="0005007D"/>
    <w:rsid w:val="00051196"/>
    <w:rsid w:val="000511BF"/>
    <w:rsid w:val="0005266B"/>
    <w:rsid w:val="00052700"/>
    <w:rsid w:val="000527A5"/>
    <w:rsid w:val="0005381E"/>
    <w:rsid w:val="00053E9C"/>
    <w:rsid w:val="00054162"/>
    <w:rsid w:val="00054890"/>
    <w:rsid w:val="00056A88"/>
    <w:rsid w:val="000570FE"/>
    <w:rsid w:val="000576EC"/>
    <w:rsid w:val="00060B62"/>
    <w:rsid w:val="00061329"/>
    <w:rsid w:val="00061C71"/>
    <w:rsid w:val="00062D4D"/>
    <w:rsid w:val="000631B3"/>
    <w:rsid w:val="000633FF"/>
    <w:rsid w:val="00063AA2"/>
    <w:rsid w:val="00063E6F"/>
    <w:rsid w:val="00063EA7"/>
    <w:rsid w:val="0006447E"/>
    <w:rsid w:val="000645F8"/>
    <w:rsid w:val="00065CC0"/>
    <w:rsid w:val="00065E38"/>
    <w:rsid w:val="00066625"/>
    <w:rsid w:val="0006680D"/>
    <w:rsid w:val="0006681D"/>
    <w:rsid w:val="0007119F"/>
    <w:rsid w:val="000732F0"/>
    <w:rsid w:val="000737C1"/>
    <w:rsid w:val="0007467C"/>
    <w:rsid w:val="00075087"/>
    <w:rsid w:val="000754A0"/>
    <w:rsid w:val="000754B8"/>
    <w:rsid w:val="000756C7"/>
    <w:rsid w:val="00076989"/>
    <w:rsid w:val="00076D0D"/>
    <w:rsid w:val="000815F5"/>
    <w:rsid w:val="00081D4F"/>
    <w:rsid w:val="000835E9"/>
    <w:rsid w:val="00083BC7"/>
    <w:rsid w:val="00083F4E"/>
    <w:rsid w:val="00084C6A"/>
    <w:rsid w:val="00084D0C"/>
    <w:rsid w:val="000858BD"/>
    <w:rsid w:val="00086AD9"/>
    <w:rsid w:val="00086CD2"/>
    <w:rsid w:val="0008737B"/>
    <w:rsid w:val="000878D4"/>
    <w:rsid w:val="0008795D"/>
    <w:rsid w:val="00090FBA"/>
    <w:rsid w:val="000914F2"/>
    <w:rsid w:val="00093F8E"/>
    <w:rsid w:val="0009422B"/>
    <w:rsid w:val="00094FDA"/>
    <w:rsid w:val="0009763A"/>
    <w:rsid w:val="00097736"/>
    <w:rsid w:val="00097872"/>
    <w:rsid w:val="000979E0"/>
    <w:rsid w:val="00097A65"/>
    <w:rsid w:val="000A0437"/>
    <w:rsid w:val="000A0A7D"/>
    <w:rsid w:val="000A0AC7"/>
    <w:rsid w:val="000A0ACC"/>
    <w:rsid w:val="000A2C0A"/>
    <w:rsid w:val="000A5931"/>
    <w:rsid w:val="000A63A2"/>
    <w:rsid w:val="000A698F"/>
    <w:rsid w:val="000A7058"/>
    <w:rsid w:val="000B1A2B"/>
    <w:rsid w:val="000B2EC2"/>
    <w:rsid w:val="000B3FED"/>
    <w:rsid w:val="000B4129"/>
    <w:rsid w:val="000B414F"/>
    <w:rsid w:val="000B47D7"/>
    <w:rsid w:val="000B494E"/>
    <w:rsid w:val="000B4E5B"/>
    <w:rsid w:val="000B4E65"/>
    <w:rsid w:val="000B509A"/>
    <w:rsid w:val="000B512E"/>
    <w:rsid w:val="000B5CA1"/>
    <w:rsid w:val="000B5FC5"/>
    <w:rsid w:val="000B6C1D"/>
    <w:rsid w:val="000C0C22"/>
    <w:rsid w:val="000C1957"/>
    <w:rsid w:val="000C23DE"/>
    <w:rsid w:val="000C2D4F"/>
    <w:rsid w:val="000C2DB1"/>
    <w:rsid w:val="000C386B"/>
    <w:rsid w:val="000C484C"/>
    <w:rsid w:val="000C49ED"/>
    <w:rsid w:val="000C795E"/>
    <w:rsid w:val="000D1024"/>
    <w:rsid w:val="000D1D8C"/>
    <w:rsid w:val="000D1E5E"/>
    <w:rsid w:val="000D21BA"/>
    <w:rsid w:val="000D2FF8"/>
    <w:rsid w:val="000D341A"/>
    <w:rsid w:val="000D3A09"/>
    <w:rsid w:val="000D3F4D"/>
    <w:rsid w:val="000D3F93"/>
    <w:rsid w:val="000D65C4"/>
    <w:rsid w:val="000D6DFE"/>
    <w:rsid w:val="000D7609"/>
    <w:rsid w:val="000D7D5B"/>
    <w:rsid w:val="000E0296"/>
    <w:rsid w:val="000E0BBB"/>
    <w:rsid w:val="000E0C81"/>
    <w:rsid w:val="000E0CF4"/>
    <w:rsid w:val="000E11E9"/>
    <w:rsid w:val="000E2731"/>
    <w:rsid w:val="000E3395"/>
    <w:rsid w:val="000E46F3"/>
    <w:rsid w:val="000E565C"/>
    <w:rsid w:val="000E6F2C"/>
    <w:rsid w:val="000E7EE3"/>
    <w:rsid w:val="000F2A24"/>
    <w:rsid w:val="000F349A"/>
    <w:rsid w:val="000F4A62"/>
    <w:rsid w:val="000F580C"/>
    <w:rsid w:val="000F5F2D"/>
    <w:rsid w:val="000F5FEC"/>
    <w:rsid w:val="000F7CB5"/>
    <w:rsid w:val="000F7CB7"/>
    <w:rsid w:val="00101A97"/>
    <w:rsid w:val="00101EE8"/>
    <w:rsid w:val="00104978"/>
    <w:rsid w:val="00105500"/>
    <w:rsid w:val="00106CAE"/>
    <w:rsid w:val="00107C77"/>
    <w:rsid w:val="00111BF8"/>
    <w:rsid w:val="00112C09"/>
    <w:rsid w:val="00113617"/>
    <w:rsid w:val="001146D2"/>
    <w:rsid w:val="00115F50"/>
    <w:rsid w:val="00117342"/>
    <w:rsid w:val="001174BD"/>
    <w:rsid w:val="001210E6"/>
    <w:rsid w:val="00121E51"/>
    <w:rsid w:val="001225FD"/>
    <w:rsid w:val="00123BF7"/>
    <w:rsid w:val="001244B7"/>
    <w:rsid w:val="001261BD"/>
    <w:rsid w:val="001276C2"/>
    <w:rsid w:val="00127E9C"/>
    <w:rsid w:val="001315DC"/>
    <w:rsid w:val="001318CB"/>
    <w:rsid w:val="00132FD0"/>
    <w:rsid w:val="00134C6E"/>
    <w:rsid w:val="00135350"/>
    <w:rsid w:val="001359C8"/>
    <w:rsid w:val="001359E0"/>
    <w:rsid w:val="00136542"/>
    <w:rsid w:val="00137106"/>
    <w:rsid w:val="0013721D"/>
    <w:rsid w:val="0013744A"/>
    <w:rsid w:val="00137F28"/>
    <w:rsid w:val="001401BF"/>
    <w:rsid w:val="0014061E"/>
    <w:rsid w:val="0014509E"/>
    <w:rsid w:val="0014580B"/>
    <w:rsid w:val="00145A51"/>
    <w:rsid w:val="001477F0"/>
    <w:rsid w:val="00147E12"/>
    <w:rsid w:val="001505E5"/>
    <w:rsid w:val="0015120B"/>
    <w:rsid w:val="0015196B"/>
    <w:rsid w:val="001559CA"/>
    <w:rsid w:val="00155A16"/>
    <w:rsid w:val="00155CF9"/>
    <w:rsid w:val="0015643F"/>
    <w:rsid w:val="00157191"/>
    <w:rsid w:val="00157DE7"/>
    <w:rsid w:val="001663C6"/>
    <w:rsid w:val="00167120"/>
    <w:rsid w:val="001675CD"/>
    <w:rsid w:val="001700A4"/>
    <w:rsid w:val="00170DEC"/>
    <w:rsid w:val="00171CBC"/>
    <w:rsid w:val="00172E6F"/>
    <w:rsid w:val="001731CD"/>
    <w:rsid w:val="00173C85"/>
    <w:rsid w:val="00175659"/>
    <w:rsid w:val="0017691E"/>
    <w:rsid w:val="00177400"/>
    <w:rsid w:val="00183AA0"/>
    <w:rsid w:val="0018433A"/>
    <w:rsid w:val="00184465"/>
    <w:rsid w:val="00184B9A"/>
    <w:rsid w:val="00184FED"/>
    <w:rsid w:val="00185164"/>
    <w:rsid w:val="00185E40"/>
    <w:rsid w:val="001860DB"/>
    <w:rsid w:val="0019063D"/>
    <w:rsid w:val="0019068E"/>
    <w:rsid w:val="00191611"/>
    <w:rsid w:val="001919CC"/>
    <w:rsid w:val="00191B44"/>
    <w:rsid w:val="0019302B"/>
    <w:rsid w:val="00193D86"/>
    <w:rsid w:val="0019482C"/>
    <w:rsid w:val="00195037"/>
    <w:rsid w:val="00195CA0"/>
    <w:rsid w:val="001965B4"/>
    <w:rsid w:val="00196A92"/>
    <w:rsid w:val="00197EE0"/>
    <w:rsid w:val="001A0901"/>
    <w:rsid w:val="001A0ECD"/>
    <w:rsid w:val="001A43A5"/>
    <w:rsid w:val="001A5D92"/>
    <w:rsid w:val="001A70F0"/>
    <w:rsid w:val="001A756A"/>
    <w:rsid w:val="001B18E7"/>
    <w:rsid w:val="001B19A1"/>
    <w:rsid w:val="001B20C6"/>
    <w:rsid w:val="001B3ED4"/>
    <w:rsid w:val="001B434D"/>
    <w:rsid w:val="001B527E"/>
    <w:rsid w:val="001B552D"/>
    <w:rsid w:val="001B62EB"/>
    <w:rsid w:val="001B6E07"/>
    <w:rsid w:val="001B7594"/>
    <w:rsid w:val="001C091B"/>
    <w:rsid w:val="001C09C6"/>
    <w:rsid w:val="001C2BD2"/>
    <w:rsid w:val="001C3427"/>
    <w:rsid w:val="001C5934"/>
    <w:rsid w:val="001C5AFE"/>
    <w:rsid w:val="001C6A1C"/>
    <w:rsid w:val="001C7B69"/>
    <w:rsid w:val="001D0BF2"/>
    <w:rsid w:val="001D1499"/>
    <w:rsid w:val="001D190C"/>
    <w:rsid w:val="001D2037"/>
    <w:rsid w:val="001D2D3B"/>
    <w:rsid w:val="001D3D81"/>
    <w:rsid w:val="001D4086"/>
    <w:rsid w:val="001D47E4"/>
    <w:rsid w:val="001D49E5"/>
    <w:rsid w:val="001D5B2A"/>
    <w:rsid w:val="001D743A"/>
    <w:rsid w:val="001E0755"/>
    <w:rsid w:val="001E10C9"/>
    <w:rsid w:val="001E321D"/>
    <w:rsid w:val="001E44FA"/>
    <w:rsid w:val="001E5794"/>
    <w:rsid w:val="001E62CD"/>
    <w:rsid w:val="001E6CBD"/>
    <w:rsid w:val="001E7A80"/>
    <w:rsid w:val="001E7C1D"/>
    <w:rsid w:val="001E7D7D"/>
    <w:rsid w:val="001E7DDC"/>
    <w:rsid w:val="001F1FF6"/>
    <w:rsid w:val="001F4AF0"/>
    <w:rsid w:val="001F5771"/>
    <w:rsid w:val="001F7421"/>
    <w:rsid w:val="00201269"/>
    <w:rsid w:val="00201B07"/>
    <w:rsid w:val="00201E2B"/>
    <w:rsid w:val="00202B40"/>
    <w:rsid w:val="00203CCB"/>
    <w:rsid w:val="002047F4"/>
    <w:rsid w:val="00206121"/>
    <w:rsid w:val="00206323"/>
    <w:rsid w:val="00207503"/>
    <w:rsid w:val="00207A56"/>
    <w:rsid w:val="00207FC5"/>
    <w:rsid w:val="00210354"/>
    <w:rsid w:val="00211359"/>
    <w:rsid w:val="00211808"/>
    <w:rsid w:val="00212013"/>
    <w:rsid w:val="002123B2"/>
    <w:rsid w:val="00214F18"/>
    <w:rsid w:val="00215492"/>
    <w:rsid w:val="002160F1"/>
    <w:rsid w:val="002201EA"/>
    <w:rsid w:val="00220468"/>
    <w:rsid w:val="00222419"/>
    <w:rsid w:val="00223295"/>
    <w:rsid w:val="00223602"/>
    <w:rsid w:val="00224579"/>
    <w:rsid w:val="00224B78"/>
    <w:rsid w:val="00226A18"/>
    <w:rsid w:val="00233EC2"/>
    <w:rsid w:val="0023518B"/>
    <w:rsid w:val="002353C8"/>
    <w:rsid w:val="00240C35"/>
    <w:rsid w:val="002410D4"/>
    <w:rsid w:val="00242824"/>
    <w:rsid w:val="002445E1"/>
    <w:rsid w:val="00244BB0"/>
    <w:rsid w:val="00245932"/>
    <w:rsid w:val="00250694"/>
    <w:rsid w:val="00252C43"/>
    <w:rsid w:val="00253559"/>
    <w:rsid w:val="00255637"/>
    <w:rsid w:val="0025574C"/>
    <w:rsid w:val="002569D0"/>
    <w:rsid w:val="00257A02"/>
    <w:rsid w:val="00260446"/>
    <w:rsid w:val="00264DD2"/>
    <w:rsid w:val="002659AB"/>
    <w:rsid w:val="00267CA6"/>
    <w:rsid w:val="00267F67"/>
    <w:rsid w:val="002702B5"/>
    <w:rsid w:val="0027047E"/>
    <w:rsid w:val="00270D02"/>
    <w:rsid w:val="00270E70"/>
    <w:rsid w:val="00272E12"/>
    <w:rsid w:val="00272F4D"/>
    <w:rsid w:val="0027361F"/>
    <w:rsid w:val="0027591D"/>
    <w:rsid w:val="00275CE0"/>
    <w:rsid w:val="00275DA3"/>
    <w:rsid w:val="00276790"/>
    <w:rsid w:val="00277A32"/>
    <w:rsid w:val="00277D8E"/>
    <w:rsid w:val="00277E9E"/>
    <w:rsid w:val="00280CFE"/>
    <w:rsid w:val="00280DB6"/>
    <w:rsid w:val="00280F73"/>
    <w:rsid w:val="00281CBF"/>
    <w:rsid w:val="00281D91"/>
    <w:rsid w:val="00283C64"/>
    <w:rsid w:val="00284273"/>
    <w:rsid w:val="00284745"/>
    <w:rsid w:val="00286373"/>
    <w:rsid w:val="00287B6F"/>
    <w:rsid w:val="00292359"/>
    <w:rsid w:val="00292E1C"/>
    <w:rsid w:val="002932B9"/>
    <w:rsid w:val="002934AC"/>
    <w:rsid w:val="00294C86"/>
    <w:rsid w:val="00296252"/>
    <w:rsid w:val="002967A7"/>
    <w:rsid w:val="00297DCD"/>
    <w:rsid w:val="002A09CA"/>
    <w:rsid w:val="002A0B72"/>
    <w:rsid w:val="002A185E"/>
    <w:rsid w:val="002A4550"/>
    <w:rsid w:val="002B0864"/>
    <w:rsid w:val="002B187E"/>
    <w:rsid w:val="002B1F9C"/>
    <w:rsid w:val="002B2C02"/>
    <w:rsid w:val="002B3811"/>
    <w:rsid w:val="002B38B3"/>
    <w:rsid w:val="002B4050"/>
    <w:rsid w:val="002B4495"/>
    <w:rsid w:val="002B4C4A"/>
    <w:rsid w:val="002B665C"/>
    <w:rsid w:val="002B6A95"/>
    <w:rsid w:val="002B74DC"/>
    <w:rsid w:val="002C0212"/>
    <w:rsid w:val="002C34F4"/>
    <w:rsid w:val="002C44DB"/>
    <w:rsid w:val="002C5D4B"/>
    <w:rsid w:val="002C6466"/>
    <w:rsid w:val="002C7C91"/>
    <w:rsid w:val="002D05CE"/>
    <w:rsid w:val="002D1818"/>
    <w:rsid w:val="002D2054"/>
    <w:rsid w:val="002D24AA"/>
    <w:rsid w:val="002D2925"/>
    <w:rsid w:val="002D2E96"/>
    <w:rsid w:val="002D3167"/>
    <w:rsid w:val="002D4C49"/>
    <w:rsid w:val="002D4F39"/>
    <w:rsid w:val="002D50E9"/>
    <w:rsid w:val="002D5327"/>
    <w:rsid w:val="002D5A63"/>
    <w:rsid w:val="002D6477"/>
    <w:rsid w:val="002E005F"/>
    <w:rsid w:val="002E1B38"/>
    <w:rsid w:val="002E1F5D"/>
    <w:rsid w:val="002E3A38"/>
    <w:rsid w:val="002E445C"/>
    <w:rsid w:val="002E6008"/>
    <w:rsid w:val="002F0FE3"/>
    <w:rsid w:val="002F3DEC"/>
    <w:rsid w:val="002F3DF8"/>
    <w:rsid w:val="002F5686"/>
    <w:rsid w:val="002F5FFA"/>
    <w:rsid w:val="002F6E29"/>
    <w:rsid w:val="002F7AA0"/>
    <w:rsid w:val="00300BB9"/>
    <w:rsid w:val="00301DA6"/>
    <w:rsid w:val="00301F9C"/>
    <w:rsid w:val="0030537E"/>
    <w:rsid w:val="00306E51"/>
    <w:rsid w:val="00311760"/>
    <w:rsid w:val="00311AD4"/>
    <w:rsid w:val="00311BF5"/>
    <w:rsid w:val="0031344A"/>
    <w:rsid w:val="00313BFD"/>
    <w:rsid w:val="0031454F"/>
    <w:rsid w:val="00314F8B"/>
    <w:rsid w:val="0031588A"/>
    <w:rsid w:val="003167CF"/>
    <w:rsid w:val="0031773F"/>
    <w:rsid w:val="00317D4B"/>
    <w:rsid w:val="00321525"/>
    <w:rsid w:val="00324AA2"/>
    <w:rsid w:val="00325D6F"/>
    <w:rsid w:val="00326534"/>
    <w:rsid w:val="00326F3D"/>
    <w:rsid w:val="00327364"/>
    <w:rsid w:val="00330637"/>
    <w:rsid w:val="003309B4"/>
    <w:rsid w:val="00332B2C"/>
    <w:rsid w:val="00332CC4"/>
    <w:rsid w:val="003330DF"/>
    <w:rsid w:val="00333C22"/>
    <w:rsid w:val="00335583"/>
    <w:rsid w:val="003358D9"/>
    <w:rsid w:val="003361BD"/>
    <w:rsid w:val="00336F95"/>
    <w:rsid w:val="003407DF"/>
    <w:rsid w:val="00341D49"/>
    <w:rsid w:val="003421C9"/>
    <w:rsid w:val="0034300D"/>
    <w:rsid w:val="00343629"/>
    <w:rsid w:val="00344647"/>
    <w:rsid w:val="00344712"/>
    <w:rsid w:val="00345C3F"/>
    <w:rsid w:val="00350267"/>
    <w:rsid w:val="00350881"/>
    <w:rsid w:val="00351598"/>
    <w:rsid w:val="00352A57"/>
    <w:rsid w:val="00352CF3"/>
    <w:rsid w:val="00353787"/>
    <w:rsid w:val="00356D17"/>
    <w:rsid w:val="00356D52"/>
    <w:rsid w:val="0036065A"/>
    <w:rsid w:val="0036104E"/>
    <w:rsid w:val="00361072"/>
    <w:rsid w:val="00361734"/>
    <w:rsid w:val="00362048"/>
    <w:rsid w:val="00362A23"/>
    <w:rsid w:val="00362B7F"/>
    <w:rsid w:val="0036325B"/>
    <w:rsid w:val="00363A0C"/>
    <w:rsid w:val="00363BE5"/>
    <w:rsid w:val="00364CD3"/>
    <w:rsid w:val="00365E3E"/>
    <w:rsid w:val="003669B7"/>
    <w:rsid w:val="00367EEA"/>
    <w:rsid w:val="003702D1"/>
    <w:rsid w:val="00370611"/>
    <w:rsid w:val="00370C29"/>
    <w:rsid w:val="00373602"/>
    <w:rsid w:val="00374AA5"/>
    <w:rsid w:val="00376695"/>
    <w:rsid w:val="00376994"/>
    <w:rsid w:val="00376CD4"/>
    <w:rsid w:val="0038173B"/>
    <w:rsid w:val="003837F7"/>
    <w:rsid w:val="00384BB2"/>
    <w:rsid w:val="00387CD2"/>
    <w:rsid w:val="00390270"/>
    <w:rsid w:val="00390568"/>
    <w:rsid w:val="0039153E"/>
    <w:rsid w:val="003921A9"/>
    <w:rsid w:val="00392689"/>
    <w:rsid w:val="00393502"/>
    <w:rsid w:val="00393848"/>
    <w:rsid w:val="00394669"/>
    <w:rsid w:val="0039666C"/>
    <w:rsid w:val="00396AB9"/>
    <w:rsid w:val="003A15DA"/>
    <w:rsid w:val="003A1823"/>
    <w:rsid w:val="003A21CB"/>
    <w:rsid w:val="003A24CF"/>
    <w:rsid w:val="003A27FE"/>
    <w:rsid w:val="003A3BD9"/>
    <w:rsid w:val="003A472C"/>
    <w:rsid w:val="003A482A"/>
    <w:rsid w:val="003A501D"/>
    <w:rsid w:val="003A51E2"/>
    <w:rsid w:val="003A54AB"/>
    <w:rsid w:val="003A565E"/>
    <w:rsid w:val="003A582C"/>
    <w:rsid w:val="003A5B06"/>
    <w:rsid w:val="003A5DCF"/>
    <w:rsid w:val="003A61EA"/>
    <w:rsid w:val="003A75D4"/>
    <w:rsid w:val="003B3CD0"/>
    <w:rsid w:val="003B48B8"/>
    <w:rsid w:val="003B576D"/>
    <w:rsid w:val="003B65C6"/>
    <w:rsid w:val="003B6BF3"/>
    <w:rsid w:val="003B71B9"/>
    <w:rsid w:val="003B77F9"/>
    <w:rsid w:val="003B7AC2"/>
    <w:rsid w:val="003C2688"/>
    <w:rsid w:val="003C287A"/>
    <w:rsid w:val="003C4249"/>
    <w:rsid w:val="003C487B"/>
    <w:rsid w:val="003C50A4"/>
    <w:rsid w:val="003C5EA7"/>
    <w:rsid w:val="003C69A6"/>
    <w:rsid w:val="003C6F63"/>
    <w:rsid w:val="003C72A5"/>
    <w:rsid w:val="003C7542"/>
    <w:rsid w:val="003D3809"/>
    <w:rsid w:val="003D46E2"/>
    <w:rsid w:val="003D5D76"/>
    <w:rsid w:val="003D6DAB"/>
    <w:rsid w:val="003E111B"/>
    <w:rsid w:val="003E1912"/>
    <w:rsid w:val="003E29B6"/>
    <w:rsid w:val="003E4422"/>
    <w:rsid w:val="003E4C55"/>
    <w:rsid w:val="003E4F24"/>
    <w:rsid w:val="003E6349"/>
    <w:rsid w:val="003F17BD"/>
    <w:rsid w:val="003F1997"/>
    <w:rsid w:val="003F1A6E"/>
    <w:rsid w:val="003F252B"/>
    <w:rsid w:val="003F2BAA"/>
    <w:rsid w:val="003F347E"/>
    <w:rsid w:val="003F41FE"/>
    <w:rsid w:val="003F4255"/>
    <w:rsid w:val="003F6A7C"/>
    <w:rsid w:val="003F737C"/>
    <w:rsid w:val="003F7A0C"/>
    <w:rsid w:val="00400EA0"/>
    <w:rsid w:val="004010F7"/>
    <w:rsid w:val="00401172"/>
    <w:rsid w:val="004012AD"/>
    <w:rsid w:val="004013A7"/>
    <w:rsid w:val="00401B5F"/>
    <w:rsid w:val="00402491"/>
    <w:rsid w:val="00402C7C"/>
    <w:rsid w:val="00403151"/>
    <w:rsid w:val="00403256"/>
    <w:rsid w:val="0040326C"/>
    <w:rsid w:val="0040610F"/>
    <w:rsid w:val="0040734A"/>
    <w:rsid w:val="00407B00"/>
    <w:rsid w:val="00411266"/>
    <w:rsid w:val="004135F1"/>
    <w:rsid w:val="00413C08"/>
    <w:rsid w:val="00413F2E"/>
    <w:rsid w:val="004142DA"/>
    <w:rsid w:val="00414BDA"/>
    <w:rsid w:val="00414F85"/>
    <w:rsid w:val="00416381"/>
    <w:rsid w:val="00416518"/>
    <w:rsid w:val="00416BD2"/>
    <w:rsid w:val="00417139"/>
    <w:rsid w:val="004207E4"/>
    <w:rsid w:val="004208A8"/>
    <w:rsid w:val="00422195"/>
    <w:rsid w:val="00423912"/>
    <w:rsid w:val="004242A8"/>
    <w:rsid w:val="00424655"/>
    <w:rsid w:val="0042561E"/>
    <w:rsid w:val="0042783F"/>
    <w:rsid w:val="00427C1F"/>
    <w:rsid w:val="00430304"/>
    <w:rsid w:val="00432109"/>
    <w:rsid w:val="00432716"/>
    <w:rsid w:val="00432ECF"/>
    <w:rsid w:val="00436372"/>
    <w:rsid w:val="0043640A"/>
    <w:rsid w:val="0043669F"/>
    <w:rsid w:val="00437B48"/>
    <w:rsid w:val="00440694"/>
    <w:rsid w:val="004406C7"/>
    <w:rsid w:val="00440931"/>
    <w:rsid w:val="00441271"/>
    <w:rsid w:val="00443CB6"/>
    <w:rsid w:val="00444775"/>
    <w:rsid w:val="00445101"/>
    <w:rsid w:val="00445861"/>
    <w:rsid w:val="00446099"/>
    <w:rsid w:val="00446B4E"/>
    <w:rsid w:val="0045102E"/>
    <w:rsid w:val="004514E9"/>
    <w:rsid w:val="0045287A"/>
    <w:rsid w:val="00453603"/>
    <w:rsid w:val="00454570"/>
    <w:rsid w:val="00455312"/>
    <w:rsid w:val="00455D5B"/>
    <w:rsid w:val="00455FF5"/>
    <w:rsid w:val="004600D8"/>
    <w:rsid w:val="004617B9"/>
    <w:rsid w:val="00461E47"/>
    <w:rsid w:val="0046306C"/>
    <w:rsid w:val="0046342E"/>
    <w:rsid w:val="004636AF"/>
    <w:rsid w:val="0046464B"/>
    <w:rsid w:val="00464A73"/>
    <w:rsid w:val="00464C2D"/>
    <w:rsid w:val="004659CC"/>
    <w:rsid w:val="0046605A"/>
    <w:rsid w:val="00466408"/>
    <w:rsid w:val="00466F67"/>
    <w:rsid w:val="00467254"/>
    <w:rsid w:val="00467ADB"/>
    <w:rsid w:val="004722D4"/>
    <w:rsid w:val="00475B66"/>
    <w:rsid w:val="00476400"/>
    <w:rsid w:val="00481946"/>
    <w:rsid w:val="004822C2"/>
    <w:rsid w:val="00482EC9"/>
    <w:rsid w:val="00483998"/>
    <w:rsid w:val="004841D9"/>
    <w:rsid w:val="0048447F"/>
    <w:rsid w:val="0048715E"/>
    <w:rsid w:val="0048779B"/>
    <w:rsid w:val="00487FEC"/>
    <w:rsid w:val="00491AA1"/>
    <w:rsid w:val="00492739"/>
    <w:rsid w:val="0049295A"/>
    <w:rsid w:val="00494C47"/>
    <w:rsid w:val="004A0459"/>
    <w:rsid w:val="004A09B6"/>
    <w:rsid w:val="004A0B95"/>
    <w:rsid w:val="004A0F8B"/>
    <w:rsid w:val="004A2A0C"/>
    <w:rsid w:val="004A3618"/>
    <w:rsid w:val="004A3E83"/>
    <w:rsid w:val="004A4688"/>
    <w:rsid w:val="004A57A9"/>
    <w:rsid w:val="004A618F"/>
    <w:rsid w:val="004A78AD"/>
    <w:rsid w:val="004A78CB"/>
    <w:rsid w:val="004A7B98"/>
    <w:rsid w:val="004B0D9B"/>
    <w:rsid w:val="004B1233"/>
    <w:rsid w:val="004B25D9"/>
    <w:rsid w:val="004B5C09"/>
    <w:rsid w:val="004B5EA9"/>
    <w:rsid w:val="004B7354"/>
    <w:rsid w:val="004B7385"/>
    <w:rsid w:val="004B7629"/>
    <w:rsid w:val="004B7D88"/>
    <w:rsid w:val="004B7FEC"/>
    <w:rsid w:val="004C06A5"/>
    <w:rsid w:val="004C0D03"/>
    <w:rsid w:val="004C25BE"/>
    <w:rsid w:val="004C28F6"/>
    <w:rsid w:val="004C3106"/>
    <w:rsid w:val="004C585E"/>
    <w:rsid w:val="004D0CDC"/>
    <w:rsid w:val="004D130B"/>
    <w:rsid w:val="004D21FE"/>
    <w:rsid w:val="004D28E5"/>
    <w:rsid w:val="004D333A"/>
    <w:rsid w:val="004D5970"/>
    <w:rsid w:val="004D613C"/>
    <w:rsid w:val="004D6A02"/>
    <w:rsid w:val="004D6ADB"/>
    <w:rsid w:val="004E2F4E"/>
    <w:rsid w:val="004E30FB"/>
    <w:rsid w:val="004E385D"/>
    <w:rsid w:val="004E5411"/>
    <w:rsid w:val="004E5704"/>
    <w:rsid w:val="004E65F0"/>
    <w:rsid w:val="004E7794"/>
    <w:rsid w:val="004F0726"/>
    <w:rsid w:val="004F23D0"/>
    <w:rsid w:val="004F2B6F"/>
    <w:rsid w:val="004F377B"/>
    <w:rsid w:val="004F41D4"/>
    <w:rsid w:val="004F4AE8"/>
    <w:rsid w:val="004F5967"/>
    <w:rsid w:val="004F62D2"/>
    <w:rsid w:val="00501CD8"/>
    <w:rsid w:val="00506DF6"/>
    <w:rsid w:val="005108E2"/>
    <w:rsid w:val="00510DD6"/>
    <w:rsid w:val="005123FD"/>
    <w:rsid w:val="0051325C"/>
    <w:rsid w:val="0051337D"/>
    <w:rsid w:val="00513766"/>
    <w:rsid w:val="00513839"/>
    <w:rsid w:val="00513F2A"/>
    <w:rsid w:val="005141FE"/>
    <w:rsid w:val="005169F5"/>
    <w:rsid w:val="00521E84"/>
    <w:rsid w:val="00521EF4"/>
    <w:rsid w:val="00523480"/>
    <w:rsid w:val="00524D79"/>
    <w:rsid w:val="005253CD"/>
    <w:rsid w:val="00525F6B"/>
    <w:rsid w:val="005276A6"/>
    <w:rsid w:val="005312EA"/>
    <w:rsid w:val="00531713"/>
    <w:rsid w:val="00531C15"/>
    <w:rsid w:val="00531DC3"/>
    <w:rsid w:val="005320BF"/>
    <w:rsid w:val="00532CE6"/>
    <w:rsid w:val="00533364"/>
    <w:rsid w:val="00533985"/>
    <w:rsid w:val="0053455F"/>
    <w:rsid w:val="00534F39"/>
    <w:rsid w:val="00537441"/>
    <w:rsid w:val="0054010E"/>
    <w:rsid w:val="00540772"/>
    <w:rsid w:val="005423A6"/>
    <w:rsid w:val="00543095"/>
    <w:rsid w:val="005439A8"/>
    <w:rsid w:val="00544113"/>
    <w:rsid w:val="00544181"/>
    <w:rsid w:val="005445A8"/>
    <w:rsid w:val="00544EE2"/>
    <w:rsid w:val="005454A3"/>
    <w:rsid w:val="00545626"/>
    <w:rsid w:val="00546F65"/>
    <w:rsid w:val="00550884"/>
    <w:rsid w:val="005512C7"/>
    <w:rsid w:val="005515CC"/>
    <w:rsid w:val="00551AA9"/>
    <w:rsid w:val="00552240"/>
    <w:rsid w:val="00553E4A"/>
    <w:rsid w:val="005561C7"/>
    <w:rsid w:val="00557418"/>
    <w:rsid w:val="0056189A"/>
    <w:rsid w:val="00561AD2"/>
    <w:rsid w:val="00562B6B"/>
    <w:rsid w:val="00563F2D"/>
    <w:rsid w:val="00563FDA"/>
    <w:rsid w:val="0056535C"/>
    <w:rsid w:val="00565497"/>
    <w:rsid w:val="005655B5"/>
    <w:rsid w:val="00565E2D"/>
    <w:rsid w:val="0056664B"/>
    <w:rsid w:val="005702ED"/>
    <w:rsid w:val="00570DE0"/>
    <w:rsid w:val="00575039"/>
    <w:rsid w:val="00575B3C"/>
    <w:rsid w:val="00577A3C"/>
    <w:rsid w:val="005802B6"/>
    <w:rsid w:val="005806DC"/>
    <w:rsid w:val="00581122"/>
    <w:rsid w:val="005841C2"/>
    <w:rsid w:val="005844E6"/>
    <w:rsid w:val="005851C6"/>
    <w:rsid w:val="00586263"/>
    <w:rsid w:val="005905E6"/>
    <w:rsid w:val="00591334"/>
    <w:rsid w:val="00591E66"/>
    <w:rsid w:val="005935DF"/>
    <w:rsid w:val="00593806"/>
    <w:rsid w:val="00594362"/>
    <w:rsid w:val="00594933"/>
    <w:rsid w:val="005952F1"/>
    <w:rsid w:val="00595B90"/>
    <w:rsid w:val="005969D3"/>
    <w:rsid w:val="005A010E"/>
    <w:rsid w:val="005A03D1"/>
    <w:rsid w:val="005A058D"/>
    <w:rsid w:val="005A1B74"/>
    <w:rsid w:val="005A2765"/>
    <w:rsid w:val="005A2A70"/>
    <w:rsid w:val="005A327F"/>
    <w:rsid w:val="005A379D"/>
    <w:rsid w:val="005A62D4"/>
    <w:rsid w:val="005A62ED"/>
    <w:rsid w:val="005A7604"/>
    <w:rsid w:val="005A7852"/>
    <w:rsid w:val="005B03E5"/>
    <w:rsid w:val="005B054D"/>
    <w:rsid w:val="005B063E"/>
    <w:rsid w:val="005B085B"/>
    <w:rsid w:val="005B384A"/>
    <w:rsid w:val="005B4517"/>
    <w:rsid w:val="005B4985"/>
    <w:rsid w:val="005B63CB"/>
    <w:rsid w:val="005B662D"/>
    <w:rsid w:val="005B6BF0"/>
    <w:rsid w:val="005C05F3"/>
    <w:rsid w:val="005C0ABD"/>
    <w:rsid w:val="005C13EC"/>
    <w:rsid w:val="005C59E7"/>
    <w:rsid w:val="005C6A0C"/>
    <w:rsid w:val="005C7455"/>
    <w:rsid w:val="005C75F0"/>
    <w:rsid w:val="005D145E"/>
    <w:rsid w:val="005D186F"/>
    <w:rsid w:val="005D233B"/>
    <w:rsid w:val="005D591E"/>
    <w:rsid w:val="005D69DE"/>
    <w:rsid w:val="005D703C"/>
    <w:rsid w:val="005D723B"/>
    <w:rsid w:val="005E19F5"/>
    <w:rsid w:val="005E2F91"/>
    <w:rsid w:val="005E601F"/>
    <w:rsid w:val="005E7DC2"/>
    <w:rsid w:val="005F1606"/>
    <w:rsid w:val="005F1D9F"/>
    <w:rsid w:val="005F3D3A"/>
    <w:rsid w:val="005F3DB5"/>
    <w:rsid w:val="005F5577"/>
    <w:rsid w:val="005F672E"/>
    <w:rsid w:val="005F6B0C"/>
    <w:rsid w:val="005F7BA2"/>
    <w:rsid w:val="00600120"/>
    <w:rsid w:val="00601F3C"/>
    <w:rsid w:val="006020E7"/>
    <w:rsid w:val="00602B52"/>
    <w:rsid w:val="00603F94"/>
    <w:rsid w:val="00604A83"/>
    <w:rsid w:val="00604D04"/>
    <w:rsid w:val="00605594"/>
    <w:rsid w:val="0060645D"/>
    <w:rsid w:val="00607767"/>
    <w:rsid w:val="00610F27"/>
    <w:rsid w:val="00611E08"/>
    <w:rsid w:val="006125FF"/>
    <w:rsid w:val="00613CA3"/>
    <w:rsid w:val="00615EA2"/>
    <w:rsid w:val="00617AE2"/>
    <w:rsid w:val="00617C5D"/>
    <w:rsid w:val="00622297"/>
    <w:rsid w:val="006235C1"/>
    <w:rsid w:val="00623CA9"/>
    <w:rsid w:val="00624071"/>
    <w:rsid w:val="00625408"/>
    <w:rsid w:val="00626208"/>
    <w:rsid w:val="00626B2E"/>
    <w:rsid w:val="006305AF"/>
    <w:rsid w:val="00631144"/>
    <w:rsid w:val="0063122F"/>
    <w:rsid w:val="006315EE"/>
    <w:rsid w:val="006319CA"/>
    <w:rsid w:val="00632F84"/>
    <w:rsid w:val="006341E5"/>
    <w:rsid w:val="00634FDA"/>
    <w:rsid w:val="0063744A"/>
    <w:rsid w:val="006379E9"/>
    <w:rsid w:val="00637D98"/>
    <w:rsid w:val="00640309"/>
    <w:rsid w:val="006408E0"/>
    <w:rsid w:val="00640B49"/>
    <w:rsid w:val="00641288"/>
    <w:rsid w:val="006422CB"/>
    <w:rsid w:val="00642B63"/>
    <w:rsid w:val="0064317B"/>
    <w:rsid w:val="00643F9E"/>
    <w:rsid w:val="006444D9"/>
    <w:rsid w:val="0064523A"/>
    <w:rsid w:val="00645F45"/>
    <w:rsid w:val="0064791C"/>
    <w:rsid w:val="00647E4C"/>
    <w:rsid w:val="006532DE"/>
    <w:rsid w:val="00653C6C"/>
    <w:rsid w:val="00654208"/>
    <w:rsid w:val="0065435F"/>
    <w:rsid w:val="00657B09"/>
    <w:rsid w:val="00660430"/>
    <w:rsid w:val="00660E1E"/>
    <w:rsid w:val="0066110A"/>
    <w:rsid w:val="00661D26"/>
    <w:rsid w:val="00662303"/>
    <w:rsid w:val="006630C5"/>
    <w:rsid w:val="00663AAD"/>
    <w:rsid w:val="00663B9B"/>
    <w:rsid w:val="006655E1"/>
    <w:rsid w:val="006665BD"/>
    <w:rsid w:val="0066770D"/>
    <w:rsid w:val="00667717"/>
    <w:rsid w:val="00667FA3"/>
    <w:rsid w:val="00670743"/>
    <w:rsid w:val="006716B2"/>
    <w:rsid w:val="00671BC5"/>
    <w:rsid w:val="006725A4"/>
    <w:rsid w:val="006729AB"/>
    <w:rsid w:val="00674253"/>
    <w:rsid w:val="0067478C"/>
    <w:rsid w:val="0067585E"/>
    <w:rsid w:val="00677CD4"/>
    <w:rsid w:val="00681036"/>
    <w:rsid w:val="006828F0"/>
    <w:rsid w:val="00683D7A"/>
    <w:rsid w:val="006840B0"/>
    <w:rsid w:val="00684B54"/>
    <w:rsid w:val="00685326"/>
    <w:rsid w:val="00685A54"/>
    <w:rsid w:val="00686B7C"/>
    <w:rsid w:val="006904D8"/>
    <w:rsid w:val="00690C4D"/>
    <w:rsid w:val="0069166E"/>
    <w:rsid w:val="006920F6"/>
    <w:rsid w:val="00693407"/>
    <w:rsid w:val="00693E86"/>
    <w:rsid w:val="0069558C"/>
    <w:rsid w:val="00695931"/>
    <w:rsid w:val="00696932"/>
    <w:rsid w:val="00696E04"/>
    <w:rsid w:val="006A1507"/>
    <w:rsid w:val="006A4511"/>
    <w:rsid w:val="006A6321"/>
    <w:rsid w:val="006A6397"/>
    <w:rsid w:val="006B0001"/>
    <w:rsid w:val="006B0B6E"/>
    <w:rsid w:val="006B3357"/>
    <w:rsid w:val="006B397B"/>
    <w:rsid w:val="006B3D57"/>
    <w:rsid w:val="006B53EE"/>
    <w:rsid w:val="006B5497"/>
    <w:rsid w:val="006B70E8"/>
    <w:rsid w:val="006B7477"/>
    <w:rsid w:val="006C1478"/>
    <w:rsid w:val="006C36E3"/>
    <w:rsid w:val="006C49A0"/>
    <w:rsid w:val="006C55D1"/>
    <w:rsid w:val="006C5C68"/>
    <w:rsid w:val="006C638D"/>
    <w:rsid w:val="006C6938"/>
    <w:rsid w:val="006C7777"/>
    <w:rsid w:val="006D1038"/>
    <w:rsid w:val="006D2FA4"/>
    <w:rsid w:val="006D3137"/>
    <w:rsid w:val="006D3B3F"/>
    <w:rsid w:val="006D3F11"/>
    <w:rsid w:val="006D5BAD"/>
    <w:rsid w:val="006D6BFF"/>
    <w:rsid w:val="006D785D"/>
    <w:rsid w:val="006D7B4E"/>
    <w:rsid w:val="006E0902"/>
    <w:rsid w:val="006E09BB"/>
    <w:rsid w:val="006E1980"/>
    <w:rsid w:val="006E2A82"/>
    <w:rsid w:val="006E3DE9"/>
    <w:rsid w:val="006E41BD"/>
    <w:rsid w:val="006E4435"/>
    <w:rsid w:val="006E4FD3"/>
    <w:rsid w:val="006E502A"/>
    <w:rsid w:val="006E58A6"/>
    <w:rsid w:val="006E62E8"/>
    <w:rsid w:val="006E6880"/>
    <w:rsid w:val="006E76E6"/>
    <w:rsid w:val="006F0214"/>
    <w:rsid w:val="006F0B45"/>
    <w:rsid w:val="006F1BEE"/>
    <w:rsid w:val="006F359D"/>
    <w:rsid w:val="006F407D"/>
    <w:rsid w:val="006F4094"/>
    <w:rsid w:val="006F4097"/>
    <w:rsid w:val="006F4E42"/>
    <w:rsid w:val="006F5CED"/>
    <w:rsid w:val="006F62FF"/>
    <w:rsid w:val="006F78DE"/>
    <w:rsid w:val="00702E8D"/>
    <w:rsid w:val="00702F07"/>
    <w:rsid w:val="007038E2"/>
    <w:rsid w:val="0070410A"/>
    <w:rsid w:val="007045A5"/>
    <w:rsid w:val="00704951"/>
    <w:rsid w:val="00706340"/>
    <w:rsid w:val="00710992"/>
    <w:rsid w:val="00711FDE"/>
    <w:rsid w:val="00712F57"/>
    <w:rsid w:val="00712FB6"/>
    <w:rsid w:val="00713BF6"/>
    <w:rsid w:val="00713FAE"/>
    <w:rsid w:val="00714CB5"/>
    <w:rsid w:val="007153C5"/>
    <w:rsid w:val="00716B2C"/>
    <w:rsid w:val="0071740D"/>
    <w:rsid w:val="00722FC3"/>
    <w:rsid w:val="00723332"/>
    <w:rsid w:val="007239CB"/>
    <w:rsid w:val="007249BF"/>
    <w:rsid w:val="00724C59"/>
    <w:rsid w:val="00725EE1"/>
    <w:rsid w:val="007267AA"/>
    <w:rsid w:val="007277CE"/>
    <w:rsid w:val="0072792C"/>
    <w:rsid w:val="00730B09"/>
    <w:rsid w:val="0073121A"/>
    <w:rsid w:val="00731875"/>
    <w:rsid w:val="00731EFA"/>
    <w:rsid w:val="00732A12"/>
    <w:rsid w:val="00732B48"/>
    <w:rsid w:val="00732FCC"/>
    <w:rsid w:val="007354A4"/>
    <w:rsid w:val="007360BB"/>
    <w:rsid w:val="0073628A"/>
    <w:rsid w:val="00736D51"/>
    <w:rsid w:val="0073724A"/>
    <w:rsid w:val="00740379"/>
    <w:rsid w:val="007416AF"/>
    <w:rsid w:val="007423CD"/>
    <w:rsid w:val="007433D6"/>
    <w:rsid w:val="007439D4"/>
    <w:rsid w:val="007444F9"/>
    <w:rsid w:val="00744D51"/>
    <w:rsid w:val="007465D5"/>
    <w:rsid w:val="007468F5"/>
    <w:rsid w:val="00747B66"/>
    <w:rsid w:val="0075038C"/>
    <w:rsid w:val="00750E26"/>
    <w:rsid w:val="0075470D"/>
    <w:rsid w:val="007566C8"/>
    <w:rsid w:val="00756807"/>
    <w:rsid w:val="00756E52"/>
    <w:rsid w:val="00757F95"/>
    <w:rsid w:val="00760214"/>
    <w:rsid w:val="00760651"/>
    <w:rsid w:val="00760FED"/>
    <w:rsid w:val="00761161"/>
    <w:rsid w:val="00762D9B"/>
    <w:rsid w:val="0076376D"/>
    <w:rsid w:val="00764115"/>
    <w:rsid w:val="00766418"/>
    <w:rsid w:val="007672AC"/>
    <w:rsid w:val="007675EA"/>
    <w:rsid w:val="00767B06"/>
    <w:rsid w:val="00770171"/>
    <w:rsid w:val="0077030B"/>
    <w:rsid w:val="00772E29"/>
    <w:rsid w:val="00775848"/>
    <w:rsid w:val="00775C35"/>
    <w:rsid w:val="00776201"/>
    <w:rsid w:val="00777277"/>
    <w:rsid w:val="0077777C"/>
    <w:rsid w:val="00782833"/>
    <w:rsid w:val="0078365E"/>
    <w:rsid w:val="00783A62"/>
    <w:rsid w:val="00785107"/>
    <w:rsid w:val="00787B95"/>
    <w:rsid w:val="0079184D"/>
    <w:rsid w:val="00791A85"/>
    <w:rsid w:val="00793107"/>
    <w:rsid w:val="00793996"/>
    <w:rsid w:val="00793F5F"/>
    <w:rsid w:val="00795131"/>
    <w:rsid w:val="007A20E1"/>
    <w:rsid w:val="007A210E"/>
    <w:rsid w:val="007A5B51"/>
    <w:rsid w:val="007A5D34"/>
    <w:rsid w:val="007A747C"/>
    <w:rsid w:val="007B06E5"/>
    <w:rsid w:val="007B174E"/>
    <w:rsid w:val="007B2302"/>
    <w:rsid w:val="007B28E9"/>
    <w:rsid w:val="007B3B15"/>
    <w:rsid w:val="007B4C0B"/>
    <w:rsid w:val="007B5693"/>
    <w:rsid w:val="007B5DF6"/>
    <w:rsid w:val="007C20EA"/>
    <w:rsid w:val="007C2BE2"/>
    <w:rsid w:val="007C3739"/>
    <w:rsid w:val="007C5A6A"/>
    <w:rsid w:val="007C6AF7"/>
    <w:rsid w:val="007D1122"/>
    <w:rsid w:val="007D3392"/>
    <w:rsid w:val="007D3754"/>
    <w:rsid w:val="007D3E6E"/>
    <w:rsid w:val="007D405A"/>
    <w:rsid w:val="007D41DA"/>
    <w:rsid w:val="007D556E"/>
    <w:rsid w:val="007D7213"/>
    <w:rsid w:val="007D7267"/>
    <w:rsid w:val="007E0725"/>
    <w:rsid w:val="007E14B2"/>
    <w:rsid w:val="007E1F73"/>
    <w:rsid w:val="007E2D87"/>
    <w:rsid w:val="007E4491"/>
    <w:rsid w:val="007E5F4F"/>
    <w:rsid w:val="007E66BA"/>
    <w:rsid w:val="007E670A"/>
    <w:rsid w:val="007E710E"/>
    <w:rsid w:val="007F1597"/>
    <w:rsid w:val="007F1B14"/>
    <w:rsid w:val="007F5F40"/>
    <w:rsid w:val="007F7683"/>
    <w:rsid w:val="00801056"/>
    <w:rsid w:val="008033AC"/>
    <w:rsid w:val="00806580"/>
    <w:rsid w:val="008074FB"/>
    <w:rsid w:val="008075A7"/>
    <w:rsid w:val="0080778A"/>
    <w:rsid w:val="00807ADA"/>
    <w:rsid w:val="00807CB1"/>
    <w:rsid w:val="0081269C"/>
    <w:rsid w:val="0081329A"/>
    <w:rsid w:val="00813CB3"/>
    <w:rsid w:val="00813DDD"/>
    <w:rsid w:val="00814B4C"/>
    <w:rsid w:val="008156FF"/>
    <w:rsid w:val="00817604"/>
    <w:rsid w:val="00820AFC"/>
    <w:rsid w:val="00820ED7"/>
    <w:rsid w:val="008212B3"/>
    <w:rsid w:val="0082352C"/>
    <w:rsid w:val="00824A9E"/>
    <w:rsid w:val="00830AEC"/>
    <w:rsid w:val="00830BAD"/>
    <w:rsid w:val="00830FE7"/>
    <w:rsid w:val="00831151"/>
    <w:rsid w:val="008325D8"/>
    <w:rsid w:val="00833000"/>
    <w:rsid w:val="00833BA5"/>
    <w:rsid w:val="00834D0B"/>
    <w:rsid w:val="0083501F"/>
    <w:rsid w:val="00835EA2"/>
    <w:rsid w:val="00837D12"/>
    <w:rsid w:val="00841983"/>
    <w:rsid w:val="00841F80"/>
    <w:rsid w:val="0084234B"/>
    <w:rsid w:val="0084244E"/>
    <w:rsid w:val="00842DD3"/>
    <w:rsid w:val="00843DE9"/>
    <w:rsid w:val="00844E1C"/>
    <w:rsid w:val="00846678"/>
    <w:rsid w:val="00847F8B"/>
    <w:rsid w:val="00847FB9"/>
    <w:rsid w:val="008501CE"/>
    <w:rsid w:val="00851E2E"/>
    <w:rsid w:val="008523B9"/>
    <w:rsid w:val="00853A2B"/>
    <w:rsid w:val="00853BBB"/>
    <w:rsid w:val="008546C5"/>
    <w:rsid w:val="00854D50"/>
    <w:rsid w:val="00855591"/>
    <w:rsid w:val="008563FA"/>
    <w:rsid w:val="008566EF"/>
    <w:rsid w:val="008601C8"/>
    <w:rsid w:val="008610EA"/>
    <w:rsid w:val="00861ADF"/>
    <w:rsid w:val="00864889"/>
    <w:rsid w:val="00865B60"/>
    <w:rsid w:val="00865C8F"/>
    <w:rsid w:val="00866294"/>
    <w:rsid w:val="008662AA"/>
    <w:rsid w:val="00866F3A"/>
    <w:rsid w:val="0086767F"/>
    <w:rsid w:val="0087026C"/>
    <w:rsid w:val="0087034D"/>
    <w:rsid w:val="0087099B"/>
    <w:rsid w:val="00871C1B"/>
    <w:rsid w:val="00872907"/>
    <w:rsid w:val="00872ADD"/>
    <w:rsid w:val="008730F9"/>
    <w:rsid w:val="00873127"/>
    <w:rsid w:val="008733DD"/>
    <w:rsid w:val="008759E6"/>
    <w:rsid w:val="008762C0"/>
    <w:rsid w:val="008771CD"/>
    <w:rsid w:val="00882553"/>
    <w:rsid w:val="008827AA"/>
    <w:rsid w:val="00885E8C"/>
    <w:rsid w:val="008865ED"/>
    <w:rsid w:val="0089007A"/>
    <w:rsid w:val="00890875"/>
    <w:rsid w:val="0089090B"/>
    <w:rsid w:val="008915D8"/>
    <w:rsid w:val="00891A0D"/>
    <w:rsid w:val="00891E3E"/>
    <w:rsid w:val="00892BC7"/>
    <w:rsid w:val="00894771"/>
    <w:rsid w:val="00895F99"/>
    <w:rsid w:val="00896682"/>
    <w:rsid w:val="00897775"/>
    <w:rsid w:val="008A0B1F"/>
    <w:rsid w:val="008A0DBD"/>
    <w:rsid w:val="008A1308"/>
    <w:rsid w:val="008A1E7E"/>
    <w:rsid w:val="008A30A1"/>
    <w:rsid w:val="008A3442"/>
    <w:rsid w:val="008A345C"/>
    <w:rsid w:val="008A369E"/>
    <w:rsid w:val="008A42E9"/>
    <w:rsid w:val="008A5A76"/>
    <w:rsid w:val="008A6884"/>
    <w:rsid w:val="008A7527"/>
    <w:rsid w:val="008B02BB"/>
    <w:rsid w:val="008B0A16"/>
    <w:rsid w:val="008B2B5D"/>
    <w:rsid w:val="008B3CC9"/>
    <w:rsid w:val="008B4D9B"/>
    <w:rsid w:val="008B64B2"/>
    <w:rsid w:val="008B68E8"/>
    <w:rsid w:val="008C055A"/>
    <w:rsid w:val="008C0A5E"/>
    <w:rsid w:val="008C1C6E"/>
    <w:rsid w:val="008C2C65"/>
    <w:rsid w:val="008C30D2"/>
    <w:rsid w:val="008C4392"/>
    <w:rsid w:val="008C5BA4"/>
    <w:rsid w:val="008C6AE9"/>
    <w:rsid w:val="008D126A"/>
    <w:rsid w:val="008D1CAF"/>
    <w:rsid w:val="008D5162"/>
    <w:rsid w:val="008D529D"/>
    <w:rsid w:val="008D5CDC"/>
    <w:rsid w:val="008E087E"/>
    <w:rsid w:val="008E2AC9"/>
    <w:rsid w:val="008E394C"/>
    <w:rsid w:val="008E436A"/>
    <w:rsid w:val="008E44F1"/>
    <w:rsid w:val="008E4C8A"/>
    <w:rsid w:val="008E4D29"/>
    <w:rsid w:val="008E50DA"/>
    <w:rsid w:val="008E5118"/>
    <w:rsid w:val="008E5DA7"/>
    <w:rsid w:val="008E60F7"/>
    <w:rsid w:val="008E71DD"/>
    <w:rsid w:val="008E7896"/>
    <w:rsid w:val="008F0D49"/>
    <w:rsid w:val="008F191A"/>
    <w:rsid w:val="008F1B6C"/>
    <w:rsid w:val="008F2491"/>
    <w:rsid w:val="008F2CAF"/>
    <w:rsid w:val="008F3068"/>
    <w:rsid w:val="008F34BA"/>
    <w:rsid w:val="008F4353"/>
    <w:rsid w:val="008F517F"/>
    <w:rsid w:val="008F551A"/>
    <w:rsid w:val="008F5E2F"/>
    <w:rsid w:val="008F6635"/>
    <w:rsid w:val="008F6E2C"/>
    <w:rsid w:val="008F71E4"/>
    <w:rsid w:val="00901AE3"/>
    <w:rsid w:val="009025AE"/>
    <w:rsid w:val="00902961"/>
    <w:rsid w:val="0090537A"/>
    <w:rsid w:val="00905BA4"/>
    <w:rsid w:val="00906CA0"/>
    <w:rsid w:val="00907702"/>
    <w:rsid w:val="00907E2A"/>
    <w:rsid w:val="009137A4"/>
    <w:rsid w:val="00913955"/>
    <w:rsid w:val="00914C24"/>
    <w:rsid w:val="00915F13"/>
    <w:rsid w:val="00916169"/>
    <w:rsid w:val="0092193A"/>
    <w:rsid w:val="0092226E"/>
    <w:rsid w:val="00923320"/>
    <w:rsid w:val="0092359C"/>
    <w:rsid w:val="009243CD"/>
    <w:rsid w:val="009247EC"/>
    <w:rsid w:val="00924FF8"/>
    <w:rsid w:val="00926037"/>
    <w:rsid w:val="00926552"/>
    <w:rsid w:val="0092783A"/>
    <w:rsid w:val="00930B8D"/>
    <w:rsid w:val="00931056"/>
    <w:rsid w:val="00931E35"/>
    <w:rsid w:val="009335C9"/>
    <w:rsid w:val="00934669"/>
    <w:rsid w:val="009349D3"/>
    <w:rsid w:val="00934A79"/>
    <w:rsid w:val="00935DF4"/>
    <w:rsid w:val="009362FE"/>
    <w:rsid w:val="00937B6A"/>
    <w:rsid w:val="009414EC"/>
    <w:rsid w:val="0094383C"/>
    <w:rsid w:val="00943C8D"/>
    <w:rsid w:val="00943DAC"/>
    <w:rsid w:val="00944CE7"/>
    <w:rsid w:val="009460B6"/>
    <w:rsid w:val="009463D9"/>
    <w:rsid w:val="00947719"/>
    <w:rsid w:val="00947EB1"/>
    <w:rsid w:val="0095054F"/>
    <w:rsid w:val="00950DCE"/>
    <w:rsid w:val="00951576"/>
    <w:rsid w:val="0095333C"/>
    <w:rsid w:val="009544D5"/>
    <w:rsid w:val="00954CA1"/>
    <w:rsid w:val="00956474"/>
    <w:rsid w:val="009576DA"/>
    <w:rsid w:val="009578C2"/>
    <w:rsid w:val="00960E90"/>
    <w:rsid w:val="0096210C"/>
    <w:rsid w:val="009633B1"/>
    <w:rsid w:val="009657D6"/>
    <w:rsid w:val="009709C7"/>
    <w:rsid w:val="00970C78"/>
    <w:rsid w:val="00970CA4"/>
    <w:rsid w:val="00970E14"/>
    <w:rsid w:val="009714C4"/>
    <w:rsid w:val="00972EA8"/>
    <w:rsid w:val="0097301A"/>
    <w:rsid w:val="0097486B"/>
    <w:rsid w:val="00974B97"/>
    <w:rsid w:val="00976B30"/>
    <w:rsid w:val="00977253"/>
    <w:rsid w:val="00977DF0"/>
    <w:rsid w:val="00981496"/>
    <w:rsid w:val="009819DF"/>
    <w:rsid w:val="00981F68"/>
    <w:rsid w:val="00986B0E"/>
    <w:rsid w:val="0099257F"/>
    <w:rsid w:val="009929D5"/>
    <w:rsid w:val="00992E92"/>
    <w:rsid w:val="009942ED"/>
    <w:rsid w:val="009955FA"/>
    <w:rsid w:val="009959FC"/>
    <w:rsid w:val="009A118B"/>
    <w:rsid w:val="009A14D2"/>
    <w:rsid w:val="009A52B8"/>
    <w:rsid w:val="009A5F35"/>
    <w:rsid w:val="009A690D"/>
    <w:rsid w:val="009B2110"/>
    <w:rsid w:val="009B2A8E"/>
    <w:rsid w:val="009B32B9"/>
    <w:rsid w:val="009B32E0"/>
    <w:rsid w:val="009B4069"/>
    <w:rsid w:val="009B418E"/>
    <w:rsid w:val="009B5B78"/>
    <w:rsid w:val="009B5C65"/>
    <w:rsid w:val="009B6D79"/>
    <w:rsid w:val="009B6FDF"/>
    <w:rsid w:val="009C0964"/>
    <w:rsid w:val="009C1174"/>
    <w:rsid w:val="009C2560"/>
    <w:rsid w:val="009C4672"/>
    <w:rsid w:val="009C5E81"/>
    <w:rsid w:val="009C5F45"/>
    <w:rsid w:val="009C6389"/>
    <w:rsid w:val="009C669B"/>
    <w:rsid w:val="009C754C"/>
    <w:rsid w:val="009C77A0"/>
    <w:rsid w:val="009C7CB3"/>
    <w:rsid w:val="009D02F4"/>
    <w:rsid w:val="009D0CDA"/>
    <w:rsid w:val="009D49AC"/>
    <w:rsid w:val="009D4B02"/>
    <w:rsid w:val="009D62D4"/>
    <w:rsid w:val="009D6597"/>
    <w:rsid w:val="009E1FC3"/>
    <w:rsid w:val="009E26B9"/>
    <w:rsid w:val="009E27E3"/>
    <w:rsid w:val="009E3446"/>
    <w:rsid w:val="009E3F53"/>
    <w:rsid w:val="009E4093"/>
    <w:rsid w:val="009E44BD"/>
    <w:rsid w:val="009E45C8"/>
    <w:rsid w:val="009E677E"/>
    <w:rsid w:val="009E67FF"/>
    <w:rsid w:val="009E78FA"/>
    <w:rsid w:val="009E7E8D"/>
    <w:rsid w:val="009F055B"/>
    <w:rsid w:val="009F08D1"/>
    <w:rsid w:val="009F0FCF"/>
    <w:rsid w:val="009F171C"/>
    <w:rsid w:val="009F1EF2"/>
    <w:rsid w:val="009F30DB"/>
    <w:rsid w:val="009F5A9C"/>
    <w:rsid w:val="009F64DC"/>
    <w:rsid w:val="009F6E3B"/>
    <w:rsid w:val="009F7599"/>
    <w:rsid w:val="009F7BB0"/>
    <w:rsid w:val="00A00EC8"/>
    <w:rsid w:val="00A0149B"/>
    <w:rsid w:val="00A024A6"/>
    <w:rsid w:val="00A03401"/>
    <w:rsid w:val="00A03E35"/>
    <w:rsid w:val="00A05EFD"/>
    <w:rsid w:val="00A060DA"/>
    <w:rsid w:val="00A0709C"/>
    <w:rsid w:val="00A12251"/>
    <w:rsid w:val="00A12680"/>
    <w:rsid w:val="00A134D0"/>
    <w:rsid w:val="00A13AAA"/>
    <w:rsid w:val="00A16C9D"/>
    <w:rsid w:val="00A1781B"/>
    <w:rsid w:val="00A179E3"/>
    <w:rsid w:val="00A2011D"/>
    <w:rsid w:val="00A20E40"/>
    <w:rsid w:val="00A20E76"/>
    <w:rsid w:val="00A21D4E"/>
    <w:rsid w:val="00A21E0F"/>
    <w:rsid w:val="00A23256"/>
    <w:rsid w:val="00A240AF"/>
    <w:rsid w:val="00A250C7"/>
    <w:rsid w:val="00A25553"/>
    <w:rsid w:val="00A27D31"/>
    <w:rsid w:val="00A27DCB"/>
    <w:rsid w:val="00A3124D"/>
    <w:rsid w:val="00A31385"/>
    <w:rsid w:val="00A33C68"/>
    <w:rsid w:val="00A34F61"/>
    <w:rsid w:val="00A36555"/>
    <w:rsid w:val="00A36E47"/>
    <w:rsid w:val="00A37B2E"/>
    <w:rsid w:val="00A37D0E"/>
    <w:rsid w:val="00A402C5"/>
    <w:rsid w:val="00A4052C"/>
    <w:rsid w:val="00A4080D"/>
    <w:rsid w:val="00A413BA"/>
    <w:rsid w:val="00A42CFD"/>
    <w:rsid w:val="00A42D80"/>
    <w:rsid w:val="00A43430"/>
    <w:rsid w:val="00A4430D"/>
    <w:rsid w:val="00A44592"/>
    <w:rsid w:val="00A452A9"/>
    <w:rsid w:val="00A456FD"/>
    <w:rsid w:val="00A4578C"/>
    <w:rsid w:val="00A457A3"/>
    <w:rsid w:val="00A50913"/>
    <w:rsid w:val="00A509DB"/>
    <w:rsid w:val="00A511E1"/>
    <w:rsid w:val="00A524D2"/>
    <w:rsid w:val="00A53BE4"/>
    <w:rsid w:val="00A555FF"/>
    <w:rsid w:val="00A610EF"/>
    <w:rsid w:val="00A61980"/>
    <w:rsid w:val="00A61C65"/>
    <w:rsid w:val="00A62303"/>
    <w:rsid w:val="00A665C7"/>
    <w:rsid w:val="00A7039A"/>
    <w:rsid w:val="00A70C95"/>
    <w:rsid w:val="00A71F17"/>
    <w:rsid w:val="00A728A6"/>
    <w:rsid w:val="00A728D3"/>
    <w:rsid w:val="00A73358"/>
    <w:rsid w:val="00A74652"/>
    <w:rsid w:val="00A75652"/>
    <w:rsid w:val="00A75804"/>
    <w:rsid w:val="00A761DF"/>
    <w:rsid w:val="00A7643D"/>
    <w:rsid w:val="00A7693F"/>
    <w:rsid w:val="00A80EA0"/>
    <w:rsid w:val="00A824A8"/>
    <w:rsid w:val="00A83769"/>
    <w:rsid w:val="00A83883"/>
    <w:rsid w:val="00A8400E"/>
    <w:rsid w:val="00A85CAE"/>
    <w:rsid w:val="00A8662A"/>
    <w:rsid w:val="00A9149E"/>
    <w:rsid w:val="00A916C5"/>
    <w:rsid w:val="00A91D56"/>
    <w:rsid w:val="00A92DBF"/>
    <w:rsid w:val="00A93A49"/>
    <w:rsid w:val="00A94BE1"/>
    <w:rsid w:val="00A9701F"/>
    <w:rsid w:val="00A975DB"/>
    <w:rsid w:val="00A97B41"/>
    <w:rsid w:val="00A97C90"/>
    <w:rsid w:val="00AA0918"/>
    <w:rsid w:val="00AA0D88"/>
    <w:rsid w:val="00AA186C"/>
    <w:rsid w:val="00AA56A9"/>
    <w:rsid w:val="00AA6363"/>
    <w:rsid w:val="00AA65AF"/>
    <w:rsid w:val="00AA68FA"/>
    <w:rsid w:val="00AA6FF6"/>
    <w:rsid w:val="00AA7286"/>
    <w:rsid w:val="00AA7440"/>
    <w:rsid w:val="00AA7E41"/>
    <w:rsid w:val="00AB03EA"/>
    <w:rsid w:val="00AB05B0"/>
    <w:rsid w:val="00AB18C0"/>
    <w:rsid w:val="00AB2BD1"/>
    <w:rsid w:val="00AB2CAF"/>
    <w:rsid w:val="00AB4A10"/>
    <w:rsid w:val="00AB4A8E"/>
    <w:rsid w:val="00AC0F43"/>
    <w:rsid w:val="00AC1625"/>
    <w:rsid w:val="00AC2940"/>
    <w:rsid w:val="00AC2C3A"/>
    <w:rsid w:val="00AC37E2"/>
    <w:rsid w:val="00AC3CC6"/>
    <w:rsid w:val="00AC4C0F"/>
    <w:rsid w:val="00AC53FA"/>
    <w:rsid w:val="00AC6E48"/>
    <w:rsid w:val="00AC7CE9"/>
    <w:rsid w:val="00AC7E6C"/>
    <w:rsid w:val="00AD1888"/>
    <w:rsid w:val="00AD1BA9"/>
    <w:rsid w:val="00AD37D5"/>
    <w:rsid w:val="00AD4685"/>
    <w:rsid w:val="00AD60FA"/>
    <w:rsid w:val="00AD7D46"/>
    <w:rsid w:val="00AE0CD4"/>
    <w:rsid w:val="00AE1678"/>
    <w:rsid w:val="00AE1CED"/>
    <w:rsid w:val="00AE2BDB"/>
    <w:rsid w:val="00AE35F5"/>
    <w:rsid w:val="00AE36AE"/>
    <w:rsid w:val="00AE42C1"/>
    <w:rsid w:val="00AE509A"/>
    <w:rsid w:val="00AE682B"/>
    <w:rsid w:val="00AE68C1"/>
    <w:rsid w:val="00AE7C8C"/>
    <w:rsid w:val="00AF1545"/>
    <w:rsid w:val="00AF1EAB"/>
    <w:rsid w:val="00AF2122"/>
    <w:rsid w:val="00AF414B"/>
    <w:rsid w:val="00AF46DE"/>
    <w:rsid w:val="00AF5745"/>
    <w:rsid w:val="00AF5E94"/>
    <w:rsid w:val="00AF6531"/>
    <w:rsid w:val="00AF6A97"/>
    <w:rsid w:val="00AF6D33"/>
    <w:rsid w:val="00AF7F93"/>
    <w:rsid w:val="00B00EBB"/>
    <w:rsid w:val="00B01396"/>
    <w:rsid w:val="00B01452"/>
    <w:rsid w:val="00B01AA3"/>
    <w:rsid w:val="00B0204C"/>
    <w:rsid w:val="00B02DC1"/>
    <w:rsid w:val="00B045D5"/>
    <w:rsid w:val="00B05832"/>
    <w:rsid w:val="00B065C3"/>
    <w:rsid w:val="00B06E36"/>
    <w:rsid w:val="00B07628"/>
    <w:rsid w:val="00B10BCC"/>
    <w:rsid w:val="00B11B19"/>
    <w:rsid w:val="00B12326"/>
    <w:rsid w:val="00B13095"/>
    <w:rsid w:val="00B1657B"/>
    <w:rsid w:val="00B17B5C"/>
    <w:rsid w:val="00B17E31"/>
    <w:rsid w:val="00B17E6F"/>
    <w:rsid w:val="00B208A4"/>
    <w:rsid w:val="00B21BA7"/>
    <w:rsid w:val="00B24498"/>
    <w:rsid w:val="00B24C67"/>
    <w:rsid w:val="00B25ABB"/>
    <w:rsid w:val="00B26398"/>
    <w:rsid w:val="00B26EAC"/>
    <w:rsid w:val="00B27141"/>
    <w:rsid w:val="00B27A04"/>
    <w:rsid w:val="00B27DAB"/>
    <w:rsid w:val="00B311FA"/>
    <w:rsid w:val="00B31B53"/>
    <w:rsid w:val="00B31C4F"/>
    <w:rsid w:val="00B33768"/>
    <w:rsid w:val="00B37440"/>
    <w:rsid w:val="00B377D7"/>
    <w:rsid w:val="00B37AB3"/>
    <w:rsid w:val="00B37B2F"/>
    <w:rsid w:val="00B37BFE"/>
    <w:rsid w:val="00B40391"/>
    <w:rsid w:val="00B408DB"/>
    <w:rsid w:val="00B41C6B"/>
    <w:rsid w:val="00B424BE"/>
    <w:rsid w:val="00B42C16"/>
    <w:rsid w:val="00B45763"/>
    <w:rsid w:val="00B45A5C"/>
    <w:rsid w:val="00B46122"/>
    <w:rsid w:val="00B463C3"/>
    <w:rsid w:val="00B46CC9"/>
    <w:rsid w:val="00B47631"/>
    <w:rsid w:val="00B506A2"/>
    <w:rsid w:val="00B50748"/>
    <w:rsid w:val="00B52CF5"/>
    <w:rsid w:val="00B53181"/>
    <w:rsid w:val="00B54DA4"/>
    <w:rsid w:val="00B54E72"/>
    <w:rsid w:val="00B5602B"/>
    <w:rsid w:val="00B601B8"/>
    <w:rsid w:val="00B608BD"/>
    <w:rsid w:val="00B60D6E"/>
    <w:rsid w:val="00B6263C"/>
    <w:rsid w:val="00B632A8"/>
    <w:rsid w:val="00B64A28"/>
    <w:rsid w:val="00B653B0"/>
    <w:rsid w:val="00B6552C"/>
    <w:rsid w:val="00B658A4"/>
    <w:rsid w:val="00B721E6"/>
    <w:rsid w:val="00B72632"/>
    <w:rsid w:val="00B73126"/>
    <w:rsid w:val="00B73CD3"/>
    <w:rsid w:val="00B7557F"/>
    <w:rsid w:val="00B76543"/>
    <w:rsid w:val="00B766FB"/>
    <w:rsid w:val="00B76A5B"/>
    <w:rsid w:val="00B778BB"/>
    <w:rsid w:val="00B80B68"/>
    <w:rsid w:val="00B81BD7"/>
    <w:rsid w:val="00B82095"/>
    <w:rsid w:val="00B82277"/>
    <w:rsid w:val="00B8292A"/>
    <w:rsid w:val="00B8315F"/>
    <w:rsid w:val="00B832A1"/>
    <w:rsid w:val="00B854EB"/>
    <w:rsid w:val="00B864DB"/>
    <w:rsid w:val="00B909D9"/>
    <w:rsid w:val="00B90C73"/>
    <w:rsid w:val="00B919E4"/>
    <w:rsid w:val="00B93219"/>
    <w:rsid w:val="00B941FD"/>
    <w:rsid w:val="00B9610F"/>
    <w:rsid w:val="00B96F88"/>
    <w:rsid w:val="00B973B1"/>
    <w:rsid w:val="00B97A5B"/>
    <w:rsid w:val="00B97BAA"/>
    <w:rsid w:val="00BA02B3"/>
    <w:rsid w:val="00BA05AA"/>
    <w:rsid w:val="00BA0D9B"/>
    <w:rsid w:val="00BA1CD2"/>
    <w:rsid w:val="00BA2F9B"/>
    <w:rsid w:val="00BA5184"/>
    <w:rsid w:val="00BA546A"/>
    <w:rsid w:val="00BA6854"/>
    <w:rsid w:val="00BA7BCD"/>
    <w:rsid w:val="00BB00AC"/>
    <w:rsid w:val="00BB03B4"/>
    <w:rsid w:val="00BB0970"/>
    <w:rsid w:val="00BB0D15"/>
    <w:rsid w:val="00BB1175"/>
    <w:rsid w:val="00BB16C1"/>
    <w:rsid w:val="00BB1928"/>
    <w:rsid w:val="00BB3A00"/>
    <w:rsid w:val="00BB3AA0"/>
    <w:rsid w:val="00BB3B11"/>
    <w:rsid w:val="00BB41CD"/>
    <w:rsid w:val="00BB51C1"/>
    <w:rsid w:val="00BB608F"/>
    <w:rsid w:val="00BC0B9A"/>
    <w:rsid w:val="00BC0C65"/>
    <w:rsid w:val="00BC0FDA"/>
    <w:rsid w:val="00BC1A54"/>
    <w:rsid w:val="00BC1B74"/>
    <w:rsid w:val="00BC6996"/>
    <w:rsid w:val="00BC6FCB"/>
    <w:rsid w:val="00BC7CC2"/>
    <w:rsid w:val="00BD118D"/>
    <w:rsid w:val="00BD194B"/>
    <w:rsid w:val="00BD54F4"/>
    <w:rsid w:val="00BD5A86"/>
    <w:rsid w:val="00BE04A4"/>
    <w:rsid w:val="00BE0695"/>
    <w:rsid w:val="00BE0AEA"/>
    <w:rsid w:val="00BE197B"/>
    <w:rsid w:val="00BE367A"/>
    <w:rsid w:val="00BE3C7C"/>
    <w:rsid w:val="00BE5091"/>
    <w:rsid w:val="00BE52D0"/>
    <w:rsid w:val="00BE6130"/>
    <w:rsid w:val="00BE6D78"/>
    <w:rsid w:val="00BF0536"/>
    <w:rsid w:val="00BF1E41"/>
    <w:rsid w:val="00BF1FDE"/>
    <w:rsid w:val="00BF217C"/>
    <w:rsid w:val="00BF2AC1"/>
    <w:rsid w:val="00BF2D57"/>
    <w:rsid w:val="00BF35C7"/>
    <w:rsid w:val="00BF3C47"/>
    <w:rsid w:val="00BF45DF"/>
    <w:rsid w:val="00BF45E8"/>
    <w:rsid w:val="00BF4F69"/>
    <w:rsid w:val="00BF5C0D"/>
    <w:rsid w:val="00BF7A41"/>
    <w:rsid w:val="00C003CE"/>
    <w:rsid w:val="00C0062B"/>
    <w:rsid w:val="00C00ADD"/>
    <w:rsid w:val="00C01F3C"/>
    <w:rsid w:val="00C02504"/>
    <w:rsid w:val="00C03094"/>
    <w:rsid w:val="00C03C97"/>
    <w:rsid w:val="00C03CF3"/>
    <w:rsid w:val="00C05695"/>
    <w:rsid w:val="00C11388"/>
    <w:rsid w:val="00C12740"/>
    <w:rsid w:val="00C12A41"/>
    <w:rsid w:val="00C12AF1"/>
    <w:rsid w:val="00C13D49"/>
    <w:rsid w:val="00C1408C"/>
    <w:rsid w:val="00C14315"/>
    <w:rsid w:val="00C149E5"/>
    <w:rsid w:val="00C1598E"/>
    <w:rsid w:val="00C15B68"/>
    <w:rsid w:val="00C15D58"/>
    <w:rsid w:val="00C1605B"/>
    <w:rsid w:val="00C17B7F"/>
    <w:rsid w:val="00C17EB5"/>
    <w:rsid w:val="00C222AE"/>
    <w:rsid w:val="00C23750"/>
    <w:rsid w:val="00C2447F"/>
    <w:rsid w:val="00C26081"/>
    <w:rsid w:val="00C27DB1"/>
    <w:rsid w:val="00C30428"/>
    <w:rsid w:val="00C32458"/>
    <w:rsid w:val="00C326B5"/>
    <w:rsid w:val="00C32915"/>
    <w:rsid w:val="00C334B1"/>
    <w:rsid w:val="00C33939"/>
    <w:rsid w:val="00C341E4"/>
    <w:rsid w:val="00C34540"/>
    <w:rsid w:val="00C36B6E"/>
    <w:rsid w:val="00C378D7"/>
    <w:rsid w:val="00C402C6"/>
    <w:rsid w:val="00C41702"/>
    <w:rsid w:val="00C41935"/>
    <w:rsid w:val="00C41C5A"/>
    <w:rsid w:val="00C42BFF"/>
    <w:rsid w:val="00C43C8C"/>
    <w:rsid w:val="00C440DF"/>
    <w:rsid w:val="00C440FE"/>
    <w:rsid w:val="00C45277"/>
    <w:rsid w:val="00C45A29"/>
    <w:rsid w:val="00C46E15"/>
    <w:rsid w:val="00C472F8"/>
    <w:rsid w:val="00C47511"/>
    <w:rsid w:val="00C50AB5"/>
    <w:rsid w:val="00C50D41"/>
    <w:rsid w:val="00C50F8D"/>
    <w:rsid w:val="00C51150"/>
    <w:rsid w:val="00C521B2"/>
    <w:rsid w:val="00C52655"/>
    <w:rsid w:val="00C52F15"/>
    <w:rsid w:val="00C532FE"/>
    <w:rsid w:val="00C541FA"/>
    <w:rsid w:val="00C54C40"/>
    <w:rsid w:val="00C55052"/>
    <w:rsid w:val="00C568E3"/>
    <w:rsid w:val="00C56C00"/>
    <w:rsid w:val="00C57022"/>
    <w:rsid w:val="00C572DB"/>
    <w:rsid w:val="00C57D70"/>
    <w:rsid w:val="00C6000D"/>
    <w:rsid w:val="00C60502"/>
    <w:rsid w:val="00C6115B"/>
    <w:rsid w:val="00C62AE7"/>
    <w:rsid w:val="00C635A0"/>
    <w:rsid w:val="00C64EAF"/>
    <w:rsid w:val="00C6628C"/>
    <w:rsid w:val="00C6640D"/>
    <w:rsid w:val="00C66EAC"/>
    <w:rsid w:val="00C670FB"/>
    <w:rsid w:val="00C704BC"/>
    <w:rsid w:val="00C7056F"/>
    <w:rsid w:val="00C7384D"/>
    <w:rsid w:val="00C739B4"/>
    <w:rsid w:val="00C75FB5"/>
    <w:rsid w:val="00C76059"/>
    <w:rsid w:val="00C760D6"/>
    <w:rsid w:val="00C7642D"/>
    <w:rsid w:val="00C76487"/>
    <w:rsid w:val="00C777FF"/>
    <w:rsid w:val="00C804F5"/>
    <w:rsid w:val="00C81543"/>
    <w:rsid w:val="00C8168E"/>
    <w:rsid w:val="00C82D62"/>
    <w:rsid w:val="00C82F61"/>
    <w:rsid w:val="00C82FB3"/>
    <w:rsid w:val="00C8368B"/>
    <w:rsid w:val="00C8392E"/>
    <w:rsid w:val="00C83BB7"/>
    <w:rsid w:val="00C83CF7"/>
    <w:rsid w:val="00C8429A"/>
    <w:rsid w:val="00C85EC5"/>
    <w:rsid w:val="00C86A19"/>
    <w:rsid w:val="00C87E61"/>
    <w:rsid w:val="00C90552"/>
    <w:rsid w:val="00C9058F"/>
    <w:rsid w:val="00C90FD4"/>
    <w:rsid w:val="00C91C6D"/>
    <w:rsid w:val="00C925ED"/>
    <w:rsid w:val="00C932AB"/>
    <w:rsid w:val="00C965EB"/>
    <w:rsid w:val="00C9752F"/>
    <w:rsid w:val="00C977B2"/>
    <w:rsid w:val="00C97A2B"/>
    <w:rsid w:val="00CA0052"/>
    <w:rsid w:val="00CA10C0"/>
    <w:rsid w:val="00CA2C36"/>
    <w:rsid w:val="00CA3A38"/>
    <w:rsid w:val="00CA64B0"/>
    <w:rsid w:val="00CA6BCE"/>
    <w:rsid w:val="00CB1624"/>
    <w:rsid w:val="00CB1C0B"/>
    <w:rsid w:val="00CB2463"/>
    <w:rsid w:val="00CB2D9A"/>
    <w:rsid w:val="00CB4659"/>
    <w:rsid w:val="00CB5415"/>
    <w:rsid w:val="00CB54DA"/>
    <w:rsid w:val="00CB71C2"/>
    <w:rsid w:val="00CB76CB"/>
    <w:rsid w:val="00CB7A38"/>
    <w:rsid w:val="00CC1303"/>
    <w:rsid w:val="00CC2B33"/>
    <w:rsid w:val="00CC3FE1"/>
    <w:rsid w:val="00CC41CB"/>
    <w:rsid w:val="00CC4C97"/>
    <w:rsid w:val="00CC63DC"/>
    <w:rsid w:val="00CC6C90"/>
    <w:rsid w:val="00CD04C0"/>
    <w:rsid w:val="00CD1200"/>
    <w:rsid w:val="00CD167C"/>
    <w:rsid w:val="00CD18A4"/>
    <w:rsid w:val="00CD1DC2"/>
    <w:rsid w:val="00CD381B"/>
    <w:rsid w:val="00CD3EDB"/>
    <w:rsid w:val="00CD41DD"/>
    <w:rsid w:val="00CD47D3"/>
    <w:rsid w:val="00CD5327"/>
    <w:rsid w:val="00CD5F6F"/>
    <w:rsid w:val="00CD6B5E"/>
    <w:rsid w:val="00CD6CA8"/>
    <w:rsid w:val="00CD7D24"/>
    <w:rsid w:val="00CE09E7"/>
    <w:rsid w:val="00CE1495"/>
    <w:rsid w:val="00CE163A"/>
    <w:rsid w:val="00CE206A"/>
    <w:rsid w:val="00CE41DB"/>
    <w:rsid w:val="00CE42FD"/>
    <w:rsid w:val="00CE4ED9"/>
    <w:rsid w:val="00CE5F30"/>
    <w:rsid w:val="00CE62BE"/>
    <w:rsid w:val="00CE6F48"/>
    <w:rsid w:val="00CE7CBB"/>
    <w:rsid w:val="00CF0162"/>
    <w:rsid w:val="00CF02D5"/>
    <w:rsid w:val="00CF07C3"/>
    <w:rsid w:val="00CF1623"/>
    <w:rsid w:val="00CF172C"/>
    <w:rsid w:val="00CF38B5"/>
    <w:rsid w:val="00CF436B"/>
    <w:rsid w:val="00CF5C39"/>
    <w:rsid w:val="00CF6786"/>
    <w:rsid w:val="00CF6D5C"/>
    <w:rsid w:val="00CF7D10"/>
    <w:rsid w:val="00D013E7"/>
    <w:rsid w:val="00D02216"/>
    <w:rsid w:val="00D04120"/>
    <w:rsid w:val="00D06B78"/>
    <w:rsid w:val="00D073DC"/>
    <w:rsid w:val="00D07925"/>
    <w:rsid w:val="00D12C53"/>
    <w:rsid w:val="00D148A7"/>
    <w:rsid w:val="00D1636C"/>
    <w:rsid w:val="00D16B18"/>
    <w:rsid w:val="00D2074D"/>
    <w:rsid w:val="00D20BC8"/>
    <w:rsid w:val="00D215D5"/>
    <w:rsid w:val="00D247C3"/>
    <w:rsid w:val="00D24806"/>
    <w:rsid w:val="00D25C29"/>
    <w:rsid w:val="00D264BC"/>
    <w:rsid w:val="00D32F1C"/>
    <w:rsid w:val="00D3433F"/>
    <w:rsid w:val="00D351EA"/>
    <w:rsid w:val="00D35A40"/>
    <w:rsid w:val="00D36EE5"/>
    <w:rsid w:val="00D40646"/>
    <w:rsid w:val="00D40CEC"/>
    <w:rsid w:val="00D40F44"/>
    <w:rsid w:val="00D41AF1"/>
    <w:rsid w:val="00D47089"/>
    <w:rsid w:val="00D4799D"/>
    <w:rsid w:val="00D50680"/>
    <w:rsid w:val="00D514D2"/>
    <w:rsid w:val="00D5178A"/>
    <w:rsid w:val="00D51A65"/>
    <w:rsid w:val="00D5600F"/>
    <w:rsid w:val="00D576F0"/>
    <w:rsid w:val="00D61877"/>
    <w:rsid w:val="00D621AD"/>
    <w:rsid w:val="00D62A47"/>
    <w:rsid w:val="00D6334D"/>
    <w:rsid w:val="00D639B1"/>
    <w:rsid w:val="00D67752"/>
    <w:rsid w:val="00D67FEB"/>
    <w:rsid w:val="00D70C25"/>
    <w:rsid w:val="00D70EC2"/>
    <w:rsid w:val="00D70FFA"/>
    <w:rsid w:val="00D72955"/>
    <w:rsid w:val="00D72D9B"/>
    <w:rsid w:val="00D73F27"/>
    <w:rsid w:val="00D74256"/>
    <w:rsid w:val="00D7636A"/>
    <w:rsid w:val="00D76F82"/>
    <w:rsid w:val="00D80467"/>
    <w:rsid w:val="00D8047C"/>
    <w:rsid w:val="00D805E3"/>
    <w:rsid w:val="00D81D31"/>
    <w:rsid w:val="00D81D72"/>
    <w:rsid w:val="00D83757"/>
    <w:rsid w:val="00D85022"/>
    <w:rsid w:val="00D86AEA"/>
    <w:rsid w:val="00D871BF"/>
    <w:rsid w:val="00D91FDD"/>
    <w:rsid w:val="00D938DC"/>
    <w:rsid w:val="00D93D71"/>
    <w:rsid w:val="00D94725"/>
    <w:rsid w:val="00D96979"/>
    <w:rsid w:val="00D979EC"/>
    <w:rsid w:val="00DA04C7"/>
    <w:rsid w:val="00DA41AF"/>
    <w:rsid w:val="00DA696C"/>
    <w:rsid w:val="00DA6FE0"/>
    <w:rsid w:val="00DA71AE"/>
    <w:rsid w:val="00DA7239"/>
    <w:rsid w:val="00DA771E"/>
    <w:rsid w:val="00DA7C3A"/>
    <w:rsid w:val="00DB2771"/>
    <w:rsid w:val="00DB2952"/>
    <w:rsid w:val="00DB3FFF"/>
    <w:rsid w:val="00DB4134"/>
    <w:rsid w:val="00DB5143"/>
    <w:rsid w:val="00DB708B"/>
    <w:rsid w:val="00DB72B0"/>
    <w:rsid w:val="00DB77D3"/>
    <w:rsid w:val="00DC0DA4"/>
    <w:rsid w:val="00DC103F"/>
    <w:rsid w:val="00DC14B9"/>
    <w:rsid w:val="00DC1E03"/>
    <w:rsid w:val="00DC2A6B"/>
    <w:rsid w:val="00DC38D3"/>
    <w:rsid w:val="00DC476F"/>
    <w:rsid w:val="00DC534C"/>
    <w:rsid w:val="00DC780D"/>
    <w:rsid w:val="00DD031A"/>
    <w:rsid w:val="00DD0DB4"/>
    <w:rsid w:val="00DD44D9"/>
    <w:rsid w:val="00DD4805"/>
    <w:rsid w:val="00DD4C0E"/>
    <w:rsid w:val="00DD6123"/>
    <w:rsid w:val="00DD69B3"/>
    <w:rsid w:val="00DD6F0E"/>
    <w:rsid w:val="00DE002D"/>
    <w:rsid w:val="00DE0F08"/>
    <w:rsid w:val="00DE158D"/>
    <w:rsid w:val="00DE30D7"/>
    <w:rsid w:val="00DE346C"/>
    <w:rsid w:val="00DE3A59"/>
    <w:rsid w:val="00DE3D4D"/>
    <w:rsid w:val="00DE51FD"/>
    <w:rsid w:val="00DE5721"/>
    <w:rsid w:val="00DE5E2F"/>
    <w:rsid w:val="00DE7F89"/>
    <w:rsid w:val="00DF090A"/>
    <w:rsid w:val="00DF0B4C"/>
    <w:rsid w:val="00DF10C6"/>
    <w:rsid w:val="00DF130F"/>
    <w:rsid w:val="00DF25BC"/>
    <w:rsid w:val="00DF2952"/>
    <w:rsid w:val="00DF315C"/>
    <w:rsid w:val="00DF3FD4"/>
    <w:rsid w:val="00DF4E6E"/>
    <w:rsid w:val="00DF534C"/>
    <w:rsid w:val="00DF5AAB"/>
    <w:rsid w:val="00DF5D6E"/>
    <w:rsid w:val="00DF6AEC"/>
    <w:rsid w:val="00DF7B09"/>
    <w:rsid w:val="00DF7B0E"/>
    <w:rsid w:val="00E003BC"/>
    <w:rsid w:val="00E00708"/>
    <w:rsid w:val="00E01659"/>
    <w:rsid w:val="00E01D1B"/>
    <w:rsid w:val="00E01DF8"/>
    <w:rsid w:val="00E01E22"/>
    <w:rsid w:val="00E0276E"/>
    <w:rsid w:val="00E03388"/>
    <w:rsid w:val="00E05741"/>
    <w:rsid w:val="00E0736D"/>
    <w:rsid w:val="00E111FD"/>
    <w:rsid w:val="00E120A0"/>
    <w:rsid w:val="00E13475"/>
    <w:rsid w:val="00E149F7"/>
    <w:rsid w:val="00E150A8"/>
    <w:rsid w:val="00E15DE8"/>
    <w:rsid w:val="00E16319"/>
    <w:rsid w:val="00E16ECA"/>
    <w:rsid w:val="00E207C1"/>
    <w:rsid w:val="00E210C4"/>
    <w:rsid w:val="00E21502"/>
    <w:rsid w:val="00E252C8"/>
    <w:rsid w:val="00E25576"/>
    <w:rsid w:val="00E26356"/>
    <w:rsid w:val="00E26931"/>
    <w:rsid w:val="00E26BA6"/>
    <w:rsid w:val="00E271F0"/>
    <w:rsid w:val="00E27F21"/>
    <w:rsid w:val="00E303AE"/>
    <w:rsid w:val="00E31A9D"/>
    <w:rsid w:val="00E33CD8"/>
    <w:rsid w:val="00E34098"/>
    <w:rsid w:val="00E35136"/>
    <w:rsid w:val="00E35496"/>
    <w:rsid w:val="00E3745A"/>
    <w:rsid w:val="00E40528"/>
    <w:rsid w:val="00E42793"/>
    <w:rsid w:val="00E42950"/>
    <w:rsid w:val="00E45649"/>
    <w:rsid w:val="00E4664D"/>
    <w:rsid w:val="00E46AC3"/>
    <w:rsid w:val="00E505C4"/>
    <w:rsid w:val="00E5303D"/>
    <w:rsid w:val="00E54288"/>
    <w:rsid w:val="00E54638"/>
    <w:rsid w:val="00E5621D"/>
    <w:rsid w:val="00E56575"/>
    <w:rsid w:val="00E565A3"/>
    <w:rsid w:val="00E56C11"/>
    <w:rsid w:val="00E575C2"/>
    <w:rsid w:val="00E6255C"/>
    <w:rsid w:val="00E6344B"/>
    <w:rsid w:val="00E63F32"/>
    <w:rsid w:val="00E65D82"/>
    <w:rsid w:val="00E6679A"/>
    <w:rsid w:val="00E66846"/>
    <w:rsid w:val="00E677CE"/>
    <w:rsid w:val="00E70148"/>
    <w:rsid w:val="00E70935"/>
    <w:rsid w:val="00E72089"/>
    <w:rsid w:val="00E72DE7"/>
    <w:rsid w:val="00E73274"/>
    <w:rsid w:val="00E755A9"/>
    <w:rsid w:val="00E75F8E"/>
    <w:rsid w:val="00E80795"/>
    <w:rsid w:val="00E81D31"/>
    <w:rsid w:val="00E821E3"/>
    <w:rsid w:val="00E82AD0"/>
    <w:rsid w:val="00E8358D"/>
    <w:rsid w:val="00E8395B"/>
    <w:rsid w:val="00E83FFE"/>
    <w:rsid w:val="00E8435B"/>
    <w:rsid w:val="00E84EA1"/>
    <w:rsid w:val="00E85245"/>
    <w:rsid w:val="00E85516"/>
    <w:rsid w:val="00E85849"/>
    <w:rsid w:val="00E85BBB"/>
    <w:rsid w:val="00E85E30"/>
    <w:rsid w:val="00E866C1"/>
    <w:rsid w:val="00E91785"/>
    <w:rsid w:val="00E9245C"/>
    <w:rsid w:val="00E933C0"/>
    <w:rsid w:val="00E93D1B"/>
    <w:rsid w:val="00E9616B"/>
    <w:rsid w:val="00E97724"/>
    <w:rsid w:val="00E97DCF"/>
    <w:rsid w:val="00EA0CCF"/>
    <w:rsid w:val="00EA0FC1"/>
    <w:rsid w:val="00EA1543"/>
    <w:rsid w:val="00EA2A39"/>
    <w:rsid w:val="00EA572E"/>
    <w:rsid w:val="00EA5EBB"/>
    <w:rsid w:val="00EA664B"/>
    <w:rsid w:val="00EA6C7F"/>
    <w:rsid w:val="00EA7A63"/>
    <w:rsid w:val="00EB0FE3"/>
    <w:rsid w:val="00EB1AEE"/>
    <w:rsid w:val="00EB2B41"/>
    <w:rsid w:val="00EB31AF"/>
    <w:rsid w:val="00EB329A"/>
    <w:rsid w:val="00EB570D"/>
    <w:rsid w:val="00EC008C"/>
    <w:rsid w:val="00EC1360"/>
    <w:rsid w:val="00EC19E9"/>
    <w:rsid w:val="00EC3025"/>
    <w:rsid w:val="00EC76AC"/>
    <w:rsid w:val="00ED072C"/>
    <w:rsid w:val="00ED0A81"/>
    <w:rsid w:val="00ED14C5"/>
    <w:rsid w:val="00ED2081"/>
    <w:rsid w:val="00ED2440"/>
    <w:rsid w:val="00ED2B5D"/>
    <w:rsid w:val="00ED4518"/>
    <w:rsid w:val="00ED5A77"/>
    <w:rsid w:val="00ED5D95"/>
    <w:rsid w:val="00ED6908"/>
    <w:rsid w:val="00EE0BAD"/>
    <w:rsid w:val="00EE1495"/>
    <w:rsid w:val="00EE1ABE"/>
    <w:rsid w:val="00EE24FA"/>
    <w:rsid w:val="00EE34DD"/>
    <w:rsid w:val="00EE3DBA"/>
    <w:rsid w:val="00EE3DE6"/>
    <w:rsid w:val="00EE4341"/>
    <w:rsid w:val="00EE46A5"/>
    <w:rsid w:val="00EE55A0"/>
    <w:rsid w:val="00EE7D58"/>
    <w:rsid w:val="00EF15A9"/>
    <w:rsid w:val="00EF1C18"/>
    <w:rsid w:val="00EF2782"/>
    <w:rsid w:val="00EF44F7"/>
    <w:rsid w:val="00EF4931"/>
    <w:rsid w:val="00EF5BF8"/>
    <w:rsid w:val="00F0003D"/>
    <w:rsid w:val="00F01393"/>
    <w:rsid w:val="00F0185E"/>
    <w:rsid w:val="00F02A97"/>
    <w:rsid w:val="00F02C21"/>
    <w:rsid w:val="00F03382"/>
    <w:rsid w:val="00F0511E"/>
    <w:rsid w:val="00F07BA9"/>
    <w:rsid w:val="00F10698"/>
    <w:rsid w:val="00F10D25"/>
    <w:rsid w:val="00F112B7"/>
    <w:rsid w:val="00F113D2"/>
    <w:rsid w:val="00F12427"/>
    <w:rsid w:val="00F12653"/>
    <w:rsid w:val="00F13C64"/>
    <w:rsid w:val="00F143EF"/>
    <w:rsid w:val="00F14F32"/>
    <w:rsid w:val="00F15B93"/>
    <w:rsid w:val="00F16FD8"/>
    <w:rsid w:val="00F2016C"/>
    <w:rsid w:val="00F2040C"/>
    <w:rsid w:val="00F21692"/>
    <w:rsid w:val="00F222C8"/>
    <w:rsid w:val="00F22AE2"/>
    <w:rsid w:val="00F23C2B"/>
    <w:rsid w:val="00F273C1"/>
    <w:rsid w:val="00F300DA"/>
    <w:rsid w:val="00F30334"/>
    <w:rsid w:val="00F30B56"/>
    <w:rsid w:val="00F31CBB"/>
    <w:rsid w:val="00F3233F"/>
    <w:rsid w:val="00F323ED"/>
    <w:rsid w:val="00F32C00"/>
    <w:rsid w:val="00F33388"/>
    <w:rsid w:val="00F34DE3"/>
    <w:rsid w:val="00F35F0D"/>
    <w:rsid w:val="00F37160"/>
    <w:rsid w:val="00F405CD"/>
    <w:rsid w:val="00F40C5B"/>
    <w:rsid w:val="00F40D1E"/>
    <w:rsid w:val="00F40FEE"/>
    <w:rsid w:val="00F42634"/>
    <w:rsid w:val="00F44578"/>
    <w:rsid w:val="00F46643"/>
    <w:rsid w:val="00F46B93"/>
    <w:rsid w:val="00F4758F"/>
    <w:rsid w:val="00F47AA2"/>
    <w:rsid w:val="00F5174D"/>
    <w:rsid w:val="00F52621"/>
    <w:rsid w:val="00F52B10"/>
    <w:rsid w:val="00F53C54"/>
    <w:rsid w:val="00F5402F"/>
    <w:rsid w:val="00F60661"/>
    <w:rsid w:val="00F616EA"/>
    <w:rsid w:val="00F6181C"/>
    <w:rsid w:val="00F61A72"/>
    <w:rsid w:val="00F63173"/>
    <w:rsid w:val="00F659F1"/>
    <w:rsid w:val="00F65BF5"/>
    <w:rsid w:val="00F70F01"/>
    <w:rsid w:val="00F70FA3"/>
    <w:rsid w:val="00F71482"/>
    <w:rsid w:val="00F7286F"/>
    <w:rsid w:val="00F72DD7"/>
    <w:rsid w:val="00F72F85"/>
    <w:rsid w:val="00F73079"/>
    <w:rsid w:val="00F73E5C"/>
    <w:rsid w:val="00F742A9"/>
    <w:rsid w:val="00F74903"/>
    <w:rsid w:val="00F74C28"/>
    <w:rsid w:val="00F74EBA"/>
    <w:rsid w:val="00F75D70"/>
    <w:rsid w:val="00F7721B"/>
    <w:rsid w:val="00F807FF"/>
    <w:rsid w:val="00F818EC"/>
    <w:rsid w:val="00F823D3"/>
    <w:rsid w:val="00F82FAC"/>
    <w:rsid w:val="00F84A2D"/>
    <w:rsid w:val="00F85264"/>
    <w:rsid w:val="00F85AF5"/>
    <w:rsid w:val="00F86303"/>
    <w:rsid w:val="00F871AD"/>
    <w:rsid w:val="00F878DF"/>
    <w:rsid w:val="00F90261"/>
    <w:rsid w:val="00F9117D"/>
    <w:rsid w:val="00F919D8"/>
    <w:rsid w:val="00F91E58"/>
    <w:rsid w:val="00F92589"/>
    <w:rsid w:val="00F95D3C"/>
    <w:rsid w:val="00F964E6"/>
    <w:rsid w:val="00F9721D"/>
    <w:rsid w:val="00F97A47"/>
    <w:rsid w:val="00F97A5E"/>
    <w:rsid w:val="00F97E47"/>
    <w:rsid w:val="00FA073F"/>
    <w:rsid w:val="00FA1D69"/>
    <w:rsid w:val="00FA2DBC"/>
    <w:rsid w:val="00FA3DD9"/>
    <w:rsid w:val="00FA4405"/>
    <w:rsid w:val="00FA5188"/>
    <w:rsid w:val="00FA5AEB"/>
    <w:rsid w:val="00FA5CA5"/>
    <w:rsid w:val="00FA659C"/>
    <w:rsid w:val="00FB10AB"/>
    <w:rsid w:val="00FB1191"/>
    <w:rsid w:val="00FB1974"/>
    <w:rsid w:val="00FB3BB6"/>
    <w:rsid w:val="00FB419B"/>
    <w:rsid w:val="00FB52F9"/>
    <w:rsid w:val="00FB56D1"/>
    <w:rsid w:val="00FB7C97"/>
    <w:rsid w:val="00FC1B8E"/>
    <w:rsid w:val="00FC1DC3"/>
    <w:rsid w:val="00FC2A4B"/>
    <w:rsid w:val="00FC43C6"/>
    <w:rsid w:val="00FC6385"/>
    <w:rsid w:val="00FD0C71"/>
    <w:rsid w:val="00FD2D0E"/>
    <w:rsid w:val="00FD3856"/>
    <w:rsid w:val="00FD44D1"/>
    <w:rsid w:val="00FD4E9E"/>
    <w:rsid w:val="00FD7147"/>
    <w:rsid w:val="00FD72C0"/>
    <w:rsid w:val="00FE0764"/>
    <w:rsid w:val="00FE1517"/>
    <w:rsid w:val="00FE1DB7"/>
    <w:rsid w:val="00FE21B1"/>
    <w:rsid w:val="00FE2A9E"/>
    <w:rsid w:val="00FE31E8"/>
    <w:rsid w:val="00FE31E9"/>
    <w:rsid w:val="00FE3F28"/>
    <w:rsid w:val="00FE452D"/>
    <w:rsid w:val="00FE513B"/>
    <w:rsid w:val="00FE72B7"/>
    <w:rsid w:val="00FE7DC0"/>
    <w:rsid w:val="00FF0B32"/>
    <w:rsid w:val="00FF17F1"/>
    <w:rsid w:val="00FF402C"/>
    <w:rsid w:val="00FF44E6"/>
    <w:rsid w:val="00FF4CD6"/>
    <w:rsid w:val="00FF6E44"/>
    <w:rsid w:val="00FF72A6"/>
    <w:rsid w:val="00FF7E39"/>
    <w:rsid w:val="00FF7F9B"/>
    <w:rsid w:val="5AA2210F"/>
    <w:rsid w:val="77D6C444"/>
    <w:rsid w:val="7C2AD5D8"/>
    <w:rsid w:val="7E27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3740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4A9E"/>
    <w:pPr>
      <w:spacing w:after="200" w:line="276" w:lineRule="auto"/>
    </w:pPr>
    <w:rPr>
      <w:sz w:val="22"/>
      <w:szCs w:val="22"/>
      <w:lang w:val="en-AU"/>
    </w:rPr>
  </w:style>
  <w:style w:type="paragraph" w:styleId="Heading1">
    <w:name w:val="heading 1"/>
    <w:basedOn w:val="Normal"/>
    <w:next w:val="Normal"/>
    <w:link w:val="Heading1Char"/>
    <w:uiPriority w:val="9"/>
    <w:qFormat/>
    <w:rsid w:val="009414EC"/>
    <w:pPr>
      <w:keepNext/>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unhideWhenUsed/>
    <w:qFormat/>
    <w:rsid w:val="001B552D"/>
    <w:pPr>
      <w:keepLines/>
      <w:spacing w:after="200" w:line="300" w:lineRule="exact"/>
      <w:outlineLvl w:val="1"/>
    </w:pPr>
    <w:rPr>
      <w:rFonts w:eastAsia="Calibri" w:cs="Times New Roman"/>
      <w:color w:val="365F91"/>
      <w:spacing w:val="10"/>
      <w:sz w:val="32"/>
      <w:szCs w:val="32"/>
      <w:lang w:val="en-US"/>
    </w:rPr>
  </w:style>
  <w:style w:type="paragraph" w:styleId="Heading3">
    <w:name w:val="heading 3"/>
    <w:basedOn w:val="Normal"/>
    <w:next w:val="Normal"/>
    <w:link w:val="Heading3Char"/>
    <w:uiPriority w:val="9"/>
    <w:unhideWhenUsed/>
    <w:qFormat/>
    <w:rsid w:val="00594933"/>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594933"/>
    <w:pPr>
      <w:keepNext/>
      <w:spacing w:before="240" w:after="60"/>
      <w:outlineLvl w:val="3"/>
    </w:pPr>
    <w:rPr>
      <w:rFonts w:eastAsia="Times New Roman" w:cs="Calibri"/>
      <w:b/>
      <w:bCs/>
      <w:color w:val="4F81BD"/>
      <w:sz w:val="24"/>
      <w:szCs w:val="24"/>
    </w:rPr>
  </w:style>
  <w:style w:type="paragraph" w:styleId="Heading5">
    <w:name w:val="heading 5"/>
    <w:basedOn w:val="Normal"/>
    <w:next w:val="Normal"/>
    <w:link w:val="Heading5Char"/>
    <w:uiPriority w:val="9"/>
    <w:unhideWhenUsed/>
    <w:qFormat/>
    <w:rsid w:val="003921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4CA1"/>
    <w:rPr>
      <w:rFonts w:eastAsia="MS Mincho" w:cs="Arial"/>
      <w:sz w:val="22"/>
      <w:szCs w:val="22"/>
      <w:lang w:eastAsia="ja-JP"/>
    </w:rPr>
  </w:style>
  <w:style w:type="character" w:customStyle="1" w:styleId="NoSpacingChar">
    <w:name w:val="No Spacing Char"/>
    <w:link w:val="NoSpacing"/>
    <w:uiPriority w:val="1"/>
    <w:rsid w:val="00954CA1"/>
    <w:rPr>
      <w:rFonts w:eastAsia="MS Mincho" w:cs="Arial"/>
      <w:sz w:val="22"/>
      <w:szCs w:val="22"/>
      <w:lang w:val="en-US" w:eastAsia="ja-JP"/>
    </w:rPr>
  </w:style>
  <w:style w:type="paragraph" w:styleId="BalloonText">
    <w:name w:val="Balloon Text"/>
    <w:basedOn w:val="Normal"/>
    <w:link w:val="BalloonTextChar"/>
    <w:uiPriority w:val="99"/>
    <w:semiHidden/>
    <w:unhideWhenUsed/>
    <w:rsid w:val="00954C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4CA1"/>
    <w:rPr>
      <w:rFonts w:ascii="Tahoma" w:hAnsi="Tahoma" w:cs="Tahoma"/>
      <w:sz w:val="16"/>
      <w:szCs w:val="16"/>
      <w:lang w:eastAsia="en-US"/>
    </w:rPr>
  </w:style>
  <w:style w:type="paragraph" w:styleId="Title">
    <w:name w:val="Title"/>
    <w:basedOn w:val="Normal"/>
    <w:next w:val="Normal"/>
    <w:link w:val="TitleChar"/>
    <w:uiPriority w:val="10"/>
    <w:qFormat/>
    <w:rsid w:val="00954CA1"/>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954CA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954CA1"/>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954CA1"/>
    <w:rPr>
      <w:rFonts w:ascii="Cambria" w:eastAsia="MS Gothic" w:hAnsi="Cambria"/>
      <w:i/>
      <w:iCs/>
      <w:color w:val="4F81BD"/>
      <w:spacing w:val="15"/>
      <w:sz w:val="24"/>
      <w:szCs w:val="24"/>
      <w:lang w:val="en-US" w:eastAsia="ja-JP"/>
    </w:rPr>
  </w:style>
  <w:style w:type="character" w:styleId="Hyperlink">
    <w:name w:val="Hyperlink"/>
    <w:uiPriority w:val="99"/>
    <w:unhideWhenUsed/>
    <w:rsid w:val="009D0CDA"/>
    <w:rPr>
      <w:color w:val="0000FF"/>
      <w:u w:val="single"/>
    </w:rPr>
  </w:style>
  <w:style w:type="character" w:customStyle="1" w:styleId="Heading1Char">
    <w:name w:val="Heading 1 Char"/>
    <w:link w:val="Heading1"/>
    <w:uiPriority w:val="9"/>
    <w:rsid w:val="009414EC"/>
    <w:rPr>
      <w:rFonts w:eastAsia="Times New Roman" w:cs="Calibri"/>
      <w:bCs/>
      <w:color w:val="244061"/>
      <w:kern w:val="32"/>
      <w:sz w:val="52"/>
      <w:szCs w:val="52"/>
      <w:lang w:val="en-AU"/>
    </w:rPr>
  </w:style>
  <w:style w:type="paragraph" w:styleId="TOC1">
    <w:name w:val="toc 1"/>
    <w:basedOn w:val="Normal"/>
    <w:next w:val="Normal"/>
    <w:autoRedefine/>
    <w:uiPriority w:val="39"/>
    <w:unhideWhenUsed/>
    <w:qFormat/>
    <w:rsid w:val="0002340F"/>
    <w:pPr>
      <w:tabs>
        <w:tab w:val="right" w:pos="9016"/>
      </w:tabs>
      <w:spacing w:before="360" w:after="0"/>
    </w:pPr>
    <w:rPr>
      <w:rFonts w:asciiTheme="majorHAnsi" w:hAnsiTheme="majorHAnsi" w:cstheme="majorHAnsi"/>
      <w:b/>
      <w:bCs/>
      <w:caps/>
      <w:sz w:val="24"/>
      <w:szCs w:val="24"/>
    </w:rPr>
  </w:style>
  <w:style w:type="paragraph" w:styleId="TOCHeading">
    <w:name w:val="TOC Heading"/>
    <w:basedOn w:val="Heading1"/>
    <w:next w:val="Normal"/>
    <w:uiPriority w:val="39"/>
    <w:unhideWhenUsed/>
    <w:qFormat/>
    <w:rsid w:val="00926552"/>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926552"/>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qFormat/>
    <w:rsid w:val="00926552"/>
    <w:pPr>
      <w:spacing w:after="0"/>
      <w:ind w:left="220"/>
    </w:pPr>
    <w:rPr>
      <w:rFonts w:asciiTheme="minorHAnsi" w:hAnsiTheme="minorHAnsi" w:cstheme="minorHAnsi"/>
      <w:sz w:val="20"/>
      <w:szCs w:val="20"/>
    </w:rPr>
  </w:style>
  <w:style w:type="paragraph" w:styleId="Header">
    <w:name w:val="header"/>
    <w:basedOn w:val="Normal"/>
    <w:link w:val="HeaderChar"/>
    <w:uiPriority w:val="99"/>
    <w:unhideWhenUsed/>
    <w:rsid w:val="000D3F93"/>
    <w:pPr>
      <w:tabs>
        <w:tab w:val="center" w:pos="4513"/>
        <w:tab w:val="right" w:pos="9026"/>
      </w:tabs>
    </w:pPr>
  </w:style>
  <w:style w:type="character" w:customStyle="1" w:styleId="HeaderChar">
    <w:name w:val="Header Char"/>
    <w:link w:val="Header"/>
    <w:uiPriority w:val="99"/>
    <w:rsid w:val="000D3F93"/>
    <w:rPr>
      <w:sz w:val="22"/>
      <w:szCs w:val="22"/>
      <w:lang w:eastAsia="en-US"/>
    </w:rPr>
  </w:style>
  <w:style w:type="paragraph" w:styleId="Footer">
    <w:name w:val="footer"/>
    <w:basedOn w:val="Normal"/>
    <w:link w:val="FooterChar"/>
    <w:uiPriority w:val="99"/>
    <w:unhideWhenUsed/>
    <w:rsid w:val="000D3F93"/>
    <w:pPr>
      <w:tabs>
        <w:tab w:val="center" w:pos="4513"/>
        <w:tab w:val="right" w:pos="9026"/>
      </w:tabs>
    </w:pPr>
  </w:style>
  <w:style w:type="character" w:customStyle="1" w:styleId="FooterChar">
    <w:name w:val="Footer Char"/>
    <w:link w:val="Footer"/>
    <w:uiPriority w:val="99"/>
    <w:rsid w:val="000D3F93"/>
    <w:rPr>
      <w:sz w:val="22"/>
      <w:szCs w:val="22"/>
      <w:lang w:eastAsia="en-US"/>
    </w:rPr>
  </w:style>
  <w:style w:type="character" w:customStyle="1" w:styleId="Heading2Char">
    <w:name w:val="Heading 2 Char"/>
    <w:link w:val="Heading2"/>
    <w:rsid w:val="001B552D"/>
    <w:rPr>
      <w:b/>
      <w:bCs/>
      <w:color w:val="365F91"/>
      <w:spacing w:val="10"/>
      <w:sz w:val="32"/>
      <w:szCs w:val="32"/>
    </w:rPr>
  </w:style>
  <w:style w:type="character" w:customStyle="1" w:styleId="Heading3Char">
    <w:name w:val="Heading 3 Char"/>
    <w:link w:val="Heading3"/>
    <w:uiPriority w:val="9"/>
    <w:rsid w:val="00594933"/>
    <w:rPr>
      <w:rFonts w:eastAsia="Times New Roman" w:cs="Calibri"/>
      <w:b/>
      <w:bCs/>
      <w:color w:val="4F81BD"/>
      <w:sz w:val="28"/>
      <w:szCs w:val="28"/>
      <w:lang w:eastAsia="ja-JP"/>
    </w:rPr>
  </w:style>
  <w:style w:type="character" w:customStyle="1" w:styleId="Heading4Char">
    <w:name w:val="Heading 4 Char"/>
    <w:link w:val="Heading4"/>
    <w:uiPriority w:val="9"/>
    <w:rsid w:val="00594933"/>
    <w:rPr>
      <w:rFonts w:eastAsia="Times New Roman" w:cs="Calibri"/>
      <w:b/>
      <w:bCs/>
      <w:color w:val="4F81BD"/>
      <w:sz w:val="24"/>
      <w:szCs w:val="24"/>
      <w:lang w:val="en-AU"/>
    </w:rPr>
  </w:style>
  <w:style w:type="paragraph" w:styleId="TOC4">
    <w:name w:val="toc 4"/>
    <w:basedOn w:val="Normal"/>
    <w:next w:val="Normal"/>
    <w:autoRedefine/>
    <w:uiPriority w:val="39"/>
    <w:unhideWhenUsed/>
    <w:rsid w:val="00617AE2"/>
    <w:pPr>
      <w:spacing w:after="0"/>
      <w:ind w:left="440"/>
    </w:pPr>
    <w:rPr>
      <w:rFonts w:asciiTheme="minorHAnsi" w:hAnsiTheme="minorHAnsi" w:cstheme="minorHAnsi"/>
      <w:sz w:val="20"/>
      <w:szCs w:val="20"/>
    </w:rPr>
  </w:style>
  <w:style w:type="character" w:styleId="CommentReference">
    <w:name w:val="annotation reference"/>
    <w:uiPriority w:val="99"/>
    <w:semiHidden/>
    <w:unhideWhenUsed/>
    <w:rsid w:val="004822C2"/>
    <w:rPr>
      <w:sz w:val="16"/>
      <w:szCs w:val="16"/>
    </w:rPr>
  </w:style>
  <w:style w:type="paragraph" w:styleId="CommentText">
    <w:name w:val="annotation text"/>
    <w:basedOn w:val="Normal"/>
    <w:link w:val="CommentTextChar"/>
    <w:uiPriority w:val="99"/>
    <w:unhideWhenUsed/>
    <w:rsid w:val="004822C2"/>
    <w:rPr>
      <w:sz w:val="20"/>
      <w:szCs w:val="20"/>
    </w:rPr>
  </w:style>
  <w:style w:type="character" w:customStyle="1" w:styleId="CommentTextChar">
    <w:name w:val="Comment Text Char"/>
    <w:link w:val="CommentText"/>
    <w:uiPriority w:val="99"/>
    <w:rsid w:val="004822C2"/>
    <w:rPr>
      <w:lang w:eastAsia="en-US"/>
    </w:rPr>
  </w:style>
  <w:style w:type="paragraph" w:styleId="CommentSubject">
    <w:name w:val="annotation subject"/>
    <w:basedOn w:val="CommentText"/>
    <w:next w:val="CommentText"/>
    <w:link w:val="CommentSubjectChar"/>
    <w:uiPriority w:val="99"/>
    <w:semiHidden/>
    <w:unhideWhenUsed/>
    <w:rsid w:val="004822C2"/>
    <w:rPr>
      <w:b/>
      <w:bCs/>
    </w:rPr>
  </w:style>
  <w:style w:type="character" w:customStyle="1" w:styleId="CommentSubjectChar">
    <w:name w:val="Comment Subject Char"/>
    <w:link w:val="CommentSubject"/>
    <w:uiPriority w:val="99"/>
    <w:semiHidden/>
    <w:rsid w:val="004822C2"/>
    <w:rPr>
      <w:b/>
      <w:bCs/>
      <w:lang w:eastAsia="en-US"/>
    </w:rPr>
  </w:style>
  <w:style w:type="character" w:styleId="IntenseEmphasis">
    <w:name w:val="Intense Emphasis"/>
    <w:uiPriority w:val="21"/>
    <w:qFormat/>
    <w:rsid w:val="004822C2"/>
    <w:rPr>
      <w:b/>
      <w:bCs/>
      <w:i/>
      <w:iCs/>
      <w:color w:val="4F81BD"/>
    </w:rPr>
  </w:style>
  <w:style w:type="paragraph" w:customStyle="1" w:styleId="Glossary">
    <w:name w:val="Glossary"/>
    <w:basedOn w:val="NoSpacing"/>
    <w:link w:val="GlossaryChar"/>
    <w:qFormat/>
    <w:rsid w:val="00440694"/>
    <w:pPr>
      <w:ind w:left="993" w:hanging="993"/>
    </w:pPr>
  </w:style>
  <w:style w:type="paragraph" w:customStyle="1" w:styleId="Title1">
    <w:name w:val="Title1"/>
    <w:next w:val="Normal"/>
    <w:link w:val="TITLEChar0"/>
    <w:qFormat/>
    <w:rsid w:val="00824A9E"/>
    <w:pPr>
      <w:spacing w:after="120" w:line="840" w:lineRule="exact"/>
    </w:pPr>
    <w:rPr>
      <w:rFonts w:ascii="Arial" w:hAnsi="Arial" w:cs="Calibri"/>
      <w:noProof/>
      <w:color w:val="000000"/>
      <w:spacing w:val="10"/>
      <w:sz w:val="72"/>
      <w:szCs w:val="84"/>
    </w:rPr>
  </w:style>
  <w:style w:type="character" w:customStyle="1" w:styleId="GlossaryChar">
    <w:name w:val="Glossary Char"/>
    <w:basedOn w:val="NoSpacingChar"/>
    <w:link w:val="Glossary"/>
    <w:rsid w:val="00440694"/>
    <w:rPr>
      <w:rFonts w:eastAsia="MS Mincho" w:cs="Arial"/>
      <w:sz w:val="22"/>
      <w:szCs w:val="22"/>
      <w:lang w:val="en-US" w:eastAsia="ja-JP"/>
    </w:rPr>
  </w:style>
  <w:style w:type="character" w:customStyle="1" w:styleId="TITLEChar0">
    <w:name w:val="TITLE Char"/>
    <w:link w:val="Title1"/>
    <w:rsid w:val="00824A9E"/>
    <w:rPr>
      <w:rFonts w:ascii="Arial" w:hAnsi="Arial" w:cs="Calibri"/>
      <w:noProof/>
      <w:color w:val="000000"/>
      <w:spacing w:val="10"/>
      <w:sz w:val="72"/>
      <w:szCs w:val="84"/>
    </w:rPr>
  </w:style>
  <w:style w:type="paragraph" w:customStyle="1" w:styleId="TITLE2">
    <w:name w:val="TITLE 2"/>
    <w:basedOn w:val="Normal"/>
    <w:rsid w:val="00824A9E"/>
    <w:pPr>
      <w:spacing w:line="520" w:lineRule="exact"/>
      <w:ind w:left="-7"/>
      <w:jc w:val="center"/>
    </w:pPr>
    <w:rPr>
      <w:spacing w:val="7"/>
      <w:sz w:val="40"/>
      <w:szCs w:val="42"/>
      <w:lang w:val="en-US"/>
    </w:rPr>
  </w:style>
  <w:style w:type="paragraph" w:styleId="FootnoteText">
    <w:name w:val="footnote text"/>
    <w:aliases w:val="Footnote Text Char2 Char,Footnote Text Char1 Char Char2,Footnote Text Char Char Char Char2,Footnote Text Char2 Char Char Char Char1,Footnote Text Char1 Char Char Char Char Char1,Footnote Text Char2,Footnote Text Char Char Char,Footnotes"/>
    <w:basedOn w:val="Normal"/>
    <w:link w:val="FootnoteTextChar"/>
    <w:autoRedefine/>
    <w:uiPriority w:val="99"/>
    <w:unhideWhenUsed/>
    <w:qFormat/>
    <w:rsid w:val="005D723B"/>
    <w:pPr>
      <w:spacing w:after="0" w:line="240" w:lineRule="auto"/>
    </w:pPr>
    <w:rPr>
      <w:rFonts w:asciiTheme="minorHAnsi" w:eastAsia="MS Mincho" w:hAnsiTheme="minorHAnsi" w:cstheme="minorHAnsi"/>
      <w:lang w:eastAsia="en-AU"/>
    </w:rPr>
  </w:style>
  <w:style w:type="character" w:customStyle="1" w:styleId="FootnoteTextChar">
    <w:name w:val="Footnote Text Char"/>
    <w:aliases w:val="Footnote Text Char2 Char Char,Footnote Text Char1 Char Char2 Char,Footnote Text Char Char Char Char2 Char,Footnote Text Char2 Char Char Char Char1 Char,Footnote Text Char1 Char Char Char Char Char1 Char,Footnote Text Char2 Char1"/>
    <w:link w:val="FootnoteText"/>
    <w:uiPriority w:val="99"/>
    <w:rsid w:val="005D723B"/>
    <w:rPr>
      <w:rFonts w:asciiTheme="minorHAnsi" w:eastAsia="MS Mincho" w:hAnsiTheme="minorHAnsi" w:cstheme="minorHAnsi"/>
      <w:sz w:val="22"/>
      <w:szCs w:val="22"/>
      <w:lang w:val="en-AU" w:eastAsia="en-AU"/>
    </w:rPr>
  </w:style>
  <w:style w:type="character" w:styleId="FootnoteReference">
    <w:name w:val="footnote reference"/>
    <w:aliases w:val="Footnotemark,FR,Footnotemark1,Footnotemark2,FR1,Footnotemark3,FR2,Footnotemark4,FR3,Footnotemark5,FR4,Footnotemark6,Footnotemark7,Footnotemark8,FR5,Footnotemark11,Footnotemark21,FR11,Footnotemark31,FR21,Footnotemark41,FR31,FR41,FR6"/>
    <w:uiPriority w:val="99"/>
    <w:unhideWhenUsed/>
    <w:qFormat/>
    <w:rsid w:val="00A555FF"/>
    <w:rPr>
      <w:vertAlign w:val="superscript"/>
    </w:rPr>
  </w:style>
  <w:style w:type="paragraph" w:styleId="Caption">
    <w:name w:val="caption"/>
    <w:basedOn w:val="Normal"/>
    <w:next w:val="Normal"/>
    <w:uiPriority w:val="35"/>
    <w:unhideWhenUsed/>
    <w:qFormat/>
    <w:rsid w:val="00A555FF"/>
    <w:pPr>
      <w:spacing w:after="120" w:line="288" w:lineRule="auto"/>
    </w:pPr>
    <w:rPr>
      <w:rFonts w:ascii="Arial" w:eastAsia="Cambria" w:hAnsi="Arial" w:cs="Cambria"/>
      <w:b/>
      <w:bCs/>
      <w:sz w:val="20"/>
      <w:szCs w:val="20"/>
      <w:lang w:eastAsia="en-AU"/>
    </w:rPr>
  </w:style>
  <w:style w:type="table" w:styleId="LightList-Accent1">
    <w:name w:val="Light List Accent 1"/>
    <w:basedOn w:val="TableNormal"/>
    <w:uiPriority w:val="61"/>
    <w:rsid w:val="00807AD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link w:val="ListParagraphChar"/>
    <w:uiPriority w:val="34"/>
    <w:qFormat/>
    <w:rsid w:val="006904D8"/>
    <w:pPr>
      <w:spacing w:after="0" w:line="240" w:lineRule="auto"/>
      <w:ind w:left="720"/>
      <w:contextualSpacing/>
    </w:pPr>
    <w:rPr>
      <w:rFonts w:ascii="Cambria" w:eastAsia="Cambria" w:hAnsi="Cambria"/>
      <w:sz w:val="24"/>
      <w:szCs w:val="24"/>
      <w:lang w:val="en-US"/>
    </w:rPr>
  </w:style>
  <w:style w:type="character" w:customStyle="1" w:styleId="ListParagraphChar">
    <w:name w:val="List Paragraph Char"/>
    <w:basedOn w:val="DefaultParagraphFont"/>
    <w:link w:val="ListParagraph"/>
    <w:uiPriority w:val="34"/>
    <w:rsid w:val="006904D8"/>
    <w:rPr>
      <w:rFonts w:ascii="Cambria" w:eastAsia="Cambria" w:hAnsi="Cambria"/>
      <w:sz w:val="24"/>
      <w:szCs w:val="24"/>
    </w:rPr>
  </w:style>
  <w:style w:type="paragraph" w:customStyle="1" w:styleId="Foornote6">
    <w:name w:val="Foornote+6"/>
    <w:basedOn w:val="FootnoteText"/>
    <w:qFormat/>
    <w:rsid w:val="006904D8"/>
    <w:pPr>
      <w:tabs>
        <w:tab w:val="left" w:pos="170"/>
      </w:tabs>
      <w:ind w:left="198" w:hanging="198"/>
    </w:pPr>
    <w:rPr>
      <w:rFonts w:ascii="Times New Roman" w:hAnsi="Times New Roman"/>
      <w:szCs w:val="20"/>
      <w:lang w:eastAsia="en-US"/>
    </w:rPr>
  </w:style>
  <w:style w:type="paragraph" w:customStyle="1" w:styleId="Footnote18">
    <w:name w:val="Footnote+18"/>
    <w:basedOn w:val="Foornote6"/>
    <w:qFormat/>
    <w:rsid w:val="006904D8"/>
    <w:pPr>
      <w:spacing w:after="360"/>
    </w:pPr>
  </w:style>
  <w:style w:type="character" w:customStyle="1" w:styleId="starpage">
    <w:name w:val="starpage"/>
    <w:basedOn w:val="DefaultParagraphFont"/>
    <w:semiHidden/>
    <w:unhideWhenUsed/>
    <w:rsid w:val="006904D8"/>
  </w:style>
  <w:style w:type="character" w:styleId="Emphasis">
    <w:name w:val="Emphasis"/>
    <w:basedOn w:val="DefaultParagraphFont"/>
    <w:uiPriority w:val="20"/>
    <w:qFormat/>
    <w:rsid w:val="006904D8"/>
    <w:rPr>
      <w:i/>
      <w:iCs/>
    </w:rPr>
  </w:style>
  <w:style w:type="character" w:customStyle="1" w:styleId="Body">
    <w:name w:val="*Body"/>
    <w:rsid w:val="006904D8"/>
    <w:rPr>
      <w:rFonts w:ascii="Stone Serif" w:hAnsi="Stone Serif"/>
      <w:sz w:val="18"/>
    </w:rPr>
  </w:style>
  <w:style w:type="character" w:customStyle="1" w:styleId="Heading5Char">
    <w:name w:val="Heading 5 Char"/>
    <w:basedOn w:val="DefaultParagraphFont"/>
    <w:link w:val="Heading5"/>
    <w:uiPriority w:val="9"/>
    <w:rsid w:val="003921A9"/>
    <w:rPr>
      <w:rFonts w:asciiTheme="majorHAnsi" w:eastAsiaTheme="majorEastAsia" w:hAnsiTheme="majorHAnsi" w:cstheme="majorBidi"/>
      <w:color w:val="2F5496" w:themeColor="accent1" w:themeShade="BF"/>
      <w:sz w:val="22"/>
      <w:szCs w:val="22"/>
      <w:lang w:val="en-AU"/>
    </w:rPr>
  </w:style>
  <w:style w:type="character" w:customStyle="1" w:styleId="UnresolvedMention1">
    <w:name w:val="Unresolved Mention1"/>
    <w:basedOn w:val="DefaultParagraphFont"/>
    <w:uiPriority w:val="99"/>
    <w:rsid w:val="0082352C"/>
    <w:rPr>
      <w:color w:val="808080"/>
      <w:shd w:val="clear" w:color="auto" w:fill="E6E6E6"/>
    </w:rPr>
  </w:style>
  <w:style w:type="paragraph" w:styleId="Revision">
    <w:name w:val="Revision"/>
    <w:hidden/>
    <w:uiPriority w:val="99"/>
    <w:semiHidden/>
    <w:rsid w:val="00FF402C"/>
    <w:rPr>
      <w:sz w:val="22"/>
      <w:szCs w:val="22"/>
      <w:lang w:val="en-AU"/>
    </w:rPr>
  </w:style>
  <w:style w:type="paragraph" w:styleId="TOC5">
    <w:name w:val="toc 5"/>
    <w:basedOn w:val="Normal"/>
    <w:next w:val="Normal"/>
    <w:autoRedefine/>
    <w:uiPriority w:val="39"/>
    <w:unhideWhenUsed/>
    <w:rsid w:val="009F5A9C"/>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9F5A9C"/>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9F5A9C"/>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9F5A9C"/>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9F5A9C"/>
    <w:pPr>
      <w:spacing w:after="0"/>
      <w:ind w:left="1540"/>
    </w:pPr>
    <w:rPr>
      <w:rFonts w:asciiTheme="minorHAnsi" w:hAnsiTheme="minorHAnsi" w:cstheme="minorHAnsi"/>
      <w:sz w:val="20"/>
      <w:szCs w:val="20"/>
    </w:rPr>
  </w:style>
  <w:style w:type="paragraph" w:styleId="Quote">
    <w:name w:val="Quote"/>
    <w:basedOn w:val="Normal"/>
    <w:next w:val="Normal"/>
    <w:link w:val="QuoteChar"/>
    <w:uiPriority w:val="29"/>
    <w:qFormat/>
    <w:rsid w:val="000A593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5931"/>
    <w:rPr>
      <w:i/>
      <w:iCs/>
      <w:color w:val="404040" w:themeColor="text1" w:themeTint="BF"/>
      <w:sz w:val="22"/>
      <w:szCs w:val="22"/>
      <w:lang w:val="en-AU"/>
    </w:rPr>
  </w:style>
  <w:style w:type="paragraph" w:styleId="NormalWeb">
    <w:name w:val="Normal (Web)"/>
    <w:basedOn w:val="Normal"/>
    <w:uiPriority w:val="99"/>
    <w:unhideWhenUsed/>
    <w:rsid w:val="00902961"/>
    <w:pPr>
      <w:spacing w:before="100" w:beforeAutospacing="1" w:after="100" w:afterAutospacing="1" w:line="240" w:lineRule="auto"/>
    </w:pPr>
    <w:rPr>
      <w:rFonts w:ascii="Times New Roman" w:eastAsia="Times New Roman" w:hAnsi="Times New Roman"/>
      <w:sz w:val="24"/>
      <w:szCs w:val="24"/>
      <w:lang w:eastAsia="en-AU"/>
    </w:rPr>
  </w:style>
  <w:style w:type="table" w:styleId="TableGrid">
    <w:name w:val="Table Grid"/>
    <w:basedOn w:val="TableNormal"/>
    <w:uiPriority w:val="59"/>
    <w:rsid w:val="0043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E63F32"/>
    <w:rPr>
      <w:color w:val="808080"/>
      <w:shd w:val="clear" w:color="auto" w:fill="E6E6E6"/>
    </w:rPr>
  </w:style>
  <w:style w:type="table" w:styleId="PlainTable4">
    <w:name w:val="Plain Table 4"/>
    <w:basedOn w:val="TableNormal"/>
    <w:uiPriority w:val="44"/>
    <w:rsid w:val="0066110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CC63DC"/>
    <w:rPr>
      <w:color w:val="954F72" w:themeColor="followedHyperlink"/>
      <w:u w:val="single"/>
    </w:rPr>
  </w:style>
  <w:style w:type="paragraph" w:customStyle="1" w:styleId="Footnote">
    <w:name w:val="Footnote"/>
    <w:basedOn w:val="Normal"/>
    <w:uiPriority w:val="99"/>
    <w:rsid w:val="006840B0"/>
    <w:pPr>
      <w:widowControl w:val="0"/>
      <w:tabs>
        <w:tab w:val="left" w:pos="737"/>
        <w:tab w:val="left" w:pos="1020"/>
      </w:tabs>
      <w:autoSpaceDE w:val="0"/>
      <w:autoSpaceDN w:val="0"/>
      <w:adjustRightInd w:val="0"/>
      <w:spacing w:after="0" w:line="240" w:lineRule="auto"/>
      <w:ind w:left="737" w:hanging="283"/>
      <w:jc w:val="both"/>
    </w:pPr>
    <w:rPr>
      <w:rFonts w:ascii="Bembo" w:eastAsia="Times New Roman" w:hAnsi="Bembo"/>
      <w:sz w:val="24"/>
      <w:szCs w:val="24"/>
      <w:lang w:val="en-US" w:eastAsia="en-GB"/>
    </w:rPr>
  </w:style>
  <w:style w:type="paragraph" w:customStyle="1" w:styleId="Textnext">
    <w:name w:val="Textnext"/>
    <w:basedOn w:val="Normal"/>
    <w:uiPriority w:val="99"/>
    <w:rsid w:val="006840B0"/>
    <w:pPr>
      <w:widowControl w:val="0"/>
      <w:autoSpaceDE w:val="0"/>
      <w:autoSpaceDN w:val="0"/>
      <w:adjustRightInd w:val="0"/>
      <w:spacing w:after="0" w:line="240" w:lineRule="auto"/>
      <w:jc w:val="both"/>
    </w:pPr>
    <w:rPr>
      <w:rFonts w:ascii="Bembo" w:eastAsia="Times New Roman" w:hAnsi="Bembo"/>
      <w:sz w:val="24"/>
      <w:szCs w:val="24"/>
      <w:lang w:val="en-US" w:eastAsia="en-GB"/>
    </w:rPr>
  </w:style>
  <w:style w:type="character" w:customStyle="1" w:styleId="Bold">
    <w:name w:val="Bold"/>
    <w:uiPriority w:val="99"/>
    <w:rsid w:val="0068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38062">
      <w:bodyDiv w:val="1"/>
      <w:marLeft w:val="0"/>
      <w:marRight w:val="0"/>
      <w:marTop w:val="0"/>
      <w:marBottom w:val="0"/>
      <w:divBdr>
        <w:top w:val="none" w:sz="0" w:space="0" w:color="auto"/>
        <w:left w:val="none" w:sz="0" w:space="0" w:color="auto"/>
        <w:bottom w:val="none" w:sz="0" w:space="0" w:color="auto"/>
        <w:right w:val="none" w:sz="0" w:space="0" w:color="auto"/>
      </w:divBdr>
    </w:div>
    <w:div w:id="358969426">
      <w:bodyDiv w:val="1"/>
      <w:marLeft w:val="0"/>
      <w:marRight w:val="0"/>
      <w:marTop w:val="0"/>
      <w:marBottom w:val="0"/>
      <w:divBdr>
        <w:top w:val="none" w:sz="0" w:space="0" w:color="auto"/>
        <w:left w:val="none" w:sz="0" w:space="0" w:color="auto"/>
        <w:bottom w:val="none" w:sz="0" w:space="0" w:color="auto"/>
        <w:right w:val="none" w:sz="0" w:space="0" w:color="auto"/>
      </w:divBdr>
    </w:div>
    <w:div w:id="450056727">
      <w:bodyDiv w:val="1"/>
      <w:marLeft w:val="0"/>
      <w:marRight w:val="0"/>
      <w:marTop w:val="0"/>
      <w:marBottom w:val="0"/>
      <w:divBdr>
        <w:top w:val="none" w:sz="0" w:space="0" w:color="auto"/>
        <w:left w:val="none" w:sz="0" w:space="0" w:color="auto"/>
        <w:bottom w:val="none" w:sz="0" w:space="0" w:color="auto"/>
        <w:right w:val="none" w:sz="0" w:space="0" w:color="auto"/>
      </w:divBdr>
    </w:div>
    <w:div w:id="828331448">
      <w:bodyDiv w:val="1"/>
      <w:marLeft w:val="0"/>
      <w:marRight w:val="0"/>
      <w:marTop w:val="0"/>
      <w:marBottom w:val="0"/>
      <w:divBdr>
        <w:top w:val="none" w:sz="0" w:space="0" w:color="auto"/>
        <w:left w:val="none" w:sz="0" w:space="0" w:color="auto"/>
        <w:bottom w:val="none" w:sz="0" w:space="0" w:color="auto"/>
        <w:right w:val="none" w:sz="0" w:space="0" w:color="auto"/>
      </w:divBdr>
    </w:div>
    <w:div w:id="995105366">
      <w:bodyDiv w:val="1"/>
      <w:marLeft w:val="0"/>
      <w:marRight w:val="0"/>
      <w:marTop w:val="0"/>
      <w:marBottom w:val="0"/>
      <w:divBdr>
        <w:top w:val="none" w:sz="0" w:space="0" w:color="auto"/>
        <w:left w:val="none" w:sz="0" w:space="0" w:color="auto"/>
        <w:bottom w:val="none" w:sz="0" w:space="0" w:color="auto"/>
        <w:right w:val="none" w:sz="0" w:space="0" w:color="auto"/>
      </w:divBdr>
    </w:div>
    <w:div w:id="1525627834">
      <w:bodyDiv w:val="1"/>
      <w:marLeft w:val="0"/>
      <w:marRight w:val="0"/>
      <w:marTop w:val="0"/>
      <w:marBottom w:val="0"/>
      <w:divBdr>
        <w:top w:val="none" w:sz="0" w:space="0" w:color="auto"/>
        <w:left w:val="none" w:sz="0" w:space="0" w:color="auto"/>
        <w:bottom w:val="none" w:sz="0" w:space="0" w:color="auto"/>
        <w:right w:val="none" w:sz="0" w:space="0" w:color="auto"/>
      </w:divBdr>
    </w:div>
    <w:div w:id="1572547685">
      <w:bodyDiv w:val="1"/>
      <w:marLeft w:val="0"/>
      <w:marRight w:val="0"/>
      <w:marTop w:val="0"/>
      <w:marBottom w:val="0"/>
      <w:divBdr>
        <w:top w:val="none" w:sz="0" w:space="0" w:color="auto"/>
        <w:left w:val="none" w:sz="0" w:space="0" w:color="auto"/>
        <w:bottom w:val="none" w:sz="0" w:space="0" w:color="auto"/>
        <w:right w:val="none" w:sz="0" w:space="0" w:color="auto"/>
      </w:divBdr>
    </w:div>
    <w:div w:id="1579827461">
      <w:bodyDiv w:val="1"/>
      <w:marLeft w:val="0"/>
      <w:marRight w:val="0"/>
      <w:marTop w:val="0"/>
      <w:marBottom w:val="0"/>
      <w:divBdr>
        <w:top w:val="none" w:sz="0" w:space="0" w:color="auto"/>
        <w:left w:val="none" w:sz="0" w:space="0" w:color="auto"/>
        <w:bottom w:val="none" w:sz="0" w:space="0" w:color="auto"/>
        <w:right w:val="none" w:sz="0" w:space="0" w:color="auto"/>
      </w:divBdr>
    </w:div>
    <w:div w:id="1605764224">
      <w:bodyDiv w:val="1"/>
      <w:marLeft w:val="0"/>
      <w:marRight w:val="0"/>
      <w:marTop w:val="0"/>
      <w:marBottom w:val="0"/>
      <w:divBdr>
        <w:top w:val="none" w:sz="0" w:space="0" w:color="auto"/>
        <w:left w:val="none" w:sz="0" w:space="0" w:color="auto"/>
        <w:bottom w:val="none" w:sz="0" w:space="0" w:color="auto"/>
        <w:right w:val="none" w:sz="0" w:space="0" w:color="auto"/>
      </w:divBdr>
    </w:div>
    <w:div w:id="1755514634">
      <w:bodyDiv w:val="1"/>
      <w:marLeft w:val="0"/>
      <w:marRight w:val="0"/>
      <w:marTop w:val="0"/>
      <w:marBottom w:val="0"/>
      <w:divBdr>
        <w:top w:val="none" w:sz="0" w:space="0" w:color="auto"/>
        <w:left w:val="none" w:sz="0" w:space="0" w:color="auto"/>
        <w:bottom w:val="none" w:sz="0" w:space="0" w:color="auto"/>
        <w:right w:val="none" w:sz="0" w:space="0" w:color="auto"/>
      </w:divBdr>
    </w:div>
    <w:div w:id="1782458500">
      <w:bodyDiv w:val="1"/>
      <w:marLeft w:val="0"/>
      <w:marRight w:val="0"/>
      <w:marTop w:val="0"/>
      <w:marBottom w:val="0"/>
      <w:divBdr>
        <w:top w:val="none" w:sz="0" w:space="0" w:color="auto"/>
        <w:left w:val="none" w:sz="0" w:space="0" w:color="auto"/>
        <w:bottom w:val="none" w:sz="0" w:space="0" w:color="auto"/>
        <w:right w:val="none" w:sz="0" w:space="0" w:color="auto"/>
      </w:divBdr>
    </w:div>
    <w:div w:id="1985501876">
      <w:bodyDiv w:val="1"/>
      <w:marLeft w:val="0"/>
      <w:marRight w:val="0"/>
      <w:marTop w:val="0"/>
      <w:marBottom w:val="0"/>
      <w:divBdr>
        <w:top w:val="none" w:sz="0" w:space="0" w:color="auto"/>
        <w:left w:val="none" w:sz="0" w:space="0" w:color="auto"/>
        <w:bottom w:val="none" w:sz="0" w:space="0" w:color="auto"/>
        <w:right w:val="none" w:sz="0" w:space="0" w:color="auto"/>
      </w:divBdr>
      <w:divsChild>
        <w:div w:id="882447206">
          <w:marLeft w:val="0"/>
          <w:marRight w:val="0"/>
          <w:marTop w:val="0"/>
          <w:marBottom w:val="0"/>
          <w:divBdr>
            <w:top w:val="none" w:sz="0" w:space="0" w:color="auto"/>
            <w:left w:val="none" w:sz="0" w:space="0" w:color="auto"/>
            <w:bottom w:val="none" w:sz="0" w:space="0" w:color="auto"/>
            <w:right w:val="none" w:sz="0" w:space="0" w:color="auto"/>
          </w:divBdr>
        </w:div>
        <w:div w:id="951785261">
          <w:marLeft w:val="0"/>
          <w:marRight w:val="0"/>
          <w:marTop w:val="0"/>
          <w:marBottom w:val="0"/>
          <w:divBdr>
            <w:top w:val="none" w:sz="0" w:space="0" w:color="auto"/>
            <w:left w:val="none" w:sz="0" w:space="0" w:color="auto"/>
            <w:bottom w:val="none" w:sz="0" w:space="0" w:color="auto"/>
            <w:right w:val="none" w:sz="0" w:space="0" w:color="auto"/>
          </w:divBdr>
        </w:div>
        <w:div w:id="612981902">
          <w:marLeft w:val="0"/>
          <w:marRight w:val="0"/>
          <w:marTop w:val="0"/>
          <w:marBottom w:val="0"/>
          <w:divBdr>
            <w:top w:val="none" w:sz="0" w:space="0" w:color="auto"/>
            <w:left w:val="none" w:sz="0" w:space="0" w:color="auto"/>
            <w:bottom w:val="none" w:sz="0" w:space="0" w:color="auto"/>
            <w:right w:val="none" w:sz="0" w:space="0" w:color="auto"/>
          </w:divBdr>
        </w:div>
        <w:div w:id="1436511959">
          <w:marLeft w:val="0"/>
          <w:marRight w:val="0"/>
          <w:marTop w:val="0"/>
          <w:marBottom w:val="0"/>
          <w:divBdr>
            <w:top w:val="none" w:sz="0" w:space="0" w:color="auto"/>
            <w:left w:val="none" w:sz="0" w:space="0" w:color="auto"/>
            <w:bottom w:val="none" w:sz="0" w:space="0" w:color="auto"/>
            <w:right w:val="none" w:sz="0" w:space="0" w:color="auto"/>
          </w:divBdr>
        </w:div>
        <w:div w:id="1154830722">
          <w:marLeft w:val="0"/>
          <w:marRight w:val="0"/>
          <w:marTop w:val="0"/>
          <w:marBottom w:val="0"/>
          <w:divBdr>
            <w:top w:val="none" w:sz="0" w:space="0" w:color="auto"/>
            <w:left w:val="none" w:sz="0" w:space="0" w:color="auto"/>
            <w:bottom w:val="none" w:sz="0" w:space="0" w:color="auto"/>
            <w:right w:val="none" w:sz="0" w:space="0" w:color="auto"/>
          </w:divBdr>
        </w:div>
        <w:div w:id="2042590933">
          <w:marLeft w:val="0"/>
          <w:marRight w:val="0"/>
          <w:marTop w:val="0"/>
          <w:marBottom w:val="0"/>
          <w:divBdr>
            <w:top w:val="none" w:sz="0" w:space="0" w:color="auto"/>
            <w:left w:val="none" w:sz="0" w:space="0" w:color="auto"/>
            <w:bottom w:val="none" w:sz="0" w:space="0" w:color="auto"/>
            <w:right w:val="none" w:sz="0" w:space="0" w:color="auto"/>
          </w:divBdr>
        </w:div>
        <w:div w:id="1977221939">
          <w:marLeft w:val="0"/>
          <w:marRight w:val="0"/>
          <w:marTop w:val="0"/>
          <w:marBottom w:val="0"/>
          <w:divBdr>
            <w:top w:val="none" w:sz="0" w:space="0" w:color="auto"/>
            <w:left w:val="none" w:sz="0" w:space="0" w:color="auto"/>
            <w:bottom w:val="none" w:sz="0" w:space="0" w:color="auto"/>
            <w:right w:val="none" w:sz="0" w:space="0" w:color="auto"/>
          </w:divBdr>
        </w:div>
        <w:div w:id="954871573">
          <w:marLeft w:val="0"/>
          <w:marRight w:val="0"/>
          <w:marTop w:val="0"/>
          <w:marBottom w:val="0"/>
          <w:divBdr>
            <w:top w:val="none" w:sz="0" w:space="0" w:color="auto"/>
            <w:left w:val="none" w:sz="0" w:space="0" w:color="auto"/>
            <w:bottom w:val="none" w:sz="0" w:space="0" w:color="auto"/>
            <w:right w:val="none" w:sz="0" w:space="0" w:color="auto"/>
          </w:divBdr>
        </w:div>
        <w:div w:id="1491171845">
          <w:marLeft w:val="0"/>
          <w:marRight w:val="0"/>
          <w:marTop w:val="0"/>
          <w:marBottom w:val="0"/>
          <w:divBdr>
            <w:top w:val="none" w:sz="0" w:space="0" w:color="auto"/>
            <w:left w:val="none" w:sz="0" w:space="0" w:color="auto"/>
            <w:bottom w:val="none" w:sz="0" w:space="0" w:color="auto"/>
            <w:right w:val="none" w:sz="0" w:space="0" w:color="auto"/>
          </w:divBdr>
        </w:div>
        <w:div w:id="1276015767">
          <w:marLeft w:val="0"/>
          <w:marRight w:val="0"/>
          <w:marTop w:val="0"/>
          <w:marBottom w:val="0"/>
          <w:divBdr>
            <w:top w:val="none" w:sz="0" w:space="0" w:color="auto"/>
            <w:left w:val="none" w:sz="0" w:space="0" w:color="auto"/>
            <w:bottom w:val="none" w:sz="0" w:space="0" w:color="auto"/>
            <w:right w:val="none" w:sz="0" w:space="0" w:color="auto"/>
          </w:divBdr>
        </w:div>
        <w:div w:id="1609773924">
          <w:marLeft w:val="0"/>
          <w:marRight w:val="0"/>
          <w:marTop w:val="0"/>
          <w:marBottom w:val="0"/>
          <w:divBdr>
            <w:top w:val="none" w:sz="0" w:space="0" w:color="auto"/>
            <w:left w:val="none" w:sz="0" w:space="0" w:color="auto"/>
            <w:bottom w:val="none" w:sz="0" w:space="0" w:color="auto"/>
            <w:right w:val="none" w:sz="0" w:space="0" w:color="auto"/>
          </w:divBdr>
        </w:div>
        <w:div w:id="390691849">
          <w:marLeft w:val="0"/>
          <w:marRight w:val="0"/>
          <w:marTop w:val="0"/>
          <w:marBottom w:val="0"/>
          <w:divBdr>
            <w:top w:val="none" w:sz="0" w:space="0" w:color="auto"/>
            <w:left w:val="none" w:sz="0" w:space="0" w:color="auto"/>
            <w:bottom w:val="none" w:sz="0" w:space="0" w:color="auto"/>
            <w:right w:val="none" w:sz="0" w:space="0" w:color="auto"/>
          </w:divBdr>
        </w:div>
        <w:div w:id="442696566">
          <w:marLeft w:val="0"/>
          <w:marRight w:val="0"/>
          <w:marTop w:val="0"/>
          <w:marBottom w:val="0"/>
          <w:divBdr>
            <w:top w:val="none" w:sz="0" w:space="0" w:color="auto"/>
            <w:left w:val="none" w:sz="0" w:space="0" w:color="auto"/>
            <w:bottom w:val="none" w:sz="0" w:space="0" w:color="auto"/>
            <w:right w:val="none" w:sz="0" w:space="0" w:color="auto"/>
          </w:divBdr>
        </w:div>
        <w:div w:id="1601136929">
          <w:marLeft w:val="0"/>
          <w:marRight w:val="0"/>
          <w:marTop w:val="0"/>
          <w:marBottom w:val="0"/>
          <w:divBdr>
            <w:top w:val="none" w:sz="0" w:space="0" w:color="auto"/>
            <w:left w:val="none" w:sz="0" w:space="0" w:color="auto"/>
            <w:bottom w:val="none" w:sz="0" w:space="0" w:color="auto"/>
            <w:right w:val="none" w:sz="0" w:space="0" w:color="auto"/>
          </w:divBdr>
        </w:div>
        <w:div w:id="1343048687">
          <w:marLeft w:val="0"/>
          <w:marRight w:val="0"/>
          <w:marTop w:val="0"/>
          <w:marBottom w:val="0"/>
          <w:divBdr>
            <w:top w:val="none" w:sz="0" w:space="0" w:color="auto"/>
            <w:left w:val="none" w:sz="0" w:space="0" w:color="auto"/>
            <w:bottom w:val="none" w:sz="0" w:space="0" w:color="auto"/>
            <w:right w:val="none" w:sz="0" w:space="0" w:color="auto"/>
          </w:divBdr>
        </w:div>
        <w:div w:id="1098336050">
          <w:marLeft w:val="0"/>
          <w:marRight w:val="0"/>
          <w:marTop w:val="0"/>
          <w:marBottom w:val="0"/>
          <w:divBdr>
            <w:top w:val="none" w:sz="0" w:space="0" w:color="auto"/>
            <w:left w:val="none" w:sz="0" w:space="0" w:color="auto"/>
            <w:bottom w:val="none" w:sz="0" w:space="0" w:color="auto"/>
            <w:right w:val="none" w:sz="0" w:space="0" w:color="auto"/>
          </w:divBdr>
        </w:div>
        <w:div w:id="1810825452">
          <w:marLeft w:val="0"/>
          <w:marRight w:val="0"/>
          <w:marTop w:val="0"/>
          <w:marBottom w:val="0"/>
          <w:divBdr>
            <w:top w:val="none" w:sz="0" w:space="0" w:color="auto"/>
            <w:left w:val="none" w:sz="0" w:space="0" w:color="auto"/>
            <w:bottom w:val="none" w:sz="0" w:space="0" w:color="auto"/>
            <w:right w:val="none" w:sz="0" w:space="0" w:color="auto"/>
          </w:divBdr>
        </w:div>
        <w:div w:id="2019650721">
          <w:marLeft w:val="0"/>
          <w:marRight w:val="0"/>
          <w:marTop w:val="0"/>
          <w:marBottom w:val="0"/>
          <w:divBdr>
            <w:top w:val="none" w:sz="0" w:space="0" w:color="auto"/>
            <w:left w:val="none" w:sz="0" w:space="0" w:color="auto"/>
            <w:bottom w:val="none" w:sz="0" w:space="0" w:color="auto"/>
            <w:right w:val="none" w:sz="0" w:space="0" w:color="auto"/>
          </w:divBdr>
        </w:div>
        <w:div w:id="1967851269">
          <w:marLeft w:val="0"/>
          <w:marRight w:val="0"/>
          <w:marTop w:val="0"/>
          <w:marBottom w:val="0"/>
          <w:divBdr>
            <w:top w:val="none" w:sz="0" w:space="0" w:color="auto"/>
            <w:left w:val="none" w:sz="0" w:space="0" w:color="auto"/>
            <w:bottom w:val="none" w:sz="0" w:space="0" w:color="auto"/>
            <w:right w:val="none" w:sz="0" w:space="0" w:color="auto"/>
          </w:divBdr>
        </w:div>
        <w:div w:id="1389449635">
          <w:marLeft w:val="0"/>
          <w:marRight w:val="0"/>
          <w:marTop w:val="0"/>
          <w:marBottom w:val="0"/>
          <w:divBdr>
            <w:top w:val="none" w:sz="0" w:space="0" w:color="auto"/>
            <w:left w:val="none" w:sz="0" w:space="0" w:color="auto"/>
            <w:bottom w:val="none" w:sz="0" w:space="0" w:color="auto"/>
            <w:right w:val="none" w:sz="0" w:space="0" w:color="auto"/>
          </w:divBdr>
        </w:div>
        <w:div w:id="201214185">
          <w:marLeft w:val="0"/>
          <w:marRight w:val="0"/>
          <w:marTop w:val="0"/>
          <w:marBottom w:val="0"/>
          <w:divBdr>
            <w:top w:val="none" w:sz="0" w:space="0" w:color="auto"/>
            <w:left w:val="none" w:sz="0" w:space="0" w:color="auto"/>
            <w:bottom w:val="none" w:sz="0" w:space="0" w:color="auto"/>
            <w:right w:val="none" w:sz="0" w:space="0" w:color="auto"/>
          </w:divBdr>
        </w:div>
        <w:div w:id="538857281">
          <w:marLeft w:val="0"/>
          <w:marRight w:val="0"/>
          <w:marTop w:val="0"/>
          <w:marBottom w:val="0"/>
          <w:divBdr>
            <w:top w:val="none" w:sz="0" w:space="0" w:color="auto"/>
            <w:left w:val="none" w:sz="0" w:space="0" w:color="auto"/>
            <w:bottom w:val="none" w:sz="0" w:space="0" w:color="auto"/>
            <w:right w:val="none" w:sz="0" w:space="0" w:color="auto"/>
          </w:divBdr>
        </w:div>
        <w:div w:id="333454989">
          <w:marLeft w:val="0"/>
          <w:marRight w:val="0"/>
          <w:marTop w:val="0"/>
          <w:marBottom w:val="0"/>
          <w:divBdr>
            <w:top w:val="none" w:sz="0" w:space="0" w:color="auto"/>
            <w:left w:val="none" w:sz="0" w:space="0" w:color="auto"/>
            <w:bottom w:val="none" w:sz="0" w:space="0" w:color="auto"/>
            <w:right w:val="none" w:sz="0" w:space="0" w:color="auto"/>
          </w:divBdr>
        </w:div>
        <w:div w:id="459302497">
          <w:marLeft w:val="0"/>
          <w:marRight w:val="0"/>
          <w:marTop w:val="0"/>
          <w:marBottom w:val="0"/>
          <w:divBdr>
            <w:top w:val="none" w:sz="0" w:space="0" w:color="auto"/>
            <w:left w:val="none" w:sz="0" w:space="0" w:color="auto"/>
            <w:bottom w:val="none" w:sz="0" w:space="0" w:color="auto"/>
            <w:right w:val="none" w:sz="0" w:space="0" w:color="auto"/>
          </w:divBdr>
        </w:div>
        <w:div w:id="892233722">
          <w:marLeft w:val="0"/>
          <w:marRight w:val="0"/>
          <w:marTop w:val="0"/>
          <w:marBottom w:val="0"/>
          <w:divBdr>
            <w:top w:val="none" w:sz="0" w:space="0" w:color="auto"/>
            <w:left w:val="none" w:sz="0" w:space="0" w:color="auto"/>
            <w:bottom w:val="none" w:sz="0" w:space="0" w:color="auto"/>
            <w:right w:val="none" w:sz="0" w:space="0" w:color="auto"/>
          </w:divBdr>
        </w:div>
        <w:div w:id="2006127981">
          <w:marLeft w:val="0"/>
          <w:marRight w:val="0"/>
          <w:marTop w:val="0"/>
          <w:marBottom w:val="0"/>
          <w:divBdr>
            <w:top w:val="none" w:sz="0" w:space="0" w:color="auto"/>
            <w:left w:val="none" w:sz="0" w:space="0" w:color="auto"/>
            <w:bottom w:val="none" w:sz="0" w:space="0" w:color="auto"/>
            <w:right w:val="none" w:sz="0" w:space="0" w:color="auto"/>
          </w:divBdr>
        </w:div>
        <w:div w:id="2823630">
          <w:marLeft w:val="0"/>
          <w:marRight w:val="0"/>
          <w:marTop w:val="0"/>
          <w:marBottom w:val="0"/>
          <w:divBdr>
            <w:top w:val="none" w:sz="0" w:space="0" w:color="auto"/>
            <w:left w:val="none" w:sz="0" w:space="0" w:color="auto"/>
            <w:bottom w:val="none" w:sz="0" w:space="0" w:color="auto"/>
            <w:right w:val="none" w:sz="0" w:space="0" w:color="auto"/>
          </w:divBdr>
        </w:div>
        <w:div w:id="149291298">
          <w:marLeft w:val="0"/>
          <w:marRight w:val="0"/>
          <w:marTop w:val="0"/>
          <w:marBottom w:val="0"/>
          <w:divBdr>
            <w:top w:val="none" w:sz="0" w:space="0" w:color="auto"/>
            <w:left w:val="none" w:sz="0" w:space="0" w:color="auto"/>
            <w:bottom w:val="none" w:sz="0" w:space="0" w:color="auto"/>
            <w:right w:val="none" w:sz="0" w:space="0" w:color="auto"/>
          </w:divBdr>
        </w:div>
        <w:div w:id="168183409">
          <w:marLeft w:val="0"/>
          <w:marRight w:val="0"/>
          <w:marTop w:val="0"/>
          <w:marBottom w:val="0"/>
          <w:divBdr>
            <w:top w:val="none" w:sz="0" w:space="0" w:color="auto"/>
            <w:left w:val="none" w:sz="0" w:space="0" w:color="auto"/>
            <w:bottom w:val="none" w:sz="0" w:space="0" w:color="auto"/>
            <w:right w:val="none" w:sz="0" w:space="0" w:color="auto"/>
          </w:divBdr>
        </w:div>
        <w:div w:id="1844585484">
          <w:marLeft w:val="0"/>
          <w:marRight w:val="0"/>
          <w:marTop w:val="0"/>
          <w:marBottom w:val="0"/>
          <w:divBdr>
            <w:top w:val="none" w:sz="0" w:space="0" w:color="auto"/>
            <w:left w:val="none" w:sz="0" w:space="0" w:color="auto"/>
            <w:bottom w:val="none" w:sz="0" w:space="0" w:color="auto"/>
            <w:right w:val="none" w:sz="0" w:space="0" w:color="auto"/>
          </w:divBdr>
        </w:div>
        <w:div w:id="1868374734">
          <w:marLeft w:val="0"/>
          <w:marRight w:val="0"/>
          <w:marTop w:val="0"/>
          <w:marBottom w:val="0"/>
          <w:divBdr>
            <w:top w:val="none" w:sz="0" w:space="0" w:color="auto"/>
            <w:left w:val="none" w:sz="0" w:space="0" w:color="auto"/>
            <w:bottom w:val="none" w:sz="0" w:space="0" w:color="auto"/>
            <w:right w:val="none" w:sz="0" w:space="0" w:color="auto"/>
          </w:divBdr>
        </w:div>
        <w:div w:id="1072388706">
          <w:marLeft w:val="0"/>
          <w:marRight w:val="0"/>
          <w:marTop w:val="0"/>
          <w:marBottom w:val="0"/>
          <w:divBdr>
            <w:top w:val="none" w:sz="0" w:space="0" w:color="auto"/>
            <w:left w:val="none" w:sz="0" w:space="0" w:color="auto"/>
            <w:bottom w:val="none" w:sz="0" w:space="0" w:color="auto"/>
            <w:right w:val="none" w:sz="0" w:space="0" w:color="auto"/>
          </w:divBdr>
        </w:div>
        <w:div w:id="1922644106">
          <w:marLeft w:val="0"/>
          <w:marRight w:val="0"/>
          <w:marTop w:val="0"/>
          <w:marBottom w:val="0"/>
          <w:divBdr>
            <w:top w:val="none" w:sz="0" w:space="0" w:color="auto"/>
            <w:left w:val="none" w:sz="0" w:space="0" w:color="auto"/>
            <w:bottom w:val="none" w:sz="0" w:space="0" w:color="auto"/>
            <w:right w:val="none" w:sz="0" w:space="0" w:color="auto"/>
          </w:divBdr>
        </w:div>
        <w:div w:id="833187489">
          <w:marLeft w:val="0"/>
          <w:marRight w:val="0"/>
          <w:marTop w:val="0"/>
          <w:marBottom w:val="0"/>
          <w:divBdr>
            <w:top w:val="none" w:sz="0" w:space="0" w:color="auto"/>
            <w:left w:val="none" w:sz="0" w:space="0" w:color="auto"/>
            <w:bottom w:val="none" w:sz="0" w:space="0" w:color="auto"/>
            <w:right w:val="none" w:sz="0" w:space="0" w:color="auto"/>
          </w:divBdr>
        </w:div>
        <w:div w:id="870915225">
          <w:marLeft w:val="0"/>
          <w:marRight w:val="0"/>
          <w:marTop w:val="0"/>
          <w:marBottom w:val="0"/>
          <w:divBdr>
            <w:top w:val="none" w:sz="0" w:space="0" w:color="auto"/>
            <w:left w:val="none" w:sz="0" w:space="0" w:color="auto"/>
            <w:bottom w:val="none" w:sz="0" w:space="0" w:color="auto"/>
            <w:right w:val="none" w:sz="0" w:space="0" w:color="auto"/>
          </w:divBdr>
        </w:div>
        <w:div w:id="862717599">
          <w:marLeft w:val="0"/>
          <w:marRight w:val="0"/>
          <w:marTop w:val="0"/>
          <w:marBottom w:val="0"/>
          <w:divBdr>
            <w:top w:val="none" w:sz="0" w:space="0" w:color="auto"/>
            <w:left w:val="none" w:sz="0" w:space="0" w:color="auto"/>
            <w:bottom w:val="none" w:sz="0" w:space="0" w:color="auto"/>
            <w:right w:val="none" w:sz="0" w:space="0" w:color="auto"/>
          </w:divBdr>
        </w:div>
        <w:div w:id="2081751114">
          <w:marLeft w:val="0"/>
          <w:marRight w:val="0"/>
          <w:marTop w:val="0"/>
          <w:marBottom w:val="0"/>
          <w:divBdr>
            <w:top w:val="none" w:sz="0" w:space="0" w:color="auto"/>
            <w:left w:val="none" w:sz="0" w:space="0" w:color="auto"/>
            <w:bottom w:val="none" w:sz="0" w:space="0" w:color="auto"/>
            <w:right w:val="none" w:sz="0" w:space="0" w:color="auto"/>
          </w:divBdr>
        </w:div>
        <w:div w:id="214002250">
          <w:marLeft w:val="0"/>
          <w:marRight w:val="0"/>
          <w:marTop w:val="0"/>
          <w:marBottom w:val="0"/>
          <w:divBdr>
            <w:top w:val="none" w:sz="0" w:space="0" w:color="auto"/>
            <w:left w:val="none" w:sz="0" w:space="0" w:color="auto"/>
            <w:bottom w:val="none" w:sz="0" w:space="0" w:color="auto"/>
            <w:right w:val="none" w:sz="0" w:space="0" w:color="auto"/>
          </w:divBdr>
        </w:div>
        <w:div w:id="1235317866">
          <w:marLeft w:val="0"/>
          <w:marRight w:val="0"/>
          <w:marTop w:val="0"/>
          <w:marBottom w:val="0"/>
          <w:divBdr>
            <w:top w:val="none" w:sz="0" w:space="0" w:color="auto"/>
            <w:left w:val="none" w:sz="0" w:space="0" w:color="auto"/>
            <w:bottom w:val="none" w:sz="0" w:space="0" w:color="auto"/>
            <w:right w:val="none" w:sz="0" w:space="0" w:color="auto"/>
          </w:divBdr>
        </w:div>
        <w:div w:id="1040132679">
          <w:marLeft w:val="0"/>
          <w:marRight w:val="0"/>
          <w:marTop w:val="0"/>
          <w:marBottom w:val="0"/>
          <w:divBdr>
            <w:top w:val="none" w:sz="0" w:space="0" w:color="auto"/>
            <w:left w:val="none" w:sz="0" w:space="0" w:color="auto"/>
            <w:bottom w:val="none" w:sz="0" w:space="0" w:color="auto"/>
            <w:right w:val="none" w:sz="0" w:space="0" w:color="auto"/>
          </w:divBdr>
        </w:div>
        <w:div w:id="1824468653">
          <w:marLeft w:val="0"/>
          <w:marRight w:val="0"/>
          <w:marTop w:val="0"/>
          <w:marBottom w:val="0"/>
          <w:divBdr>
            <w:top w:val="none" w:sz="0" w:space="0" w:color="auto"/>
            <w:left w:val="none" w:sz="0" w:space="0" w:color="auto"/>
            <w:bottom w:val="none" w:sz="0" w:space="0" w:color="auto"/>
            <w:right w:val="none" w:sz="0" w:space="0" w:color="auto"/>
          </w:divBdr>
        </w:div>
        <w:div w:id="847712802">
          <w:marLeft w:val="0"/>
          <w:marRight w:val="0"/>
          <w:marTop w:val="0"/>
          <w:marBottom w:val="0"/>
          <w:divBdr>
            <w:top w:val="none" w:sz="0" w:space="0" w:color="auto"/>
            <w:left w:val="none" w:sz="0" w:space="0" w:color="auto"/>
            <w:bottom w:val="none" w:sz="0" w:space="0" w:color="auto"/>
            <w:right w:val="none" w:sz="0" w:space="0" w:color="auto"/>
          </w:divBdr>
        </w:div>
        <w:div w:id="498353274">
          <w:marLeft w:val="0"/>
          <w:marRight w:val="0"/>
          <w:marTop w:val="0"/>
          <w:marBottom w:val="0"/>
          <w:divBdr>
            <w:top w:val="none" w:sz="0" w:space="0" w:color="auto"/>
            <w:left w:val="none" w:sz="0" w:space="0" w:color="auto"/>
            <w:bottom w:val="none" w:sz="0" w:space="0" w:color="auto"/>
            <w:right w:val="none" w:sz="0" w:space="0" w:color="auto"/>
          </w:divBdr>
        </w:div>
        <w:div w:id="429786216">
          <w:marLeft w:val="0"/>
          <w:marRight w:val="0"/>
          <w:marTop w:val="0"/>
          <w:marBottom w:val="0"/>
          <w:divBdr>
            <w:top w:val="none" w:sz="0" w:space="0" w:color="auto"/>
            <w:left w:val="none" w:sz="0" w:space="0" w:color="auto"/>
            <w:bottom w:val="none" w:sz="0" w:space="0" w:color="auto"/>
            <w:right w:val="none" w:sz="0" w:space="0" w:color="auto"/>
          </w:divBdr>
        </w:div>
        <w:div w:id="1087770548">
          <w:marLeft w:val="0"/>
          <w:marRight w:val="0"/>
          <w:marTop w:val="0"/>
          <w:marBottom w:val="0"/>
          <w:divBdr>
            <w:top w:val="none" w:sz="0" w:space="0" w:color="auto"/>
            <w:left w:val="none" w:sz="0" w:space="0" w:color="auto"/>
            <w:bottom w:val="none" w:sz="0" w:space="0" w:color="auto"/>
            <w:right w:val="none" w:sz="0" w:space="0" w:color="auto"/>
          </w:divBdr>
          <w:divsChild>
            <w:div w:id="561866767">
              <w:marLeft w:val="0"/>
              <w:marRight w:val="0"/>
              <w:marTop w:val="0"/>
              <w:marBottom w:val="0"/>
              <w:divBdr>
                <w:top w:val="none" w:sz="0" w:space="0" w:color="auto"/>
                <w:left w:val="none" w:sz="0" w:space="0" w:color="auto"/>
                <w:bottom w:val="none" w:sz="0" w:space="0" w:color="auto"/>
                <w:right w:val="none" w:sz="0" w:space="0" w:color="auto"/>
              </w:divBdr>
            </w:div>
            <w:div w:id="828593856">
              <w:marLeft w:val="0"/>
              <w:marRight w:val="0"/>
              <w:marTop w:val="0"/>
              <w:marBottom w:val="0"/>
              <w:divBdr>
                <w:top w:val="none" w:sz="0" w:space="0" w:color="auto"/>
                <w:left w:val="none" w:sz="0" w:space="0" w:color="auto"/>
                <w:bottom w:val="none" w:sz="0" w:space="0" w:color="auto"/>
                <w:right w:val="none" w:sz="0" w:space="0" w:color="auto"/>
              </w:divBdr>
            </w:div>
            <w:div w:id="344211914">
              <w:marLeft w:val="0"/>
              <w:marRight w:val="0"/>
              <w:marTop w:val="0"/>
              <w:marBottom w:val="0"/>
              <w:divBdr>
                <w:top w:val="none" w:sz="0" w:space="0" w:color="auto"/>
                <w:left w:val="none" w:sz="0" w:space="0" w:color="auto"/>
                <w:bottom w:val="none" w:sz="0" w:space="0" w:color="auto"/>
                <w:right w:val="none" w:sz="0" w:space="0" w:color="auto"/>
              </w:divBdr>
            </w:div>
            <w:div w:id="1458528181">
              <w:marLeft w:val="0"/>
              <w:marRight w:val="0"/>
              <w:marTop w:val="0"/>
              <w:marBottom w:val="0"/>
              <w:divBdr>
                <w:top w:val="none" w:sz="0" w:space="0" w:color="auto"/>
                <w:left w:val="none" w:sz="0" w:space="0" w:color="auto"/>
                <w:bottom w:val="none" w:sz="0" w:space="0" w:color="auto"/>
                <w:right w:val="none" w:sz="0" w:space="0" w:color="auto"/>
              </w:divBdr>
            </w:div>
          </w:divsChild>
        </w:div>
        <w:div w:id="1986737981">
          <w:marLeft w:val="0"/>
          <w:marRight w:val="0"/>
          <w:marTop w:val="0"/>
          <w:marBottom w:val="0"/>
          <w:divBdr>
            <w:top w:val="none" w:sz="0" w:space="0" w:color="auto"/>
            <w:left w:val="none" w:sz="0" w:space="0" w:color="auto"/>
            <w:bottom w:val="none" w:sz="0" w:space="0" w:color="auto"/>
            <w:right w:val="none" w:sz="0" w:space="0" w:color="auto"/>
          </w:divBdr>
          <w:divsChild>
            <w:div w:id="284626511">
              <w:marLeft w:val="0"/>
              <w:marRight w:val="0"/>
              <w:marTop w:val="0"/>
              <w:marBottom w:val="0"/>
              <w:divBdr>
                <w:top w:val="none" w:sz="0" w:space="0" w:color="auto"/>
                <w:left w:val="none" w:sz="0" w:space="0" w:color="auto"/>
                <w:bottom w:val="none" w:sz="0" w:space="0" w:color="auto"/>
                <w:right w:val="none" w:sz="0" w:space="0" w:color="auto"/>
              </w:divBdr>
            </w:div>
            <w:div w:id="81608199">
              <w:marLeft w:val="0"/>
              <w:marRight w:val="0"/>
              <w:marTop w:val="0"/>
              <w:marBottom w:val="0"/>
              <w:divBdr>
                <w:top w:val="none" w:sz="0" w:space="0" w:color="auto"/>
                <w:left w:val="none" w:sz="0" w:space="0" w:color="auto"/>
                <w:bottom w:val="none" w:sz="0" w:space="0" w:color="auto"/>
                <w:right w:val="none" w:sz="0" w:space="0" w:color="auto"/>
              </w:divBdr>
            </w:div>
          </w:divsChild>
        </w:div>
        <w:div w:id="804666977">
          <w:marLeft w:val="0"/>
          <w:marRight w:val="0"/>
          <w:marTop w:val="0"/>
          <w:marBottom w:val="0"/>
          <w:divBdr>
            <w:top w:val="none" w:sz="0" w:space="0" w:color="auto"/>
            <w:left w:val="none" w:sz="0" w:space="0" w:color="auto"/>
            <w:bottom w:val="none" w:sz="0" w:space="0" w:color="auto"/>
            <w:right w:val="none" w:sz="0" w:space="0" w:color="auto"/>
          </w:divBdr>
          <w:divsChild>
            <w:div w:id="1057699992">
              <w:marLeft w:val="0"/>
              <w:marRight w:val="0"/>
              <w:marTop w:val="0"/>
              <w:marBottom w:val="0"/>
              <w:divBdr>
                <w:top w:val="none" w:sz="0" w:space="0" w:color="auto"/>
                <w:left w:val="none" w:sz="0" w:space="0" w:color="auto"/>
                <w:bottom w:val="none" w:sz="0" w:space="0" w:color="auto"/>
                <w:right w:val="none" w:sz="0" w:space="0" w:color="auto"/>
              </w:divBdr>
            </w:div>
            <w:div w:id="1223558210">
              <w:marLeft w:val="0"/>
              <w:marRight w:val="0"/>
              <w:marTop w:val="0"/>
              <w:marBottom w:val="0"/>
              <w:divBdr>
                <w:top w:val="none" w:sz="0" w:space="0" w:color="auto"/>
                <w:left w:val="none" w:sz="0" w:space="0" w:color="auto"/>
                <w:bottom w:val="none" w:sz="0" w:space="0" w:color="auto"/>
                <w:right w:val="none" w:sz="0" w:space="0" w:color="auto"/>
              </w:divBdr>
            </w:div>
            <w:div w:id="1562402744">
              <w:marLeft w:val="0"/>
              <w:marRight w:val="0"/>
              <w:marTop w:val="0"/>
              <w:marBottom w:val="0"/>
              <w:divBdr>
                <w:top w:val="none" w:sz="0" w:space="0" w:color="auto"/>
                <w:left w:val="none" w:sz="0" w:space="0" w:color="auto"/>
                <w:bottom w:val="none" w:sz="0" w:space="0" w:color="auto"/>
                <w:right w:val="none" w:sz="0" w:space="0" w:color="auto"/>
              </w:divBdr>
            </w:div>
            <w:div w:id="526412749">
              <w:marLeft w:val="0"/>
              <w:marRight w:val="0"/>
              <w:marTop w:val="0"/>
              <w:marBottom w:val="0"/>
              <w:divBdr>
                <w:top w:val="none" w:sz="0" w:space="0" w:color="auto"/>
                <w:left w:val="none" w:sz="0" w:space="0" w:color="auto"/>
                <w:bottom w:val="none" w:sz="0" w:space="0" w:color="auto"/>
                <w:right w:val="none" w:sz="0" w:space="0" w:color="auto"/>
              </w:divBdr>
            </w:div>
          </w:divsChild>
        </w:div>
        <w:div w:id="1745184051">
          <w:marLeft w:val="0"/>
          <w:marRight w:val="0"/>
          <w:marTop w:val="0"/>
          <w:marBottom w:val="0"/>
          <w:divBdr>
            <w:top w:val="none" w:sz="0" w:space="0" w:color="auto"/>
            <w:left w:val="none" w:sz="0" w:space="0" w:color="auto"/>
            <w:bottom w:val="none" w:sz="0" w:space="0" w:color="auto"/>
            <w:right w:val="none" w:sz="0" w:space="0" w:color="auto"/>
          </w:divBdr>
          <w:divsChild>
            <w:div w:id="802307208">
              <w:marLeft w:val="0"/>
              <w:marRight w:val="0"/>
              <w:marTop w:val="0"/>
              <w:marBottom w:val="0"/>
              <w:divBdr>
                <w:top w:val="none" w:sz="0" w:space="0" w:color="auto"/>
                <w:left w:val="none" w:sz="0" w:space="0" w:color="auto"/>
                <w:bottom w:val="none" w:sz="0" w:space="0" w:color="auto"/>
                <w:right w:val="none" w:sz="0" w:space="0" w:color="auto"/>
              </w:divBdr>
            </w:div>
            <w:div w:id="1346665473">
              <w:marLeft w:val="0"/>
              <w:marRight w:val="0"/>
              <w:marTop w:val="0"/>
              <w:marBottom w:val="0"/>
              <w:divBdr>
                <w:top w:val="none" w:sz="0" w:space="0" w:color="auto"/>
                <w:left w:val="none" w:sz="0" w:space="0" w:color="auto"/>
                <w:bottom w:val="none" w:sz="0" w:space="0" w:color="auto"/>
                <w:right w:val="none" w:sz="0" w:space="0" w:color="auto"/>
              </w:divBdr>
            </w:div>
          </w:divsChild>
        </w:div>
        <w:div w:id="1939361672">
          <w:marLeft w:val="0"/>
          <w:marRight w:val="0"/>
          <w:marTop w:val="0"/>
          <w:marBottom w:val="0"/>
          <w:divBdr>
            <w:top w:val="none" w:sz="0" w:space="0" w:color="auto"/>
            <w:left w:val="none" w:sz="0" w:space="0" w:color="auto"/>
            <w:bottom w:val="none" w:sz="0" w:space="0" w:color="auto"/>
            <w:right w:val="none" w:sz="0" w:space="0" w:color="auto"/>
          </w:divBdr>
          <w:divsChild>
            <w:div w:id="217674005">
              <w:marLeft w:val="0"/>
              <w:marRight w:val="0"/>
              <w:marTop w:val="0"/>
              <w:marBottom w:val="0"/>
              <w:divBdr>
                <w:top w:val="none" w:sz="0" w:space="0" w:color="auto"/>
                <w:left w:val="none" w:sz="0" w:space="0" w:color="auto"/>
                <w:bottom w:val="none" w:sz="0" w:space="0" w:color="auto"/>
                <w:right w:val="none" w:sz="0" w:space="0" w:color="auto"/>
              </w:divBdr>
            </w:div>
            <w:div w:id="504714005">
              <w:marLeft w:val="0"/>
              <w:marRight w:val="0"/>
              <w:marTop w:val="0"/>
              <w:marBottom w:val="0"/>
              <w:divBdr>
                <w:top w:val="none" w:sz="0" w:space="0" w:color="auto"/>
                <w:left w:val="none" w:sz="0" w:space="0" w:color="auto"/>
                <w:bottom w:val="none" w:sz="0" w:space="0" w:color="auto"/>
                <w:right w:val="none" w:sz="0" w:space="0" w:color="auto"/>
              </w:divBdr>
            </w:div>
            <w:div w:id="1646813818">
              <w:marLeft w:val="0"/>
              <w:marRight w:val="0"/>
              <w:marTop w:val="0"/>
              <w:marBottom w:val="0"/>
              <w:divBdr>
                <w:top w:val="none" w:sz="0" w:space="0" w:color="auto"/>
                <w:left w:val="none" w:sz="0" w:space="0" w:color="auto"/>
                <w:bottom w:val="none" w:sz="0" w:space="0" w:color="auto"/>
                <w:right w:val="none" w:sz="0" w:space="0" w:color="auto"/>
              </w:divBdr>
            </w:div>
            <w:div w:id="236061135">
              <w:marLeft w:val="0"/>
              <w:marRight w:val="0"/>
              <w:marTop w:val="0"/>
              <w:marBottom w:val="0"/>
              <w:divBdr>
                <w:top w:val="none" w:sz="0" w:space="0" w:color="auto"/>
                <w:left w:val="none" w:sz="0" w:space="0" w:color="auto"/>
                <w:bottom w:val="none" w:sz="0" w:space="0" w:color="auto"/>
                <w:right w:val="none" w:sz="0" w:space="0" w:color="auto"/>
              </w:divBdr>
            </w:div>
          </w:divsChild>
        </w:div>
        <w:div w:id="1588689113">
          <w:marLeft w:val="0"/>
          <w:marRight w:val="0"/>
          <w:marTop w:val="0"/>
          <w:marBottom w:val="0"/>
          <w:divBdr>
            <w:top w:val="none" w:sz="0" w:space="0" w:color="auto"/>
            <w:left w:val="none" w:sz="0" w:space="0" w:color="auto"/>
            <w:bottom w:val="none" w:sz="0" w:space="0" w:color="auto"/>
            <w:right w:val="none" w:sz="0" w:space="0" w:color="auto"/>
          </w:divBdr>
          <w:divsChild>
            <w:div w:id="1070883677">
              <w:marLeft w:val="0"/>
              <w:marRight w:val="0"/>
              <w:marTop w:val="0"/>
              <w:marBottom w:val="0"/>
              <w:divBdr>
                <w:top w:val="none" w:sz="0" w:space="0" w:color="auto"/>
                <w:left w:val="none" w:sz="0" w:space="0" w:color="auto"/>
                <w:bottom w:val="none" w:sz="0" w:space="0" w:color="auto"/>
                <w:right w:val="none" w:sz="0" w:space="0" w:color="auto"/>
              </w:divBdr>
            </w:div>
            <w:div w:id="522089867">
              <w:marLeft w:val="0"/>
              <w:marRight w:val="0"/>
              <w:marTop w:val="0"/>
              <w:marBottom w:val="0"/>
              <w:divBdr>
                <w:top w:val="none" w:sz="0" w:space="0" w:color="auto"/>
                <w:left w:val="none" w:sz="0" w:space="0" w:color="auto"/>
                <w:bottom w:val="none" w:sz="0" w:space="0" w:color="auto"/>
                <w:right w:val="none" w:sz="0" w:space="0" w:color="auto"/>
              </w:divBdr>
            </w:div>
            <w:div w:id="1039163608">
              <w:marLeft w:val="0"/>
              <w:marRight w:val="0"/>
              <w:marTop w:val="0"/>
              <w:marBottom w:val="0"/>
              <w:divBdr>
                <w:top w:val="none" w:sz="0" w:space="0" w:color="auto"/>
                <w:left w:val="none" w:sz="0" w:space="0" w:color="auto"/>
                <w:bottom w:val="none" w:sz="0" w:space="0" w:color="auto"/>
                <w:right w:val="none" w:sz="0" w:space="0" w:color="auto"/>
              </w:divBdr>
            </w:div>
          </w:divsChild>
        </w:div>
        <w:div w:id="511183967">
          <w:marLeft w:val="0"/>
          <w:marRight w:val="0"/>
          <w:marTop w:val="0"/>
          <w:marBottom w:val="0"/>
          <w:divBdr>
            <w:top w:val="none" w:sz="0" w:space="0" w:color="auto"/>
            <w:left w:val="none" w:sz="0" w:space="0" w:color="auto"/>
            <w:bottom w:val="none" w:sz="0" w:space="0" w:color="auto"/>
            <w:right w:val="none" w:sz="0" w:space="0" w:color="auto"/>
          </w:divBdr>
          <w:divsChild>
            <w:div w:id="1074667053">
              <w:marLeft w:val="0"/>
              <w:marRight w:val="0"/>
              <w:marTop w:val="0"/>
              <w:marBottom w:val="0"/>
              <w:divBdr>
                <w:top w:val="none" w:sz="0" w:space="0" w:color="auto"/>
                <w:left w:val="none" w:sz="0" w:space="0" w:color="auto"/>
                <w:bottom w:val="none" w:sz="0" w:space="0" w:color="auto"/>
                <w:right w:val="none" w:sz="0" w:space="0" w:color="auto"/>
              </w:divBdr>
            </w:div>
            <w:div w:id="1607299974">
              <w:marLeft w:val="0"/>
              <w:marRight w:val="0"/>
              <w:marTop w:val="0"/>
              <w:marBottom w:val="0"/>
              <w:divBdr>
                <w:top w:val="none" w:sz="0" w:space="0" w:color="auto"/>
                <w:left w:val="none" w:sz="0" w:space="0" w:color="auto"/>
                <w:bottom w:val="none" w:sz="0" w:space="0" w:color="auto"/>
                <w:right w:val="none" w:sz="0" w:space="0" w:color="auto"/>
              </w:divBdr>
            </w:div>
            <w:div w:id="594216044">
              <w:marLeft w:val="0"/>
              <w:marRight w:val="0"/>
              <w:marTop w:val="0"/>
              <w:marBottom w:val="0"/>
              <w:divBdr>
                <w:top w:val="none" w:sz="0" w:space="0" w:color="auto"/>
                <w:left w:val="none" w:sz="0" w:space="0" w:color="auto"/>
                <w:bottom w:val="none" w:sz="0" w:space="0" w:color="auto"/>
                <w:right w:val="none" w:sz="0" w:space="0" w:color="auto"/>
              </w:divBdr>
            </w:div>
          </w:divsChild>
        </w:div>
        <w:div w:id="723985633">
          <w:marLeft w:val="0"/>
          <w:marRight w:val="0"/>
          <w:marTop w:val="0"/>
          <w:marBottom w:val="0"/>
          <w:divBdr>
            <w:top w:val="none" w:sz="0" w:space="0" w:color="auto"/>
            <w:left w:val="none" w:sz="0" w:space="0" w:color="auto"/>
            <w:bottom w:val="none" w:sz="0" w:space="0" w:color="auto"/>
            <w:right w:val="none" w:sz="0" w:space="0" w:color="auto"/>
          </w:divBdr>
          <w:divsChild>
            <w:div w:id="1090468346">
              <w:marLeft w:val="0"/>
              <w:marRight w:val="0"/>
              <w:marTop w:val="0"/>
              <w:marBottom w:val="0"/>
              <w:divBdr>
                <w:top w:val="none" w:sz="0" w:space="0" w:color="auto"/>
                <w:left w:val="none" w:sz="0" w:space="0" w:color="auto"/>
                <w:bottom w:val="none" w:sz="0" w:space="0" w:color="auto"/>
                <w:right w:val="none" w:sz="0" w:space="0" w:color="auto"/>
              </w:divBdr>
            </w:div>
            <w:div w:id="246038323">
              <w:marLeft w:val="0"/>
              <w:marRight w:val="0"/>
              <w:marTop w:val="0"/>
              <w:marBottom w:val="0"/>
              <w:divBdr>
                <w:top w:val="none" w:sz="0" w:space="0" w:color="auto"/>
                <w:left w:val="none" w:sz="0" w:space="0" w:color="auto"/>
                <w:bottom w:val="none" w:sz="0" w:space="0" w:color="auto"/>
                <w:right w:val="none" w:sz="0" w:space="0" w:color="auto"/>
              </w:divBdr>
            </w:div>
          </w:divsChild>
        </w:div>
        <w:div w:id="1871914816">
          <w:marLeft w:val="0"/>
          <w:marRight w:val="0"/>
          <w:marTop w:val="0"/>
          <w:marBottom w:val="0"/>
          <w:divBdr>
            <w:top w:val="none" w:sz="0" w:space="0" w:color="auto"/>
            <w:left w:val="none" w:sz="0" w:space="0" w:color="auto"/>
            <w:bottom w:val="none" w:sz="0" w:space="0" w:color="auto"/>
            <w:right w:val="none" w:sz="0" w:space="0" w:color="auto"/>
          </w:divBdr>
          <w:divsChild>
            <w:div w:id="1875337742">
              <w:marLeft w:val="0"/>
              <w:marRight w:val="0"/>
              <w:marTop w:val="0"/>
              <w:marBottom w:val="0"/>
              <w:divBdr>
                <w:top w:val="none" w:sz="0" w:space="0" w:color="auto"/>
                <w:left w:val="none" w:sz="0" w:space="0" w:color="auto"/>
                <w:bottom w:val="none" w:sz="0" w:space="0" w:color="auto"/>
                <w:right w:val="none" w:sz="0" w:space="0" w:color="auto"/>
              </w:divBdr>
            </w:div>
            <w:div w:id="660277755">
              <w:marLeft w:val="0"/>
              <w:marRight w:val="0"/>
              <w:marTop w:val="0"/>
              <w:marBottom w:val="0"/>
              <w:divBdr>
                <w:top w:val="none" w:sz="0" w:space="0" w:color="auto"/>
                <w:left w:val="none" w:sz="0" w:space="0" w:color="auto"/>
                <w:bottom w:val="none" w:sz="0" w:space="0" w:color="auto"/>
                <w:right w:val="none" w:sz="0" w:space="0" w:color="auto"/>
              </w:divBdr>
            </w:div>
            <w:div w:id="420151562">
              <w:marLeft w:val="0"/>
              <w:marRight w:val="0"/>
              <w:marTop w:val="0"/>
              <w:marBottom w:val="0"/>
              <w:divBdr>
                <w:top w:val="none" w:sz="0" w:space="0" w:color="auto"/>
                <w:left w:val="none" w:sz="0" w:space="0" w:color="auto"/>
                <w:bottom w:val="none" w:sz="0" w:space="0" w:color="auto"/>
                <w:right w:val="none" w:sz="0" w:space="0" w:color="auto"/>
              </w:divBdr>
            </w:div>
          </w:divsChild>
        </w:div>
        <w:div w:id="474300206">
          <w:marLeft w:val="0"/>
          <w:marRight w:val="0"/>
          <w:marTop w:val="0"/>
          <w:marBottom w:val="0"/>
          <w:divBdr>
            <w:top w:val="none" w:sz="0" w:space="0" w:color="auto"/>
            <w:left w:val="none" w:sz="0" w:space="0" w:color="auto"/>
            <w:bottom w:val="none" w:sz="0" w:space="0" w:color="auto"/>
            <w:right w:val="none" w:sz="0" w:space="0" w:color="auto"/>
          </w:divBdr>
          <w:divsChild>
            <w:div w:id="313144491">
              <w:marLeft w:val="0"/>
              <w:marRight w:val="0"/>
              <w:marTop w:val="0"/>
              <w:marBottom w:val="0"/>
              <w:divBdr>
                <w:top w:val="none" w:sz="0" w:space="0" w:color="auto"/>
                <w:left w:val="none" w:sz="0" w:space="0" w:color="auto"/>
                <w:bottom w:val="none" w:sz="0" w:space="0" w:color="auto"/>
                <w:right w:val="none" w:sz="0" w:space="0" w:color="auto"/>
              </w:divBdr>
            </w:div>
            <w:div w:id="54010050">
              <w:marLeft w:val="0"/>
              <w:marRight w:val="0"/>
              <w:marTop w:val="0"/>
              <w:marBottom w:val="0"/>
              <w:divBdr>
                <w:top w:val="none" w:sz="0" w:space="0" w:color="auto"/>
                <w:left w:val="none" w:sz="0" w:space="0" w:color="auto"/>
                <w:bottom w:val="none" w:sz="0" w:space="0" w:color="auto"/>
                <w:right w:val="none" w:sz="0" w:space="0" w:color="auto"/>
              </w:divBdr>
            </w:div>
          </w:divsChild>
        </w:div>
        <w:div w:id="13547683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ccan.org.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ial-equity@unimelb.edu.au" TargetMode="External"/><Relationship Id="rId17"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ialequity.unimelb.edu.au/" TargetMode="External"/><Relationship Id="rId5" Type="http://schemas.openxmlformats.org/officeDocument/2006/relationships/webSettings" Target="webSettings.xml"/><Relationship Id="rId15" Type="http://schemas.openxmlformats.org/officeDocument/2006/relationships/hyperlink" Target="http://www.relayservice.gov.a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grants@accan.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ecd.org/skills/piaac/Country%20note%20-%20Australia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E60CB-D2DC-4CA9-87A8-750E0130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4703</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Callahan</dc:creator>
  <cp:keywords/>
  <cp:lastModifiedBy>Yvette Maker</cp:lastModifiedBy>
  <cp:revision>4</cp:revision>
  <cp:lastPrinted>2013-04-22T23:39:00Z</cp:lastPrinted>
  <dcterms:created xsi:type="dcterms:W3CDTF">2018-12-10T03:20:00Z</dcterms:created>
  <dcterms:modified xsi:type="dcterms:W3CDTF">2018-12-10T04:13:00Z</dcterms:modified>
</cp:coreProperties>
</file>