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E12E84E" w14:textId="3ED0FA18" w:rsidR="006A66A3" w:rsidRDefault="006A66A3" w:rsidP="0050541A">
      <w:pPr>
        <w:spacing w:before="0"/>
      </w:pPr>
      <w:r>
        <w:rPr>
          <w:noProof/>
        </w:rPr>
        <w:drawing>
          <wp:inline distT="0" distB="0" distL="0" distR="0" wp14:anchorId="72173652" wp14:editId="5B54C9BA">
            <wp:extent cx="6120000" cy="3415972"/>
            <wp:effectExtent l="0" t="0" r="1905" b="635"/>
            <wp:docPr id="2080311621" name="Picture 1" descr="Photograph showing four utility workers wearing orange high-visibility clothing standing and talking outdoors near white service vehicles and electrical infrastructure. The scene highlights teamwork and communication during a fieldwork or maintenance t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311621" name="Picture 1" descr="Photograph showing four utility workers wearing orange high-visibility clothing standing and talking outdoors near white service vehicles and electrical infrastructure. The scene highlights teamwork and communication during a fieldwork or maintenance task."/>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000" cy="3415972"/>
                    </a:xfrm>
                    <a:prstGeom prst="rect">
                      <a:avLst/>
                    </a:prstGeom>
                  </pic:spPr>
                </pic:pic>
              </a:graphicData>
            </a:graphic>
          </wp:inline>
        </w:drawing>
      </w:r>
    </w:p>
    <w:p w14:paraId="0D7D07FC" w14:textId="1C5F6E16" w:rsidR="004B6664" w:rsidRDefault="004B6664" w:rsidP="00B34ED3">
      <w:pPr>
        <w:pStyle w:val="Title"/>
        <w:spacing w:before="600"/>
        <w:jc w:val="center"/>
      </w:pPr>
      <w:r>
        <w:t>Insights Report</w:t>
      </w:r>
    </w:p>
    <w:p w14:paraId="0EAC045B" w14:textId="77777777" w:rsidR="004B6664" w:rsidRDefault="004B6664" w:rsidP="00B34ED3">
      <w:pPr>
        <w:pStyle w:val="Subtitle"/>
        <w:jc w:val="center"/>
      </w:pPr>
      <w:r w:rsidRPr="00B8337B">
        <w:rPr>
          <w:b w:val="0"/>
          <w:bCs/>
        </w:rPr>
        <w:t>Building a Taxonomy of Jobs-Focused Social Enterprise in Australia:</w:t>
      </w:r>
      <w:r w:rsidRPr="004B6664">
        <w:t xml:space="preserve"> The Key Characteristics of Work Integration Social Enterprise (WISE)</w:t>
      </w:r>
    </w:p>
    <w:p w14:paraId="5BF86142" w14:textId="480AA1DD" w:rsidR="006A66A3" w:rsidRDefault="00B34ED3" w:rsidP="006A66A3">
      <w:r>
        <w:rPr>
          <w:noProof/>
        </w:rPr>
        <mc:AlternateContent>
          <mc:Choice Requires="wps">
            <w:drawing>
              <wp:anchor distT="0" distB="0" distL="114300" distR="114300" simplePos="0" relativeHeight="251659264" behindDoc="0" locked="1" layoutInCell="1" allowOverlap="1" wp14:anchorId="5AF083CF" wp14:editId="1DDBDF09">
                <wp:simplePos x="0" y="0"/>
                <wp:positionH relativeFrom="page">
                  <wp:posOffset>1798955</wp:posOffset>
                </wp:positionH>
                <wp:positionV relativeFrom="page">
                  <wp:posOffset>8161655</wp:posOffset>
                </wp:positionV>
                <wp:extent cx="3959860" cy="251460"/>
                <wp:effectExtent l="0" t="0" r="2540" b="2540"/>
                <wp:wrapNone/>
                <wp:docPr id="138316620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59860" cy="251460"/>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5986B" id="Rectangle 2" o:spid="_x0000_s1026" alt="&quot;&quot;" style="position:absolute;margin-left:141.65pt;margin-top:642.65pt;width:311.8pt;height:19.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" fillcolor="#f7a6ac [3209]" stroked="f" strokeweight="1.5pt">
                <w10:wrap anchorx="page" anchory="page"/>
                <w10:anchorlock/>
              </v:rect>
            </w:pict>
          </mc:Fallback>
        </mc:AlternateContent>
      </w:r>
      <w:r w:rsidR="00D07304">
        <w:rPr>
          <w:noProof/>
        </w:rPr>
        <w:drawing>
          <wp:anchor distT="0" distB="0" distL="114300" distR="114300" simplePos="0" relativeHeight="251658240" behindDoc="1" locked="1" layoutInCell="1" allowOverlap="1" wp14:anchorId="21B0A848" wp14:editId="0A08EB54">
            <wp:simplePos x="0" y="0"/>
            <wp:positionH relativeFrom="page">
              <wp:align>center</wp:align>
            </wp:positionH>
            <wp:positionV relativeFrom="page">
              <wp:posOffset>9058910</wp:posOffset>
            </wp:positionV>
            <wp:extent cx="7560000" cy="838800"/>
            <wp:effectExtent l="0" t="0" r="0" b="0"/>
            <wp:wrapNone/>
            <wp:docPr id="1631241542" name="Picture 3" descr="Logos of eight organisations are displayed in a horizontal row on a white background. The organisations are: The University of Melbourne; The University of Queensland; White Box Enterprises; Westpac Foundation; Outlook; and Str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41542" name="Picture 3" descr="Logos of eight organisations are displayed in a horizontal row on a white background. The organisations are: The University of Melbourne; The University of Queensland; White Box Enterprises; Westpac Foundation; Outlook; and Strea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00" cy="838800"/>
                    </a:xfrm>
                    <a:prstGeom prst="rect">
                      <a:avLst/>
                    </a:prstGeom>
                  </pic:spPr>
                </pic:pic>
              </a:graphicData>
            </a:graphic>
            <wp14:sizeRelH relativeFrom="page">
              <wp14:pctWidth>0</wp14:pctWidth>
            </wp14:sizeRelH>
            <wp14:sizeRelV relativeFrom="page">
              <wp14:pctHeight>0</wp14:pctHeight>
            </wp14:sizeRelV>
          </wp:anchor>
        </w:drawing>
      </w:r>
    </w:p>
    <w:p w14:paraId="0D0B3CB3" w14:textId="77777777" w:rsidR="00016915" w:rsidRDefault="00016915" w:rsidP="006A66A3">
      <w:pPr>
        <w:sectPr w:rsidR="00016915" w:rsidSect="005B0D2B">
          <w:headerReference w:type="default" r:id="rId13"/>
          <w:footerReference w:type="default" r:id="rId14"/>
          <w:pgSz w:w="11906" w:h="16838"/>
          <w:pgMar w:top="1418" w:right="1134" w:bottom="1134" w:left="1134" w:header="709" w:footer="765" w:gutter="0"/>
          <w:cols w:space="708"/>
          <w:docGrid w:linePitch="360"/>
        </w:sectPr>
      </w:pPr>
    </w:p>
    <w:p w14:paraId="7AB1B074" w14:textId="053B21F9" w:rsidR="00CA579F" w:rsidRDefault="00CA579F" w:rsidP="00CA579F">
      <w:pPr>
        <w:pStyle w:val="Caption"/>
        <w:spacing w:line="276" w:lineRule="auto"/>
      </w:pPr>
      <w:r>
        <w:lastRenderedPageBreak/>
        <w:t xml:space="preserve">Front cover </w:t>
      </w:r>
      <w:r w:rsidR="009E7235">
        <w:t>photo description</w:t>
      </w:r>
      <w:r>
        <w:t xml:space="preserve">: A group of Good Spaces team members smiling and talking at a job. </w:t>
      </w:r>
      <w:r w:rsidR="009E7235">
        <w:br/>
      </w:r>
      <w:r>
        <w:t>Photo credit: Pure Production, Good Cycles.</w:t>
      </w:r>
    </w:p>
    <w:p w14:paraId="17334393" w14:textId="6A66E30C" w:rsidR="004B6664" w:rsidRDefault="004B6664" w:rsidP="00F41842">
      <w:pPr>
        <w:pStyle w:val="Subtitle"/>
        <w:spacing w:before="1080"/>
      </w:pPr>
      <w:r>
        <w:t xml:space="preserve">Acknowledgement of Country </w:t>
      </w:r>
    </w:p>
    <w:p w14:paraId="24B41819" w14:textId="77777777" w:rsidR="004B6664" w:rsidRDefault="004B6664" w:rsidP="004B6664">
      <w:r>
        <w:t>The authors acknowledge the Traditional Owners of Country throughout Australia and their continuing connection to land, waters and community. We pay our respects to their Cultures, Country and Elders past and present.</w:t>
      </w:r>
    </w:p>
    <w:p w14:paraId="3DD2045A" w14:textId="7B545151" w:rsidR="004B6664" w:rsidRDefault="004B6664" w:rsidP="004B6664">
      <w:r w:rsidRPr="00B34ED3">
        <w:rPr>
          <w:b/>
          <w:bCs/>
        </w:rPr>
        <w:t>Acknowledgement of participants</w:t>
      </w:r>
      <w:r w:rsidR="00B34ED3" w:rsidRPr="00B34ED3">
        <w:rPr>
          <w:b/>
          <w:bCs/>
        </w:rPr>
        <w:t>:</w:t>
      </w:r>
      <w:r w:rsidR="00B34ED3">
        <w:t xml:space="preserve"> </w:t>
      </w:r>
      <w:r>
        <w:t>The authors thank the 128 people who generously completed the survey in support of this work. We also acknowledge Social Enterprise Australia and White Box Enterprises as co-hosts of the Social Enterprise Jobs Summit 2025, where the survey took place.</w:t>
      </w:r>
    </w:p>
    <w:p w14:paraId="3CFDC60A" w14:textId="3357078F" w:rsidR="004B6664" w:rsidRDefault="004B6664" w:rsidP="004B6664">
      <w:r w:rsidRPr="00B34ED3">
        <w:rPr>
          <w:b/>
          <w:bCs/>
        </w:rPr>
        <w:t>Funding acknowledgement</w:t>
      </w:r>
      <w:r w:rsidR="00B34ED3" w:rsidRPr="00B34ED3">
        <w:rPr>
          <w:b/>
          <w:bCs/>
        </w:rPr>
        <w:t>:</w:t>
      </w:r>
      <w:r w:rsidR="00B34ED3">
        <w:t xml:space="preserve"> </w:t>
      </w:r>
      <w:r>
        <w:t xml:space="preserve">This insights report is part of a three-year research project, ‘Activating Employment Futures Through Work Integration Social Enterprise’. The project is funded by the Australian Research Council (LP220100323) and collaborating partners: White Box Enterprises, Westpac Foundation, Outlook Australia, and STREAT. </w:t>
      </w:r>
    </w:p>
    <w:p w14:paraId="6EA34333" w14:textId="01355B57" w:rsidR="004B6664" w:rsidRDefault="004B6664" w:rsidP="004B6664">
      <w:r w:rsidRPr="00B34ED3">
        <w:rPr>
          <w:b/>
          <w:bCs/>
        </w:rPr>
        <w:t>Suggested citation</w:t>
      </w:r>
      <w:r w:rsidR="00B34ED3" w:rsidRPr="00B34ED3">
        <w:rPr>
          <w:b/>
          <w:bCs/>
        </w:rPr>
        <w:t>:</w:t>
      </w:r>
      <w:r w:rsidR="00B34ED3">
        <w:t xml:space="preserve"> </w:t>
      </w:r>
      <w:r>
        <w:t xml:space="preserve">Khan, C., Barraket, J., McGann, M. (2026). Building a Taxonomy of Jobs-Focused Social Enterprise in Australia: The Key Characteristics of Work Integration Social Enterprise (WISE). University of Melbourne, Australia. </w:t>
      </w:r>
    </w:p>
    <w:p w14:paraId="0855E601" w14:textId="7AB400FD" w:rsidR="004B6664" w:rsidRDefault="004B6664" w:rsidP="004B6664">
      <w:r w:rsidRPr="00B34ED3">
        <w:rPr>
          <w:b/>
          <w:bCs/>
        </w:rPr>
        <w:t>Contact</w:t>
      </w:r>
      <w:r w:rsidR="00B34ED3" w:rsidRPr="00B34ED3">
        <w:rPr>
          <w:b/>
          <w:bCs/>
        </w:rPr>
        <w:t>:</w:t>
      </w:r>
      <w:r w:rsidR="00B34ED3">
        <w:t xml:space="preserve"> </w:t>
      </w:r>
      <w:r>
        <w:t>Corresponding author</w:t>
      </w:r>
      <w:r w:rsidR="00FE7613">
        <w:t>,</w:t>
      </w:r>
      <w:r>
        <w:t xml:space="preserve"> Professor Jo Barraket AM,</w:t>
      </w:r>
      <w:r w:rsidR="0077693B">
        <w:t xml:space="preserve"> </w:t>
      </w:r>
      <w:r w:rsidR="00CA579F">
        <w:t>e</w:t>
      </w:r>
      <w:r w:rsidR="0077693B" w:rsidRPr="00FA5D00">
        <w:t>mail:</w:t>
      </w:r>
      <w:r>
        <w:t xml:space="preserve"> </w:t>
      </w:r>
      <w:hyperlink r:id="rId15" w:tooltip="Email address for Corresponding author Professor Jo Barraket" w:history="1">
        <w:r w:rsidRPr="00B34ED3">
          <w:rPr>
            <w:rStyle w:val="Hyperlink"/>
          </w:rPr>
          <w:t xml:space="preserve">jo.barraket@unimelb.edu.au </w:t>
        </w:r>
      </w:hyperlink>
      <w:r>
        <w:t xml:space="preserve"> </w:t>
      </w:r>
    </w:p>
    <w:p w14:paraId="486FE9F7" w14:textId="38DA7854" w:rsidR="004B6664" w:rsidRDefault="004B6664" w:rsidP="004B6664">
      <w:r w:rsidRPr="00B34ED3">
        <w:rPr>
          <w:b/>
          <w:bCs/>
        </w:rPr>
        <w:t>More information</w:t>
      </w:r>
      <w:r w:rsidR="00B34ED3" w:rsidRPr="00B34ED3">
        <w:rPr>
          <w:b/>
          <w:bCs/>
        </w:rPr>
        <w:t>:</w:t>
      </w:r>
      <w:r w:rsidR="00B34ED3">
        <w:t xml:space="preserve"> </w:t>
      </w:r>
      <w:hyperlink r:id="rId16" w:history="1">
        <w:r w:rsidR="00397974" w:rsidRPr="00B000B1">
          <w:rPr>
            <w:rStyle w:val="Hyperlink"/>
          </w:rPr>
          <w:t>Visit the</w:t>
        </w:r>
        <w:r w:rsidRPr="00B000B1">
          <w:rPr>
            <w:rStyle w:val="Hyperlink"/>
          </w:rPr>
          <w:t xml:space="preserve"> ‘Activating Employment Futures Through Work Integration Social Enterprise’</w:t>
        </w:r>
        <w:r w:rsidR="00397974" w:rsidRPr="00B000B1">
          <w:rPr>
            <w:rStyle w:val="Hyperlink"/>
          </w:rPr>
          <w:t xml:space="preserve"> project website for more information</w:t>
        </w:r>
      </w:hyperlink>
      <w:r>
        <w:t>.</w:t>
      </w:r>
    </w:p>
    <w:p w14:paraId="4464105E" w14:textId="77777777" w:rsidR="00CA579F" w:rsidRDefault="00CA579F" w:rsidP="004B6664"/>
    <w:p w14:paraId="2AE1E8A1" w14:textId="77777777" w:rsidR="00CA579F" w:rsidRDefault="00CA579F" w:rsidP="00CA579F"/>
    <w:p w14:paraId="68EDAF2B" w14:textId="77777777" w:rsidR="004B6664" w:rsidRDefault="004B6664" w:rsidP="004B6664">
      <w:pPr>
        <w:sectPr w:rsidR="004B6664" w:rsidSect="005B0D2B">
          <w:headerReference w:type="default" r:id="rId17"/>
          <w:footerReference w:type="default" r:id="rId18"/>
          <w:pgSz w:w="11906" w:h="16838"/>
          <w:pgMar w:top="1418" w:right="1134" w:bottom="1134" w:left="1134" w:header="709" w:footer="765" w:gutter="0"/>
          <w:cols w:space="708"/>
          <w:docGrid w:linePitch="360"/>
        </w:sectPr>
      </w:pPr>
    </w:p>
    <w:p w14:paraId="1D94B829" w14:textId="77777777" w:rsidR="00E52828" w:rsidRDefault="00E52828" w:rsidP="00E52828">
      <w:r>
        <w:rPr>
          <w:noProof/>
        </w:rPr>
        <w:lastRenderedPageBreak/>
        <w:drawing>
          <wp:inline distT="0" distB="0" distL="0" distR="0" wp14:anchorId="0F1821B8" wp14:editId="570D7E56">
            <wp:extent cx="6120000" cy="2593144"/>
            <wp:effectExtent l="0" t="0" r="1905" b="0"/>
            <wp:docPr id="813151240" name="Picture 1" descr="This is a photograph showing a person with purple hair hugging a black dog wearing a blue harness and muzzle. The setting includes indoor plants and a wooden floor, highlighting a moment of comfort and care between the person and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51240" name="Picture 1" descr="This is a photograph showing a person with purple hair hugging a black dog wearing a blue harness and muzzle. The setting includes indoor plants and a wooden floor, highlighting a moment of comfort and care between the person and dog."/>
                    <pic:cNvPicPr/>
                  </pic:nvPicPr>
                  <pic:blipFill rotWithShape="1">
                    <a:blip r:embed="rId19">
                      <a:extLst>
                        <a:ext uri="{28A0092B-C50C-407E-A947-70E740481C1C}">
                          <a14:useLocalDpi xmlns:a14="http://schemas.microsoft.com/office/drawing/2010/main" val="0"/>
                        </a:ext>
                      </a:extLst>
                    </a:blip>
                    <a:srcRect t="27825" b="29139"/>
                    <a:stretch>
                      <a:fillRect/>
                    </a:stretch>
                  </pic:blipFill>
                  <pic:spPr bwMode="auto">
                    <a:xfrm>
                      <a:off x="0" y="0"/>
                      <a:ext cx="6120000" cy="2593144"/>
                    </a:xfrm>
                    <a:prstGeom prst="rect">
                      <a:avLst/>
                    </a:prstGeom>
                    <a:ln>
                      <a:noFill/>
                    </a:ln>
                    <a:extLst>
                      <a:ext uri="{53640926-AAD7-44D8-BBD7-CCE9431645EC}">
                        <a14:shadowObscured xmlns:a14="http://schemas.microsoft.com/office/drawing/2010/main"/>
                      </a:ext>
                    </a:extLst>
                  </pic:spPr>
                </pic:pic>
              </a:graphicData>
            </a:graphic>
          </wp:inline>
        </w:drawing>
      </w:r>
    </w:p>
    <w:p w14:paraId="16C7897B" w14:textId="35667C39" w:rsidR="009E7235" w:rsidRDefault="009E7235" w:rsidP="009E7235">
      <w:pPr>
        <w:pStyle w:val="Caption"/>
      </w:pPr>
      <w:r>
        <w:t>Photo description: Magic the Therapy Dog giving some love and support at STREAT</w:t>
      </w:r>
      <w:r>
        <w:br/>
        <w:t>Photo credit: STREAT</w:t>
      </w:r>
    </w:p>
    <w:p w14:paraId="3FCD16A6" w14:textId="39EAB393" w:rsidR="009E7235" w:rsidRPr="009E7235" w:rsidRDefault="009E7235" w:rsidP="009E7235">
      <w:pPr>
        <w:spacing w:before="480" w:after="480"/>
        <w:jc w:val="center"/>
      </w:pPr>
      <w:r>
        <w:rPr>
          <w:noProof/>
        </w:rPr>
        <mc:AlternateContent>
          <mc:Choice Requires="wps">
            <w:drawing>
              <wp:inline distT="0" distB="0" distL="0" distR="0" wp14:anchorId="7BF7DD00" wp14:editId="325FB535">
                <wp:extent cx="4680000" cy="252000"/>
                <wp:effectExtent l="0" t="0" r="6350" b="2540"/>
                <wp:docPr id="1620202795"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80000" cy="252000"/>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AE7AF2" id="Rectangle 2" o:spid="_x0000_s1026" alt="&quot;&quot;" style="width:368.5pt;height:19.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" fillcolor="#f7a6ac [3209]" stroked="f" strokeweight="1.5pt">
                <w10:anchorlock/>
              </v:rect>
            </w:pict>
          </mc:Fallback>
        </mc:AlternateContent>
      </w:r>
    </w:p>
    <w:p w14:paraId="33D96E1F" w14:textId="0CD41D5C" w:rsidR="004B6664" w:rsidRDefault="00FE7613" w:rsidP="00D5798D">
      <w:pPr>
        <w:pStyle w:val="Subtitle"/>
        <w:ind w:left="1134" w:right="1133"/>
      </w:pPr>
      <w:r>
        <w:t>Table of contents</w:t>
      </w:r>
    </w:p>
    <w:p w14:paraId="3D8A2946" w14:textId="292B56FC" w:rsidR="00946EFC" w:rsidRDefault="00FE7613">
      <w:pPr>
        <w:pStyle w:val="TOC1"/>
        <w:rPr>
          <w:rFonts w:asciiTheme="minorHAnsi" w:eastAsiaTheme="minorEastAsia" w:hAnsiTheme="minorHAnsi"/>
          <w:b w:val="0"/>
          <w:noProof/>
          <w:sz w:val="24"/>
          <w:lang w:eastAsia="en-GB"/>
        </w:rPr>
      </w:pPr>
      <w:r>
        <w:fldChar w:fldCharType="begin"/>
      </w:r>
      <w:r>
        <w:instrText xml:space="preserve"> TOC \o "1-3" \h \z \u </w:instrText>
      </w:r>
      <w:r>
        <w:fldChar w:fldCharType="separate"/>
      </w:r>
      <w:hyperlink w:anchor="_Toc235113569" w:history="1">
        <w:r w:rsidR="00946EFC" w:rsidRPr="00E540BA">
          <w:rPr>
            <w:rStyle w:val="Hyperlink"/>
            <w:noProof/>
          </w:rPr>
          <w:t>Introduction and background</w:t>
        </w:r>
        <w:r w:rsidR="00946EFC">
          <w:rPr>
            <w:noProof/>
            <w:webHidden/>
          </w:rPr>
          <w:tab/>
        </w:r>
        <w:r w:rsidR="00946EFC">
          <w:rPr>
            <w:noProof/>
            <w:webHidden/>
          </w:rPr>
          <w:fldChar w:fldCharType="begin"/>
        </w:r>
        <w:r w:rsidR="00946EFC">
          <w:rPr>
            <w:noProof/>
            <w:webHidden/>
          </w:rPr>
          <w:instrText xml:space="preserve"> PAGEREF _Toc235113569 \h </w:instrText>
        </w:r>
        <w:r w:rsidR="00946EFC">
          <w:rPr>
            <w:noProof/>
            <w:webHidden/>
          </w:rPr>
        </w:r>
        <w:r w:rsidR="00946EFC">
          <w:rPr>
            <w:noProof/>
            <w:webHidden/>
          </w:rPr>
          <w:fldChar w:fldCharType="separate"/>
        </w:r>
        <w:r w:rsidR="00946EFC">
          <w:rPr>
            <w:noProof/>
            <w:webHidden/>
          </w:rPr>
          <w:t>4</w:t>
        </w:r>
        <w:r w:rsidR="00946EFC">
          <w:rPr>
            <w:noProof/>
            <w:webHidden/>
          </w:rPr>
          <w:fldChar w:fldCharType="end"/>
        </w:r>
      </w:hyperlink>
    </w:p>
    <w:p w14:paraId="785E2F87" w14:textId="7834FA75" w:rsidR="00946EFC" w:rsidRDefault="00946EFC">
      <w:pPr>
        <w:pStyle w:val="TOC1"/>
        <w:rPr>
          <w:rFonts w:asciiTheme="minorHAnsi" w:eastAsiaTheme="minorEastAsia" w:hAnsiTheme="minorHAnsi"/>
          <w:b w:val="0"/>
          <w:noProof/>
          <w:sz w:val="24"/>
          <w:lang w:eastAsia="en-GB"/>
        </w:rPr>
      </w:pPr>
      <w:hyperlink w:anchor="_Toc235113570" w:history="1">
        <w:r w:rsidRPr="00E540BA">
          <w:rPr>
            <w:rStyle w:val="Hyperlink"/>
            <w:noProof/>
          </w:rPr>
          <w:t>Snapshot of WISE</w:t>
        </w:r>
        <w:r>
          <w:rPr>
            <w:noProof/>
            <w:webHidden/>
          </w:rPr>
          <w:tab/>
        </w:r>
        <w:r>
          <w:rPr>
            <w:noProof/>
            <w:webHidden/>
          </w:rPr>
          <w:fldChar w:fldCharType="begin"/>
        </w:r>
        <w:r>
          <w:rPr>
            <w:noProof/>
            <w:webHidden/>
          </w:rPr>
          <w:instrText xml:space="preserve"> PAGEREF _Toc235113570 \h </w:instrText>
        </w:r>
        <w:r>
          <w:rPr>
            <w:noProof/>
            <w:webHidden/>
          </w:rPr>
        </w:r>
        <w:r>
          <w:rPr>
            <w:noProof/>
            <w:webHidden/>
          </w:rPr>
          <w:fldChar w:fldCharType="separate"/>
        </w:r>
        <w:r>
          <w:rPr>
            <w:noProof/>
            <w:webHidden/>
          </w:rPr>
          <w:t>5</w:t>
        </w:r>
        <w:r>
          <w:rPr>
            <w:noProof/>
            <w:webHidden/>
          </w:rPr>
          <w:fldChar w:fldCharType="end"/>
        </w:r>
      </w:hyperlink>
    </w:p>
    <w:p w14:paraId="50524AB9" w14:textId="0023F451" w:rsidR="00946EFC" w:rsidRDefault="00946EFC">
      <w:pPr>
        <w:pStyle w:val="TOC1"/>
        <w:rPr>
          <w:rFonts w:asciiTheme="minorHAnsi" w:eastAsiaTheme="minorEastAsia" w:hAnsiTheme="minorHAnsi"/>
          <w:b w:val="0"/>
          <w:noProof/>
          <w:sz w:val="24"/>
          <w:lang w:eastAsia="en-GB"/>
        </w:rPr>
      </w:pPr>
      <w:hyperlink w:anchor="_Toc235113571" w:history="1">
        <w:r w:rsidRPr="00E540BA">
          <w:rPr>
            <w:rStyle w:val="Hyperlink"/>
            <w:noProof/>
          </w:rPr>
          <w:t>WISE in Australia – a taxonomy</w:t>
        </w:r>
        <w:r>
          <w:rPr>
            <w:noProof/>
            <w:webHidden/>
          </w:rPr>
          <w:tab/>
        </w:r>
        <w:r>
          <w:rPr>
            <w:noProof/>
            <w:webHidden/>
          </w:rPr>
          <w:fldChar w:fldCharType="begin"/>
        </w:r>
        <w:r>
          <w:rPr>
            <w:noProof/>
            <w:webHidden/>
          </w:rPr>
          <w:instrText xml:space="preserve"> PAGEREF _Toc235113571 \h </w:instrText>
        </w:r>
        <w:r>
          <w:rPr>
            <w:noProof/>
            <w:webHidden/>
          </w:rPr>
        </w:r>
        <w:r>
          <w:rPr>
            <w:noProof/>
            <w:webHidden/>
          </w:rPr>
          <w:fldChar w:fldCharType="separate"/>
        </w:r>
        <w:r>
          <w:rPr>
            <w:noProof/>
            <w:webHidden/>
          </w:rPr>
          <w:t>5</w:t>
        </w:r>
        <w:r>
          <w:rPr>
            <w:noProof/>
            <w:webHidden/>
          </w:rPr>
          <w:fldChar w:fldCharType="end"/>
        </w:r>
      </w:hyperlink>
    </w:p>
    <w:p w14:paraId="00097EA4" w14:textId="571E18AB" w:rsidR="00946EFC" w:rsidRDefault="00946EFC">
      <w:pPr>
        <w:pStyle w:val="TOC1"/>
        <w:rPr>
          <w:rFonts w:asciiTheme="minorHAnsi" w:eastAsiaTheme="minorEastAsia" w:hAnsiTheme="minorHAnsi"/>
          <w:b w:val="0"/>
          <w:noProof/>
          <w:sz w:val="24"/>
          <w:lang w:eastAsia="en-GB"/>
        </w:rPr>
      </w:pPr>
      <w:hyperlink w:anchor="_Toc235113572" w:history="1">
        <w:r w:rsidRPr="00E540BA">
          <w:rPr>
            <w:rStyle w:val="Hyperlink"/>
            <w:noProof/>
          </w:rPr>
          <w:t>Survey results</w:t>
        </w:r>
        <w:r>
          <w:rPr>
            <w:noProof/>
            <w:webHidden/>
          </w:rPr>
          <w:tab/>
        </w:r>
        <w:r>
          <w:rPr>
            <w:noProof/>
            <w:webHidden/>
          </w:rPr>
          <w:fldChar w:fldCharType="begin"/>
        </w:r>
        <w:r>
          <w:rPr>
            <w:noProof/>
            <w:webHidden/>
          </w:rPr>
          <w:instrText xml:space="preserve"> PAGEREF _Toc235113572 \h </w:instrText>
        </w:r>
        <w:r>
          <w:rPr>
            <w:noProof/>
            <w:webHidden/>
          </w:rPr>
        </w:r>
        <w:r>
          <w:rPr>
            <w:noProof/>
            <w:webHidden/>
          </w:rPr>
          <w:fldChar w:fldCharType="separate"/>
        </w:r>
        <w:r>
          <w:rPr>
            <w:noProof/>
            <w:webHidden/>
          </w:rPr>
          <w:t>7</w:t>
        </w:r>
        <w:r>
          <w:rPr>
            <w:noProof/>
            <w:webHidden/>
          </w:rPr>
          <w:fldChar w:fldCharType="end"/>
        </w:r>
      </w:hyperlink>
    </w:p>
    <w:p w14:paraId="074C0E7B" w14:textId="342FBF67" w:rsidR="00946EFC" w:rsidRDefault="00946EFC">
      <w:pPr>
        <w:pStyle w:val="TOC2"/>
        <w:rPr>
          <w:rFonts w:asciiTheme="minorHAnsi" w:eastAsiaTheme="minorEastAsia" w:hAnsiTheme="minorHAnsi"/>
          <w:noProof/>
          <w:sz w:val="24"/>
          <w:lang w:eastAsia="en-GB"/>
        </w:rPr>
      </w:pPr>
      <w:hyperlink w:anchor="_Toc235113573" w:history="1">
        <w:r w:rsidRPr="00E540BA">
          <w:rPr>
            <w:rStyle w:val="Hyperlink"/>
            <w:noProof/>
          </w:rPr>
          <w:t>Organisational form</w:t>
        </w:r>
        <w:r>
          <w:rPr>
            <w:noProof/>
            <w:webHidden/>
          </w:rPr>
          <w:tab/>
        </w:r>
        <w:r>
          <w:rPr>
            <w:noProof/>
            <w:webHidden/>
          </w:rPr>
          <w:fldChar w:fldCharType="begin"/>
        </w:r>
        <w:r>
          <w:rPr>
            <w:noProof/>
            <w:webHidden/>
          </w:rPr>
          <w:instrText xml:space="preserve"> PAGEREF _Toc235113573 \h </w:instrText>
        </w:r>
        <w:r>
          <w:rPr>
            <w:noProof/>
            <w:webHidden/>
          </w:rPr>
        </w:r>
        <w:r>
          <w:rPr>
            <w:noProof/>
            <w:webHidden/>
          </w:rPr>
          <w:fldChar w:fldCharType="separate"/>
        </w:r>
        <w:r>
          <w:rPr>
            <w:noProof/>
            <w:webHidden/>
          </w:rPr>
          <w:t>7</w:t>
        </w:r>
        <w:r>
          <w:rPr>
            <w:noProof/>
            <w:webHidden/>
          </w:rPr>
          <w:fldChar w:fldCharType="end"/>
        </w:r>
      </w:hyperlink>
    </w:p>
    <w:p w14:paraId="0BD4414E" w14:textId="60714022" w:rsidR="00946EFC" w:rsidRDefault="00946EFC">
      <w:pPr>
        <w:pStyle w:val="TOC2"/>
        <w:rPr>
          <w:rFonts w:asciiTheme="minorHAnsi" w:eastAsiaTheme="minorEastAsia" w:hAnsiTheme="minorHAnsi"/>
          <w:noProof/>
          <w:sz w:val="24"/>
          <w:lang w:eastAsia="en-GB"/>
        </w:rPr>
      </w:pPr>
      <w:hyperlink w:anchor="_Toc235113574" w:history="1">
        <w:r w:rsidRPr="00E540BA">
          <w:rPr>
            <w:rStyle w:val="Hyperlink"/>
            <w:noProof/>
          </w:rPr>
          <w:t>Ownership structure</w:t>
        </w:r>
        <w:r>
          <w:rPr>
            <w:noProof/>
            <w:webHidden/>
          </w:rPr>
          <w:tab/>
        </w:r>
        <w:r>
          <w:rPr>
            <w:noProof/>
            <w:webHidden/>
          </w:rPr>
          <w:fldChar w:fldCharType="begin"/>
        </w:r>
        <w:r>
          <w:rPr>
            <w:noProof/>
            <w:webHidden/>
          </w:rPr>
          <w:instrText xml:space="preserve"> PAGEREF _Toc235113574 \h </w:instrText>
        </w:r>
        <w:r>
          <w:rPr>
            <w:noProof/>
            <w:webHidden/>
          </w:rPr>
        </w:r>
        <w:r>
          <w:rPr>
            <w:noProof/>
            <w:webHidden/>
          </w:rPr>
          <w:fldChar w:fldCharType="separate"/>
        </w:r>
        <w:r>
          <w:rPr>
            <w:noProof/>
            <w:webHidden/>
          </w:rPr>
          <w:t>7</w:t>
        </w:r>
        <w:r>
          <w:rPr>
            <w:noProof/>
            <w:webHidden/>
          </w:rPr>
          <w:fldChar w:fldCharType="end"/>
        </w:r>
      </w:hyperlink>
    </w:p>
    <w:p w14:paraId="68DA0C71" w14:textId="2FCD122E" w:rsidR="00946EFC" w:rsidRDefault="00946EFC">
      <w:pPr>
        <w:pStyle w:val="TOC2"/>
        <w:rPr>
          <w:rFonts w:asciiTheme="minorHAnsi" w:eastAsiaTheme="minorEastAsia" w:hAnsiTheme="minorHAnsi"/>
          <w:noProof/>
          <w:sz w:val="24"/>
          <w:lang w:eastAsia="en-GB"/>
        </w:rPr>
      </w:pPr>
      <w:hyperlink w:anchor="_Toc235113575" w:history="1">
        <w:r w:rsidRPr="00E540BA">
          <w:rPr>
            <w:rStyle w:val="Hyperlink"/>
            <w:noProof/>
          </w:rPr>
          <w:t>Main focus and activities</w:t>
        </w:r>
        <w:r>
          <w:rPr>
            <w:noProof/>
            <w:webHidden/>
          </w:rPr>
          <w:tab/>
        </w:r>
        <w:r>
          <w:rPr>
            <w:noProof/>
            <w:webHidden/>
          </w:rPr>
          <w:fldChar w:fldCharType="begin"/>
        </w:r>
        <w:r>
          <w:rPr>
            <w:noProof/>
            <w:webHidden/>
          </w:rPr>
          <w:instrText xml:space="preserve"> PAGEREF _Toc235113575 \h </w:instrText>
        </w:r>
        <w:r>
          <w:rPr>
            <w:noProof/>
            <w:webHidden/>
          </w:rPr>
        </w:r>
        <w:r>
          <w:rPr>
            <w:noProof/>
            <w:webHidden/>
          </w:rPr>
          <w:fldChar w:fldCharType="separate"/>
        </w:r>
        <w:r>
          <w:rPr>
            <w:noProof/>
            <w:webHidden/>
          </w:rPr>
          <w:t>8</w:t>
        </w:r>
        <w:r>
          <w:rPr>
            <w:noProof/>
            <w:webHidden/>
          </w:rPr>
          <w:fldChar w:fldCharType="end"/>
        </w:r>
      </w:hyperlink>
    </w:p>
    <w:p w14:paraId="101C4129" w14:textId="3B50A096" w:rsidR="00946EFC" w:rsidRDefault="00946EFC">
      <w:pPr>
        <w:pStyle w:val="TOC2"/>
        <w:rPr>
          <w:rFonts w:asciiTheme="minorHAnsi" w:eastAsiaTheme="minorEastAsia" w:hAnsiTheme="minorHAnsi"/>
          <w:noProof/>
          <w:sz w:val="24"/>
          <w:lang w:eastAsia="en-GB"/>
        </w:rPr>
      </w:pPr>
      <w:hyperlink w:anchor="_Toc235113576" w:history="1">
        <w:r w:rsidRPr="00E540BA">
          <w:rPr>
            <w:rStyle w:val="Hyperlink"/>
            <w:noProof/>
          </w:rPr>
          <w:t>Compensation for participants/employees</w:t>
        </w:r>
        <w:r>
          <w:rPr>
            <w:noProof/>
            <w:webHidden/>
          </w:rPr>
          <w:tab/>
        </w:r>
        <w:r>
          <w:rPr>
            <w:noProof/>
            <w:webHidden/>
          </w:rPr>
          <w:fldChar w:fldCharType="begin"/>
        </w:r>
        <w:r>
          <w:rPr>
            <w:noProof/>
            <w:webHidden/>
          </w:rPr>
          <w:instrText xml:space="preserve"> PAGEREF _Toc235113576 \h </w:instrText>
        </w:r>
        <w:r>
          <w:rPr>
            <w:noProof/>
            <w:webHidden/>
          </w:rPr>
        </w:r>
        <w:r>
          <w:rPr>
            <w:noProof/>
            <w:webHidden/>
          </w:rPr>
          <w:fldChar w:fldCharType="separate"/>
        </w:r>
        <w:r>
          <w:rPr>
            <w:noProof/>
            <w:webHidden/>
          </w:rPr>
          <w:t>9</w:t>
        </w:r>
        <w:r>
          <w:rPr>
            <w:noProof/>
            <w:webHidden/>
          </w:rPr>
          <w:fldChar w:fldCharType="end"/>
        </w:r>
      </w:hyperlink>
    </w:p>
    <w:p w14:paraId="26FC77B2" w14:textId="2C31056F" w:rsidR="00946EFC" w:rsidRDefault="00946EFC">
      <w:pPr>
        <w:pStyle w:val="TOC2"/>
        <w:rPr>
          <w:rFonts w:asciiTheme="minorHAnsi" w:eastAsiaTheme="minorEastAsia" w:hAnsiTheme="minorHAnsi"/>
          <w:noProof/>
          <w:sz w:val="24"/>
          <w:lang w:eastAsia="en-GB"/>
        </w:rPr>
      </w:pPr>
      <w:hyperlink w:anchor="_Toc235113577" w:history="1">
        <w:r w:rsidRPr="00E540BA">
          <w:rPr>
            <w:rStyle w:val="Hyperlink"/>
            <w:noProof/>
          </w:rPr>
          <w:t>Revenue sources</w:t>
        </w:r>
        <w:r>
          <w:rPr>
            <w:noProof/>
            <w:webHidden/>
          </w:rPr>
          <w:tab/>
        </w:r>
        <w:r>
          <w:rPr>
            <w:noProof/>
            <w:webHidden/>
          </w:rPr>
          <w:fldChar w:fldCharType="begin"/>
        </w:r>
        <w:r>
          <w:rPr>
            <w:noProof/>
            <w:webHidden/>
          </w:rPr>
          <w:instrText xml:space="preserve"> PAGEREF _Toc235113577 \h </w:instrText>
        </w:r>
        <w:r>
          <w:rPr>
            <w:noProof/>
            <w:webHidden/>
          </w:rPr>
        </w:r>
        <w:r>
          <w:rPr>
            <w:noProof/>
            <w:webHidden/>
          </w:rPr>
          <w:fldChar w:fldCharType="separate"/>
        </w:r>
        <w:r>
          <w:rPr>
            <w:noProof/>
            <w:webHidden/>
          </w:rPr>
          <w:t>10</w:t>
        </w:r>
        <w:r>
          <w:rPr>
            <w:noProof/>
            <w:webHidden/>
          </w:rPr>
          <w:fldChar w:fldCharType="end"/>
        </w:r>
      </w:hyperlink>
    </w:p>
    <w:p w14:paraId="3E88AB2D" w14:textId="717C2BA7" w:rsidR="00946EFC" w:rsidRDefault="00946EFC">
      <w:pPr>
        <w:pStyle w:val="TOC2"/>
        <w:rPr>
          <w:rFonts w:asciiTheme="minorHAnsi" w:eastAsiaTheme="minorEastAsia" w:hAnsiTheme="minorHAnsi"/>
          <w:noProof/>
          <w:sz w:val="24"/>
          <w:lang w:eastAsia="en-GB"/>
        </w:rPr>
      </w:pPr>
      <w:hyperlink w:anchor="_Toc235113578" w:history="1">
        <w:r w:rsidRPr="00E540BA">
          <w:rPr>
            <w:rStyle w:val="Hyperlink"/>
            <w:noProof/>
          </w:rPr>
          <w:t>Sources of government funding and income</w:t>
        </w:r>
        <w:r>
          <w:rPr>
            <w:noProof/>
            <w:webHidden/>
          </w:rPr>
          <w:tab/>
        </w:r>
        <w:r>
          <w:rPr>
            <w:noProof/>
            <w:webHidden/>
          </w:rPr>
          <w:fldChar w:fldCharType="begin"/>
        </w:r>
        <w:r>
          <w:rPr>
            <w:noProof/>
            <w:webHidden/>
          </w:rPr>
          <w:instrText xml:space="preserve"> PAGEREF _Toc235113578 \h </w:instrText>
        </w:r>
        <w:r>
          <w:rPr>
            <w:noProof/>
            <w:webHidden/>
          </w:rPr>
        </w:r>
        <w:r>
          <w:rPr>
            <w:noProof/>
            <w:webHidden/>
          </w:rPr>
          <w:fldChar w:fldCharType="separate"/>
        </w:r>
        <w:r>
          <w:rPr>
            <w:noProof/>
            <w:webHidden/>
          </w:rPr>
          <w:t>10</w:t>
        </w:r>
        <w:r>
          <w:rPr>
            <w:noProof/>
            <w:webHidden/>
          </w:rPr>
          <w:fldChar w:fldCharType="end"/>
        </w:r>
      </w:hyperlink>
    </w:p>
    <w:p w14:paraId="1C1BAA14" w14:textId="7852EB6D" w:rsidR="00946EFC" w:rsidRDefault="00946EFC">
      <w:pPr>
        <w:pStyle w:val="TOC1"/>
        <w:rPr>
          <w:rFonts w:asciiTheme="minorHAnsi" w:eastAsiaTheme="minorEastAsia" w:hAnsiTheme="minorHAnsi"/>
          <w:b w:val="0"/>
          <w:noProof/>
          <w:sz w:val="24"/>
          <w:lang w:eastAsia="en-GB"/>
        </w:rPr>
      </w:pPr>
      <w:hyperlink w:anchor="_Toc235113579" w:history="1">
        <w:r w:rsidRPr="00E540BA">
          <w:rPr>
            <w:rStyle w:val="Hyperlink"/>
            <w:noProof/>
          </w:rPr>
          <w:t>A note on methods and limitations</w:t>
        </w:r>
        <w:r>
          <w:rPr>
            <w:noProof/>
            <w:webHidden/>
          </w:rPr>
          <w:tab/>
        </w:r>
        <w:r>
          <w:rPr>
            <w:noProof/>
            <w:webHidden/>
          </w:rPr>
          <w:fldChar w:fldCharType="begin"/>
        </w:r>
        <w:r>
          <w:rPr>
            <w:noProof/>
            <w:webHidden/>
          </w:rPr>
          <w:instrText xml:space="preserve"> PAGEREF _Toc235113579 \h </w:instrText>
        </w:r>
        <w:r>
          <w:rPr>
            <w:noProof/>
            <w:webHidden/>
          </w:rPr>
        </w:r>
        <w:r>
          <w:rPr>
            <w:noProof/>
            <w:webHidden/>
          </w:rPr>
          <w:fldChar w:fldCharType="separate"/>
        </w:r>
        <w:r>
          <w:rPr>
            <w:noProof/>
            <w:webHidden/>
          </w:rPr>
          <w:t>11</w:t>
        </w:r>
        <w:r>
          <w:rPr>
            <w:noProof/>
            <w:webHidden/>
          </w:rPr>
          <w:fldChar w:fldCharType="end"/>
        </w:r>
      </w:hyperlink>
    </w:p>
    <w:p w14:paraId="6C5874BD" w14:textId="5666BE7F" w:rsidR="00946EFC" w:rsidRDefault="00946EFC">
      <w:pPr>
        <w:pStyle w:val="TOC1"/>
        <w:rPr>
          <w:rFonts w:asciiTheme="minorHAnsi" w:eastAsiaTheme="minorEastAsia" w:hAnsiTheme="minorHAnsi"/>
          <w:b w:val="0"/>
          <w:noProof/>
          <w:sz w:val="24"/>
          <w:lang w:eastAsia="en-GB"/>
        </w:rPr>
      </w:pPr>
      <w:hyperlink w:anchor="_Toc235113580" w:history="1">
        <w:r w:rsidRPr="00E540BA">
          <w:rPr>
            <w:rStyle w:val="Hyperlink"/>
            <w:noProof/>
          </w:rPr>
          <w:t>Implications and conclusions</w:t>
        </w:r>
        <w:r>
          <w:rPr>
            <w:noProof/>
            <w:webHidden/>
          </w:rPr>
          <w:tab/>
        </w:r>
        <w:r>
          <w:rPr>
            <w:noProof/>
            <w:webHidden/>
          </w:rPr>
          <w:fldChar w:fldCharType="begin"/>
        </w:r>
        <w:r>
          <w:rPr>
            <w:noProof/>
            <w:webHidden/>
          </w:rPr>
          <w:instrText xml:space="preserve"> PAGEREF _Toc235113580 \h </w:instrText>
        </w:r>
        <w:r>
          <w:rPr>
            <w:noProof/>
            <w:webHidden/>
          </w:rPr>
        </w:r>
        <w:r>
          <w:rPr>
            <w:noProof/>
            <w:webHidden/>
          </w:rPr>
          <w:fldChar w:fldCharType="separate"/>
        </w:r>
        <w:r>
          <w:rPr>
            <w:noProof/>
            <w:webHidden/>
          </w:rPr>
          <w:t>12</w:t>
        </w:r>
        <w:r>
          <w:rPr>
            <w:noProof/>
            <w:webHidden/>
          </w:rPr>
          <w:fldChar w:fldCharType="end"/>
        </w:r>
      </w:hyperlink>
    </w:p>
    <w:p w14:paraId="18836EB3" w14:textId="240FD424" w:rsidR="00946EFC" w:rsidRDefault="00946EFC">
      <w:pPr>
        <w:pStyle w:val="TOC1"/>
        <w:rPr>
          <w:rFonts w:asciiTheme="minorHAnsi" w:eastAsiaTheme="minorEastAsia" w:hAnsiTheme="minorHAnsi"/>
          <w:b w:val="0"/>
          <w:noProof/>
          <w:sz w:val="24"/>
          <w:lang w:eastAsia="en-GB"/>
        </w:rPr>
      </w:pPr>
      <w:hyperlink w:anchor="_Toc235113581" w:history="1">
        <w:r w:rsidRPr="00E540BA">
          <w:rPr>
            <w:rStyle w:val="Hyperlink"/>
            <w:noProof/>
          </w:rPr>
          <w:t>Reference list</w:t>
        </w:r>
        <w:r>
          <w:rPr>
            <w:noProof/>
            <w:webHidden/>
          </w:rPr>
          <w:tab/>
        </w:r>
        <w:r>
          <w:rPr>
            <w:noProof/>
            <w:webHidden/>
          </w:rPr>
          <w:fldChar w:fldCharType="begin"/>
        </w:r>
        <w:r>
          <w:rPr>
            <w:noProof/>
            <w:webHidden/>
          </w:rPr>
          <w:instrText xml:space="preserve"> PAGEREF _Toc235113581 \h </w:instrText>
        </w:r>
        <w:r>
          <w:rPr>
            <w:noProof/>
            <w:webHidden/>
          </w:rPr>
        </w:r>
        <w:r>
          <w:rPr>
            <w:noProof/>
            <w:webHidden/>
          </w:rPr>
          <w:fldChar w:fldCharType="separate"/>
        </w:r>
        <w:r>
          <w:rPr>
            <w:noProof/>
            <w:webHidden/>
          </w:rPr>
          <w:t>13</w:t>
        </w:r>
        <w:r>
          <w:rPr>
            <w:noProof/>
            <w:webHidden/>
          </w:rPr>
          <w:fldChar w:fldCharType="end"/>
        </w:r>
      </w:hyperlink>
    </w:p>
    <w:p w14:paraId="053A7C0F" w14:textId="4F3B8278" w:rsidR="00946EFC" w:rsidRDefault="00946EFC">
      <w:pPr>
        <w:pStyle w:val="TOC1"/>
        <w:rPr>
          <w:rFonts w:asciiTheme="minorHAnsi" w:eastAsiaTheme="minorEastAsia" w:hAnsiTheme="minorHAnsi"/>
          <w:b w:val="0"/>
          <w:noProof/>
          <w:sz w:val="24"/>
          <w:lang w:eastAsia="en-GB"/>
        </w:rPr>
      </w:pPr>
      <w:hyperlink w:anchor="_Toc235113582" w:history="1">
        <w:r w:rsidRPr="00E540BA">
          <w:rPr>
            <w:rStyle w:val="Hyperlink"/>
            <w:noProof/>
          </w:rPr>
          <w:t>Appendix 1: Survey instrument</w:t>
        </w:r>
        <w:r>
          <w:rPr>
            <w:noProof/>
            <w:webHidden/>
          </w:rPr>
          <w:tab/>
        </w:r>
        <w:r>
          <w:rPr>
            <w:noProof/>
            <w:webHidden/>
          </w:rPr>
          <w:fldChar w:fldCharType="begin"/>
        </w:r>
        <w:r>
          <w:rPr>
            <w:noProof/>
            <w:webHidden/>
          </w:rPr>
          <w:instrText xml:space="preserve"> PAGEREF _Toc235113582 \h </w:instrText>
        </w:r>
        <w:r>
          <w:rPr>
            <w:noProof/>
            <w:webHidden/>
          </w:rPr>
        </w:r>
        <w:r>
          <w:rPr>
            <w:noProof/>
            <w:webHidden/>
          </w:rPr>
          <w:fldChar w:fldCharType="separate"/>
        </w:r>
        <w:r>
          <w:rPr>
            <w:noProof/>
            <w:webHidden/>
          </w:rPr>
          <w:t>14</w:t>
        </w:r>
        <w:r>
          <w:rPr>
            <w:noProof/>
            <w:webHidden/>
          </w:rPr>
          <w:fldChar w:fldCharType="end"/>
        </w:r>
      </w:hyperlink>
    </w:p>
    <w:p w14:paraId="32A58928" w14:textId="2FB5F350" w:rsidR="00FE7613" w:rsidRPr="00FE7613" w:rsidRDefault="00FE7613" w:rsidP="00FE7613">
      <w:r>
        <w:fldChar w:fldCharType="end"/>
      </w:r>
    </w:p>
    <w:p w14:paraId="4FA9A119" w14:textId="77777777" w:rsidR="004B6664" w:rsidRDefault="004B6664" w:rsidP="004B6664">
      <w:pPr>
        <w:sectPr w:rsidR="004B6664" w:rsidSect="005B0D2B">
          <w:pgSz w:w="11906" w:h="16838"/>
          <w:pgMar w:top="1418" w:right="1134" w:bottom="1134" w:left="1134" w:header="709" w:footer="765" w:gutter="0"/>
          <w:cols w:space="708"/>
          <w:docGrid w:linePitch="360"/>
        </w:sectPr>
      </w:pPr>
    </w:p>
    <w:p w14:paraId="65E3061A" w14:textId="77777777" w:rsidR="00D8341B" w:rsidRDefault="00D8341B" w:rsidP="00D8341B">
      <w:pPr>
        <w:pStyle w:val="Heading1"/>
      </w:pPr>
      <w:bookmarkStart w:id="0" w:name="_Toc235113569"/>
      <w:r>
        <w:lastRenderedPageBreak/>
        <w:t>Introduction and background</w:t>
      </w:r>
      <w:bookmarkEnd w:id="0"/>
    </w:p>
    <w:p w14:paraId="67718821" w14:textId="77777777" w:rsidR="004B6664" w:rsidRDefault="004B6664" w:rsidP="004B6664">
      <w:r>
        <w:t>There are an estimated 12,000 social enterprises operating across Australia. Together, they contribute $21.3 billion to the Australian economy, representing approximately 1% of GDP (Social Enterprise Australia, 2022).</w:t>
      </w:r>
    </w:p>
    <w:p w14:paraId="09803867" w14:textId="77777777" w:rsidR="004B6664" w:rsidRDefault="004B6664" w:rsidP="004B6664">
      <w:r>
        <w:t>Because of challenges of identification and different methods used in different studies, it is unclear how many are work integration or jobs-focused social enterprises. However, national studies suggest that just over a third of social enterprises in Australia aim to “</w:t>
      </w:r>
      <w:proofErr w:type="spellStart"/>
      <w:r>
        <w:t>creat</w:t>
      </w:r>
      <w:proofErr w:type="spellEnd"/>
      <w:r>
        <w:t>[e] meaningful employment opportunities for people from a specific group”, noting that some social enterprises have multiple purposes (Barraket et al., 2016: 18).</w:t>
      </w:r>
    </w:p>
    <w:p w14:paraId="170075CD" w14:textId="77777777" w:rsidR="004B6664" w:rsidRDefault="004B6664" w:rsidP="004B6664">
      <w:r>
        <w:t>Work integration social enterprises (WISEs) are diverse, and this diversity is not well-understood by policymakers and funders (Sykes et al., 2024). With increasing attention being paid to WISE in government reforms to employment services in general and inclusive employment in particular, better understanding of the characteristics of WISE and the diversity of WISE models is needed.</w:t>
      </w:r>
    </w:p>
    <w:p w14:paraId="07B3FDA9" w14:textId="304706A2" w:rsidR="004B6664" w:rsidRDefault="004B6664" w:rsidP="004B6664">
      <w:r>
        <w:t xml:space="preserve">Drawing on a short survey of participants conducted at the 2025 Social Enterprise Jobs Summit hosted by Social Enterprise Australia and White Box Enterprises, this report – the fourth in a series arising from the Australian Research Council Linkage project, </w:t>
      </w:r>
      <w:r w:rsidRPr="00147BE7">
        <w:t>Activating Employment Futures Through Work Integration Social Enterprise (WISE) (</w:t>
      </w:r>
      <w:r>
        <w:t>LP220100323) – presents a taxonomy of the key characteristics and differences of WISE in Australia.</w:t>
      </w:r>
      <w:r w:rsidR="00147BE7">
        <w:t xml:space="preserve"> </w:t>
      </w:r>
      <w:hyperlink r:id="rId20" w:history="1">
        <w:r w:rsidR="005B0D2B" w:rsidRPr="00D94F76">
          <w:rPr>
            <w:rStyle w:val="Hyperlink"/>
          </w:rPr>
          <w:t>You can read more about the project</w:t>
        </w:r>
        <w:r w:rsidR="00147BE7" w:rsidRPr="00D94F76">
          <w:rPr>
            <w:rStyle w:val="Hyperlink"/>
          </w:rPr>
          <w:t xml:space="preserve"> by </w:t>
        </w:r>
        <w:r w:rsidR="00993ACC" w:rsidRPr="00D94F76">
          <w:rPr>
            <w:rStyle w:val="Hyperlink"/>
          </w:rPr>
          <w:t>visiting the project website</w:t>
        </w:r>
        <w:r w:rsidR="00D94F76" w:rsidRPr="00D94F76">
          <w:rPr>
            <w:rStyle w:val="Hyperlink"/>
          </w:rPr>
          <w:t>.</w:t>
        </w:r>
      </w:hyperlink>
    </w:p>
    <w:p w14:paraId="6FDD56AF" w14:textId="77777777" w:rsidR="00D8341B" w:rsidRDefault="00D8341B" w:rsidP="008070B8">
      <w:r>
        <w:rPr>
          <w:noProof/>
        </w:rPr>
        <w:drawing>
          <wp:inline distT="0" distB="0" distL="0" distR="0" wp14:anchorId="19536665" wp14:editId="2E467285">
            <wp:extent cx="6096000" cy="3689498"/>
            <wp:effectExtent l="0" t="0" r="0" b="6350"/>
            <wp:docPr id="1936958492" name="Picture 3" descr="Photograph of a woman cooking in a commercial kitchen, holding a large serving spoon with steaming rice over a pot. The setting features shiny black tiled walls, stainless steel containers, and the woman wears a blue shirt with a yellow Kabul Social logo and black glo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58492" name="Picture 3" descr="Photograph of a woman cooking in a commercial kitchen, holding a large serving spoon with steaming rice over a pot. The setting features shiny black tiled walls, stainless steel containers, and the woman wears a blue shirt with a yellow Kabul Social logo and black gloves."/>
                    <pic:cNvPicPr/>
                  </pic:nvPicPr>
                  <pic:blipFill rotWithShape="1">
                    <a:blip r:embed="rId21" cstate="print">
                      <a:extLst>
                        <a:ext uri="{28A0092B-C50C-407E-A947-70E740481C1C}">
                          <a14:useLocalDpi xmlns:a14="http://schemas.microsoft.com/office/drawing/2010/main" val="0"/>
                        </a:ext>
                      </a:extLst>
                    </a:blip>
                    <a:srcRect b="9215"/>
                    <a:stretch>
                      <a:fillRect/>
                    </a:stretch>
                  </pic:blipFill>
                  <pic:spPr bwMode="auto">
                    <a:xfrm>
                      <a:off x="0" y="0"/>
                      <a:ext cx="6096000" cy="3689498"/>
                    </a:xfrm>
                    <a:prstGeom prst="rect">
                      <a:avLst/>
                    </a:prstGeom>
                    <a:ln>
                      <a:noFill/>
                    </a:ln>
                    <a:extLst>
                      <a:ext uri="{53640926-AAD7-44D8-BBD7-CCE9431645EC}">
                        <a14:shadowObscured xmlns:a14="http://schemas.microsoft.com/office/drawing/2010/main"/>
                      </a:ext>
                    </a:extLst>
                  </pic:spPr>
                </pic:pic>
              </a:graphicData>
            </a:graphic>
          </wp:inline>
        </w:drawing>
      </w:r>
    </w:p>
    <w:p w14:paraId="0936257D" w14:textId="77777777" w:rsidR="009E7235" w:rsidRDefault="009E7235" w:rsidP="009E7235">
      <w:pPr>
        <w:pStyle w:val="Caption"/>
      </w:pPr>
      <w:r>
        <w:t>Photo description: Roya Moeen. Roya is the Head Chef at Kabul Social. The menu is inspired by her family’s recipes and celebrates the rich flavours and traditions of Afghan cuisine.</w:t>
      </w:r>
      <w:r>
        <w:br/>
        <w:t xml:space="preserve">Venue: Kabul Social, March 2025. Photographer: Serhat Karakas </w:t>
      </w:r>
    </w:p>
    <w:p w14:paraId="1F16FB1D" w14:textId="2FC28F89" w:rsidR="004B6664" w:rsidRDefault="004B6664" w:rsidP="009E7235">
      <w:pPr>
        <w:pStyle w:val="Heading1"/>
      </w:pPr>
      <w:bookmarkStart w:id="1" w:name="_Toc235113570"/>
      <w:r>
        <w:lastRenderedPageBreak/>
        <w:t xml:space="preserve">Snapshot of </w:t>
      </w:r>
      <w:r w:rsidRPr="0050541A">
        <w:t>WISE</w:t>
      </w:r>
      <w:bookmarkEnd w:id="1"/>
    </w:p>
    <w:p w14:paraId="4FAC3C49" w14:textId="3C12442F" w:rsidR="004B6664" w:rsidRDefault="004B6664" w:rsidP="004B6664">
      <w:r>
        <w:t xml:space="preserve">The survey results suggest: </w:t>
      </w:r>
    </w:p>
    <w:p w14:paraId="1D919191" w14:textId="5E483826" w:rsidR="004B6664" w:rsidRPr="0077693B" w:rsidRDefault="004B6664" w:rsidP="0077693B">
      <w:pPr>
        <w:pStyle w:val="ListParagraph"/>
      </w:pPr>
      <w:r w:rsidRPr="0077693B">
        <w:t xml:space="preserve">WISE activities range from building people’s employability, programs that support people to transition into the mainstream labour </w:t>
      </w:r>
      <w:proofErr w:type="gramStart"/>
      <w:r w:rsidRPr="0077693B">
        <w:t>market, and</w:t>
      </w:r>
      <w:proofErr w:type="gramEnd"/>
      <w:r w:rsidRPr="0077693B">
        <w:t xml:space="preserve"> creating permanent employment within WISE and/or their parent or subsidiary organisations.</w:t>
      </w:r>
    </w:p>
    <w:p w14:paraId="748A215E" w14:textId="35510C1E" w:rsidR="004B6664" w:rsidRPr="0077693B" w:rsidRDefault="004B6664" w:rsidP="0077693B">
      <w:pPr>
        <w:pStyle w:val="ListParagraph"/>
      </w:pPr>
      <w:r w:rsidRPr="0077693B">
        <w:t>Most WISEs are not-for-profit, but there is a meaningful minority of for-profit businesses and entities that operate as nested/hybrid structures.</w:t>
      </w:r>
    </w:p>
    <w:p w14:paraId="722F0E1A" w14:textId="77777777" w:rsidR="004B6664" w:rsidRPr="0077693B" w:rsidRDefault="004B6664" w:rsidP="0077693B">
      <w:pPr>
        <w:pStyle w:val="ListParagraph"/>
      </w:pPr>
      <w:r w:rsidRPr="0077693B">
        <w:t>The WISE sector is almost evenly split between standalone enterprises and business units embedded within larger organisations.</w:t>
      </w:r>
    </w:p>
    <w:p w14:paraId="123CFE7F" w14:textId="77777777" w:rsidR="004B6664" w:rsidRPr="0077693B" w:rsidRDefault="004B6664" w:rsidP="0077693B">
      <w:pPr>
        <w:pStyle w:val="ListParagraph"/>
      </w:pPr>
      <w:r w:rsidRPr="0077693B">
        <w:t>Compensation of people WISE seek to support is mixed. Industrial award wage employment is common, but many WISEs also compensate through unpaid training and supported wage arrangements.</w:t>
      </w:r>
    </w:p>
    <w:p w14:paraId="48FC1C23" w14:textId="77777777" w:rsidR="004B6664" w:rsidRPr="0077693B" w:rsidRDefault="004B6664" w:rsidP="0077693B">
      <w:pPr>
        <w:pStyle w:val="ListParagraph"/>
      </w:pPr>
      <w:r w:rsidRPr="0077693B">
        <w:t>While some government funding is a common part of WISEs’ revenue mix, this is not universal and comes from multiple levels of government.</w:t>
      </w:r>
    </w:p>
    <w:p w14:paraId="09AD8861" w14:textId="69D0CD59" w:rsidR="00D32ECB" w:rsidRDefault="00D32ECB" w:rsidP="00D32ECB">
      <w:pPr>
        <w:pStyle w:val="IntenseQuote"/>
      </w:pPr>
      <w:r w:rsidRPr="000A2537">
        <w:t xml:space="preserve">“WISEs are trading organisations that use business activity to create more inclusive </w:t>
      </w:r>
      <w:r>
        <w:br/>
      </w:r>
      <w:r w:rsidRPr="000A2537">
        <w:t>employment outcomes for people and places excluded from mainstream labour markets</w:t>
      </w:r>
      <w:r>
        <w:t>”</w:t>
      </w:r>
    </w:p>
    <w:p w14:paraId="1D14A57A" w14:textId="56C61F59" w:rsidR="00F41842" w:rsidRDefault="00F41842" w:rsidP="00F41842">
      <w:pPr>
        <w:pStyle w:val="Heading1"/>
      </w:pPr>
      <w:bookmarkStart w:id="2" w:name="_Toc235113571"/>
      <w:r>
        <w:t>WISE in Australia – a taxonomy</w:t>
      </w:r>
      <w:bookmarkEnd w:id="2"/>
    </w:p>
    <w:p w14:paraId="3C1CEFDE" w14:textId="77777777" w:rsidR="00F41842" w:rsidRDefault="00F41842" w:rsidP="00F41842">
      <w:r>
        <w:t>This taxonomy is derived from the project survey and informed by past research led by members of the research team. It should be interpreted as comprehensive but not definitive; a tool for conversation within and beyond the WISE sector.</w:t>
      </w:r>
    </w:p>
    <w:p w14:paraId="3D29F56B" w14:textId="6195F988" w:rsidR="00860732" w:rsidRPr="000303B1" w:rsidRDefault="00860732" w:rsidP="004B6664">
      <w:r w:rsidRPr="000303B1">
        <w:t>See infograph</w:t>
      </w:r>
      <w:r w:rsidR="00C710DB">
        <w:t>ic</w:t>
      </w:r>
      <w:r w:rsidRPr="000303B1">
        <w:t xml:space="preserve"> on following page.</w:t>
      </w:r>
    </w:p>
    <w:p w14:paraId="74D3FFD9" w14:textId="2FE0D5A8" w:rsidR="00F41842" w:rsidRDefault="00F41842" w:rsidP="004B6664">
      <w:r w:rsidRPr="000303B1">
        <w:t xml:space="preserve">You can </w:t>
      </w:r>
      <w:hyperlink r:id="rId22" w:history="1">
        <w:r w:rsidRPr="005E61CC">
          <w:rPr>
            <w:rStyle w:val="Hyperlink"/>
          </w:rPr>
          <w:t xml:space="preserve">download, save or print a copy of the </w:t>
        </w:r>
        <w:r w:rsidR="00946EFC" w:rsidRPr="005E61CC">
          <w:rPr>
            <w:rStyle w:val="Hyperlink"/>
          </w:rPr>
          <w:t>infographic</w:t>
        </w:r>
        <w:r w:rsidR="00147BE7" w:rsidRPr="005E61CC">
          <w:rPr>
            <w:rStyle w:val="Hyperlink"/>
          </w:rPr>
          <w:t xml:space="preserve"> by</w:t>
        </w:r>
        <w:r w:rsidRPr="005E61CC">
          <w:rPr>
            <w:rStyle w:val="Hyperlink"/>
          </w:rPr>
          <w:t xml:space="preserve"> </w:t>
        </w:r>
        <w:r w:rsidR="00147BE7" w:rsidRPr="005E61CC">
          <w:rPr>
            <w:rStyle w:val="Hyperlink"/>
          </w:rPr>
          <w:t>clicking</w:t>
        </w:r>
        <w:r w:rsidRPr="005E61CC">
          <w:rPr>
            <w:rStyle w:val="Hyperlink"/>
          </w:rPr>
          <w:t xml:space="preserve"> this link</w:t>
        </w:r>
      </w:hyperlink>
      <w:r w:rsidRPr="000303B1">
        <w:t xml:space="preserve"> or </w:t>
      </w:r>
      <w:r w:rsidR="00147BE7" w:rsidRPr="000303B1">
        <w:t xml:space="preserve">by scanning </w:t>
      </w:r>
      <w:r w:rsidRPr="000303B1">
        <w:t>the QR code below.</w:t>
      </w:r>
    </w:p>
    <w:p w14:paraId="6C6BE3C2" w14:textId="18279DF5" w:rsidR="00F41842" w:rsidRDefault="00F41842" w:rsidP="004B6664">
      <w:pPr>
        <w:sectPr w:rsidR="00F41842" w:rsidSect="005B0D2B">
          <w:pgSz w:w="11906" w:h="16838"/>
          <w:pgMar w:top="1418" w:right="1134" w:bottom="1134" w:left="1134" w:header="567" w:footer="765" w:gutter="0"/>
          <w:cols w:space="708"/>
          <w:docGrid w:linePitch="360"/>
        </w:sectPr>
      </w:pPr>
      <w:r>
        <w:rPr>
          <w:noProof/>
        </w:rPr>
        <w:drawing>
          <wp:inline distT="0" distB="0" distL="0" distR="0" wp14:anchorId="39F1FFB1" wp14:editId="42E38C22">
            <wp:extent cx="1270000" cy="1270000"/>
            <wp:effectExtent l="0" t="0" r="0" b="0"/>
            <wp:docPr id="1411501150" name="Picture 5" descr="You can download, save or print a copy of the infograph via this 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190173" name="Picture 5" descr="You can download, save or print a copy of the infograph via this QR code."/>
                    <pic:cNvPicPr/>
                  </pic:nvPicPr>
                  <pic:blipFill>
                    <a:blip r:embed="rId23">
                      <a:extLst>
                        <a:ext uri="{28A0092B-C50C-407E-A947-70E740481C1C}">
                          <a14:useLocalDpi xmlns:a14="http://schemas.microsoft.com/office/drawing/2010/main" val="0"/>
                        </a:ext>
                      </a:extLst>
                    </a:blip>
                    <a:stretch>
                      <a:fillRect/>
                    </a:stretch>
                  </pic:blipFill>
                  <pic:spPr>
                    <a:xfrm>
                      <a:off x="0" y="0"/>
                      <a:ext cx="1270000" cy="1270000"/>
                    </a:xfrm>
                    <a:prstGeom prst="rect">
                      <a:avLst/>
                    </a:prstGeom>
                  </pic:spPr>
                </pic:pic>
              </a:graphicData>
            </a:graphic>
          </wp:inline>
        </w:drawing>
      </w:r>
    </w:p>
    <w:p w14:paraId="33017742" w14:textId="7B1F0191" w:rsidR="004B6664" w:rsidRDefault="000A2537" w:rsidP="005B0D2B">
      <w:pPr>
        <w:spacing w:before="0" w:after="0"/>
      </w:pPr>
      <w:r>
        <w:rPr>
          <w:noProof/>
        </w:rPr>
        <w:lastRenderedPageBreak/>
        <w:drawing>
          <wp:anchor distT="0" distB="0" distL="114300" distR="114300" simplePos="0" relativeHeight="251661312" behindDoc="0" locked="0" layoutInCell="1" allowOverlap="1" wp14:anchorId="4A2E3753" wp14:editId="2F509E9E">
            <wp:simplePos x="0" y="0"/>
            <wp:positionH relativeFrom="margin">
              <wp:align>center</wp:align>
            </wp:positionH>
            <wp:positionV relativeFrom="margin">
              <wp:align>top</wp:align>
            </wp:positionV>
            <wp:extent cx="8811895" cy="6230620"/>
            <wp:effectExtent l="12700" t="12700" r="14605" b="17780"/>
            <wp:wrapSquare wrapText="bothSides"/>
            <wp:docPr id="658187755" name="Picture 3" descr="An illustration of work integration social enterprises (Wises) in Australia, showing a diverse mix of people at the centre of Wise activities. Most Wises have employment goals of developing people’s job readiness (32.5 percent) and helping people transition to longer term employment (31.5 percent). Many Wises also support other goals focused on providing services or improving the environment. About 43 percent of Wises pay their employees award wages, while about a quarter provide unpaid training and development. The largest source of Wise revenue (64.6 percent) comes from trading income, with 19.2 percent from supported trade with individuals such as NDIS participants. The most common organisation structure is not-for profit (71 percent), and nearly half of Wises are standalone businesses, with others embedded in parent organisations or business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187755" name="Picture 3" descr="An illustration of work integration social enterprises (Wises) in Australia, showing a diverse mix of people at the centre of Wise activities. Most Wises have employment goals of developing people’s job readiness (32.5 percent) and helping people transition to longer term employment (31.5 percent). Many Wises also support other goals focused on providing services or improving the environment. About 43 percent of Wises pay their employees award wages, while about a quarter provide unpaid training and development. The largest source of Wise revenue (64.6 percent) comes from trading income, with 19.2 percent from supported trade with individuals such as NDIS participants. The most common organisation structure is not-for profit (71 percent), and nearly half of Wises are standalone businesses, with others embedded in parent organisations or business group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11895" cy="6230620"/>
                    </a:xfrm>
                    <a:prstGeom prst="rect">
                      <a:avLst/>
                    </a:prstGeom>
                    <a:ln>
                      <a:solidFill>
                        <a:schemeClr val="accent6"/>
                      </a:solidFill>
                    </a:ln>
                  </pic:spPr>
                </pic:pic>
              </a:graphicData>
            </a:graphic>
            <wp14:sizeRelH relativeFrom="page">
              <wp14:pctWidth>0</wp14:pctWidth>
            </wp14:sizeRelH>
            <wp14:sizeRelV relativeFrom="page">
              <wp14:pctHeight>0</wp14:pctHeight>
            </wp14:sizeRelV>
          </wp:anchor>
        </w:drawing>
      </w:r>
    </w:p>
    <w:p w14:paraId="020D6F02" w14:textId="2866C40E" w:rsidR="00F47BA4" w:rsidRDefault="00F47BA4" w:rsidP="005B0D2B">
      <w:pPr>
        <w:spacing w:before="0" w:after="0"/>
        <w:sectPr w:rsidR="00F47BA4" w:rsidSect="005B0D2B">
          <w:pgSz w:w="16838" w:h="11906" w:orient="landscape"/>
          <w:pgMar w:top="680" w:right="851" w:bottom="851" w:left="851" w:header="567" w:footer="765" w:gutter="0"/>
          <w:cols w:space="708"/>
          <w:docGrid w:linePitch="360"/>
        </w:sectPr>
      </w:pPr>
    </w:p>
    <w:p w14:paraId="5A48E110" w14:textId="77777777" w:rsidR="004B6664" w:rsidRDefault="004B6664" w:rsidP="00F47BA4">
      <w:pPr>
        <w:pStyle w:val="Heading1"/>
      </w:pPr>
      <w:bookmarkStart w:id="3" w:name="_Toc235113572"/>
      <w:r>
        <w:lastRenderedPageBreak/>
        <w:t>Survey results</w:t>
      </w:r>
      <w:bookmarkEnd w:id="3"/>
    </w:p>
    <w:p w14:paraId="38EF0498" w14:textId="77777777" w:rsidR="004B6664" w:rsidRDefault="004B6664" w:rsidP="004B6664">
      <w:r>
        <w:t>One hundred and twenty-eight responses to the survey were received. Results are based on analysis of the 99 responses deemed consistent with a definition of social enterprises as being purpose-led organisations that derive a substantial portion of their income through trade (see methods and limitations section).</w:t>
      </w:r>
    </w:p>
    <w:p w14:paraId="449016A2" w14:textId="6B391120" w:rsidR="004B6664" w:rsidRDefault="004B6664" w:rsidP="005B0D2B">
      <w:pPr>
        <w:pStyle w:val="Heading2"/>
        <w:spacing w:before="240"/>
      </w:pPr>
      <w:bookmarkStart w:id="4" w:name="_Toc235113573"/>
      <w:r>
        <w:t>Organisational form</w:t>
      </w:r>
      <w:bookmarkEnd w:id="4"/>
    </w:p>
    <w:p w14:paraId="66C10F67" w14:textId="77777777" w:rsidR="004B6664" w:rsidRDefault="004B6664" w:rsidP="004B6664">
      <w:r>
        <w:t>When asked, “What is the organisational structure of your jobs-focused social enterprise?”, results indicate a near-even split, with around 47.5% operating as a standalone social enterprise, and 50.5% operating as a business unit or enterprise within a larger organisation or business group.</w:t>
      </w:r>
    </w:p>
    <w:tbl>
      <w:tblPr>
        <w:tblStyle w:val="TableGrid"/>
        <w:tblW w:w="5000" w:type="pct"/>
        <w:tblBorders>
          <w:top w:val="single" w:sz="4" w:space="0" w:color="F7A6AC" w:themeColor="accent6"/>
          <w:left w:val="none" w:sz="0" w:space="0" w:color="auto"/>
          <w:bottom w:val="single" w:sz="4" w:space="0" w:color="F7A6AC" w:themeColor="accent6"/>
          <w:right w:val="none" w:sz="0" w:space="0" w:color="auto"/>
          <w:insideH w:val="single" w:sz="4" w:space="0" w:color="F7A6AC" w:themeColor="accent6"/>
          <w:insideV w:val="single" w:sz="4" w:space="0" w:color="F7A6AC" w:themeColor="accent6"/>
        </w:tblBorders>
        <w:tblLook w:val="04A0" w:firstRow="1" w:lastRow="0" w:firstColumn="1" w:lastColumn="0" w:noHBand="0" w:noVBand="1"/>
      </w:tblPr>
      <w:tblGrid>
        <w:gridCol w:w="7090"/>
        <w:gridCol w:w="1274"/>
        <w:gridCol w:w="1274"/>
      </w:tblGrid>
      <w:tr w:rsidR="00F47BA4" w:rsidRPr="00F47BA4" w14:paraId="64D4CF56" w14:textId="77777777" w:rsidTr="00F47BA4">
        <w:tc>
          <w:tcPr>
            <w:tcW w:w="3678" w:type="pct"/>
            <w:shd w:val="clear" w:color="auto" w:fill="E8E8E8" w:themeFill="background2"/>
          </w:tcPr>
          <w:p w14:paraId="7C1AB768" w14:textId="77777777" w:rsidR="00F47BA4" w:rsidRPr="00F47BA4" w:rsidRDefault="00F47BA4" w:rsidP="00F47BA4">
            <w:pPr>
              <w:pStyle w:val="TableText"/>
              <w:rPr>
                <w:b/>
                <w:bCs/>
              </w:rPr>
            </w:pPr>
            <w:r w:rsidRPr="00F47BA4">
              <w:rPr>
                <w:b/>
                <w:bCs/>
              </w:rPr>
              <w:t>Answer</w:t>
            </w:r>
          </w:p>
        </w:tc>
        <w:tc>
          <w:tcPr>
            <w:tcW w:w="661" w:type="pct"/>
            <w:shd w:val="clear" w:color="auto" w:fill="E8E8E8" w:themeFill="background2"/>
            <w:vAlign w:val="center"/>
          </w:tcPr>
          <w:p w14:paraId="27FB09B8" w14:textId="1C8ABB2B" w:rsidR="00F47BA4" w:rsidRPr="00F47BA4" w:rsidRDefault="005B0D2B" w:rsidP="00410D87">
            <w:pPr>
              <w:pStyle w:val="TableText"/>
              <w:jc w:val="center"/>
              <w:rPr>
                <w:b/>
                <w:bCs/>
              </w:rPr>
            </w:pPr>
            <w:r>
              <w:rPr>
                <w:b/>
                <w:bCs/>
              </w:rPr>
              <w:t>Percent</w:t>
            </w:r>
          </w:p>
        </w:tc>
        <w:tc>
          <w:tcPr>
            <w:tcW w:w="661" w:type="pct"/>
            <w:shd w:val="clear" w:color="auto" w:fill="E8E8E8" w:themeFill="background2"/>
            <w:vAlign w:val="center"/>
          </w:tcPr>
          <w:p w14:paraId="64B091C3" w14:textId="77777777" w:rsidR="00F47BA4" w:rsidRPr="00F47BA4" w:rsidRDefault="00F47BA4" w:rsidP="00410D87">
            <w:pPr>
              <w:pStyle w:val="TableText"/>
              <w:jc w:val="center"/>
              <w:rPr>
                <w:b/>
                <w:bCs/>
              </w:rPr>
            </w:pPr>
            <w:r w:rsidRPr="00F47BA4">
              <w:rPr>
                <w:b/>
                <w:bCs/>
              </w:rPr>
              <w:t>Count</w:t>
            </w:r>
          </w:p>
        </w:tc>
      </w:tr>
      <w:tr w:rsidR="00F47BA4" w:rsidRPr="00F47BA4" w14:paraId="1133A1E1" w14:textId="77777777" w:rsidTr="00F47BA4">
        <w:tc>
          <w:tcPr>
            <w:tcW w:w="3678" w:type="pct"/>
          </w:tcPr>
          <w:p w14:paraId="53230CDA" w14:textId="77777777" w:rsidR="00F47BA4" w:rsidRPr="00F47BA4" w:rsidRDefault="00F47BA4" w:rsidP="00F47BA4">
            <w:pPr>
              <w:pStyle w:val="TableText"/>
            </w:pPr>
            <w:r w:rsidRPr="00F47BA4">
              <w:t>A standalone social enterprise</w:t>
            </w:r>
          </w:p>
        </w:tc>
        <w:tc>
          <w:tcPr>
            <w:tcW w:w="661" w:type="pct"/>
            <w:vAlign w:val="center"/>
          </w:tcPr>
          <w:p w14:paraId="02B0F5A5" w14:textId="77777777" w:rsidR="00F47BA4" w:rsidRPr="00F47BA4" w:rsidRDefault="00F47BA4" w:rsidP="00410D87">
            <w:pPr>
              <w:pStyle w:val="TableText"/>
              <w:jc w:val="center"/>
            </w:pPr>
            <w:r w:rsidRPr="00F47BA4">
              <w:t>47.5%</w:t>
            </w:r>
          </w:p>
        </w:tc>
        <w:tc>
          <w:tcPr>
            <w:tcW w:w="661" w:type="pct"/>
            <w:vAlign w:val="center"/>
          </w:tcPr>
          <w:p w14:paraId="59CC6460" w14:textId="77777777" w:rsidR="00F47BA4" w:rsidRPr="00F47BA4" w:rsidRDefault="00F47BA4" w:rsidP="00410D87">
            <w:pPr>
              <w:pStyle w:val="TableText"/>
              <w:jc w:val="center"/>
            </w:pPr>
            <w:r w:rsidRPr="00F47BA4">
              <w:t>47</w:t>
            </w:r>
          </w:p>
        </w:tc>
      </w:tr>
      <w:tr w:rsidR="00F47BA4" w:rsidRPr="00F47BA4" w14:paraId="676BEAD9" w14:textId="77777777" w:rsidTr="00F47BA4">
        <w:tc>
          <w:tcPr>
            <w:tcW w:w="3678" w:type="pct"/>
          </w:tcPr>
          <w:p w14:paraId="04D5E78B" w14:textId="77777777" w:rsidR="00F47BA4" w:rsidRPr="00F47BA4" w:rsidRDefault="00F47BA4" w:rsidP="00F47BA4">
            <w:pPr>
              <w:pStyle w:val="TableText"/>
            </w:pPr>
            <w:r w:rsidRPr="00F47BA4">
              <w:t>A business unit/enterprise within a larger organisation or business group</w:t>
            </w:r>
          </w:p>
        </w:tc>
        <w:tc>
          <w:tcPr>
            <w:tcW w:w="661" w:type="pct"/>
            <w:vAlign w:val="center"/>
          </w:tcPr>
          <w:p w14:paraId="1D2078D2" w14:textId="77777777" w:rsidR="00F47BA4" w:rsidRPr="00F47BA4" w:rsidRDefault="00F47BA4" w:rsidP="00410D87">
            <w:pPr>
              <w:pStyle w:val="TableText"/>
              <w:jc w:val="center"/>
            </w:pPr>
            <w:r w:rsidRPr="00F47BA4">
              <w:t>50.5%</w:t>
            </w:r>
          </w:p>
        </w:tc>
        <w:tc>
          <w:tcPr>
            <w:tcW w:w="661" w:type="pct"/>
            <w:vAlign w:val="center"/>
          </w:tcPr>
          <w:p w14:paraId="01C7C20C" w14:textId="77777777" w:rsidR="00F47BA4" w:rsidRPr="00F47BA4" w:rsidRDefault="00F47BA4" w:rsidP="00410D87">
            <w:pPr>
              <w:pStyle w:val="TableText"/>
              <w:jc w:val="center"/>
            </w:pPr>
            <w:r w:rsidRPr="00F47BA4">
              <w:t>50</w:t>
            </w:r>
          </w:p>
        </w:tc>
      </w:tr>
      <w:tr w:rsidR="00F47BA4" w:rsidRPr="00F47BA4" w14:paraId="47891B0B" w14:textId="77777777" w:rsidTr="00F47BA4">
        <w:tc>
          <w:tcPr>
            <w:tcW w:w="3678" w:type="pct"/>
          </w:tcPr>
          <w:p w14:paraId="321D7248" w14:textId="77777777" w:rsidR="00F47BA4" w:rsidRPr="00F47BA4" w:rsidRDefault="00F47BA4" w:rsidP="00F47BA4">
            <w:pPr>
              <w:pStyle w:val="TableText"/>
            </w:pPr>
            <w:r w:rsidRPr="00F47BA4">
              <w:t>Other</w:t>
            </w:r>
          </w:p>
        </w:tc>
        <w:tc>
          <w:tcPr>
            <w:tcW w:w="661" w:type="pct"/>
            <w:vAlign w:val="center"/>
          </w:tcPr>
          <w:p w14:paraId="2EB610C5" w14:textId="77777777" w:rsidR="00F47BA4" w:rsidRPr="00F47BA4" w:rsidRDefault="00F47BA4" w:rsidP="00410D87">
            <w:pPr>
              <w:pStyle w:val="TableText"/>
              <w:jc w:val="center"/>
            </w:pPr>
            <w:r w:rsidRPr="00F47BA4">
              <w:t>2%</w:t>
            </w:r>
          </w:p>
        </w:tc>
        <w:tc>
          <w:tcPr>
            <w:tcW w:w="661" w:type="pct"/>
            <w:vAlign w:val="center"/>
          </w:tcPr>
          <w:p w14:paraId="19AE1C87" w14:textId="77777777" w:rsidR="00F47BA4" w:rsidRPr="00F47BA4" w:rsidRDefault="00F47BA4" w:rsidP="00410D87">
            <w:pPr>
              <w:pStyle w:val="TableText"/>
              <w:jc w:val="center"/>
            </w:pPr>
            <w:r w:rsidRPr="00F47BA4">
              <w:t>2</w:t>
            </w:r>
          </w:p>
        </w:tc>
      </w:tr>
      <w:tr w:rsidR="00F47BA4" w:rsidRPr="00F47BA4" w14:paraId="6A745BDC" w14:textId="77777777" w:rsidTr="00F47BA4">
        <w:tc>
          <w:tcPr>
            <w:tcW w:w="3678" w:type="pct"/>
            <w:shd w:val="clear" w:color="auto" w:fill="E8E8E8" w:themeFill="background2"/>
          </w:tcPr>
          <w:p w14:paraId="71DF5115" w14:textId="77777777" w:rsidR="00F47BA4" w:rsidRPr="00F47BA4" w:rsidRDefault="00F47BA4" w:rsidP="00F47BA4">
            <w:pPr>
              <w:pStyle w:val="TableText"/>
              <w:rPr>
                <w:b/>
                <w:bCs/>
              </w:rPr>
            </w:pPr>
            <w:r w:rsidRPr="00F47BA4">
              <w:rPr>
                <w:b/>
                <w:bCs/>
              </w:rPr>
              <w:t>Total</w:t>
            </w:r>
          </w:p>
        </w:tc>
        <w:tc>
          <w:tcPr>
            <w:tcW w:w="661" w:type="pct"/>
            <w:shd w:val="clear" w:color="auto" w:fill="E8E8E8" w:themeFill="background2"/>
            <w:vAlign w:val="center"/>
          </w:tcPr>
          <w:p w14:paraId="1F367589" w14:textId="77777777" w:rsidR="00F47BA4" w:rsidRPr="00F47BA4" w:rsidRDefault="00F47BA4" w:rsidP="00410D87">
            <w:pPr>
              <w:pStyle w:val="TableText"/>
              <w:jc w:val="center"/>
              <w:rPr>
                <w:b/>
                <w:bCs/>
              </w:rPr>
            </w:pPr>
            <w:r w:rsidRPr="00F47BA4">
              <w:rPr>
                <w:b/>
                <w:bCs/>
              </w:rPr>
              <w:t>100%</w:t>
            </w:r>
          </w:p>
        </w:tc>
        <w:tc>
          <w:tcPr>
            <w:tcW w:w="661" w:type="pct"/>
            <w:shd w:val="clear" w:color="auto" w:fill="E8E8E8" w:themeFill="background2"/>
            <w:vAlign w:val="center"/>
          </w:tcPr>
          <w:p w14:paraId="0747D99F" w14:textId="77777777" w:rsidR="00F47BA4" w:rsidRPr="00F47BA4" w:rsidRDefault="00F47BA4" w:rsidP="00410D87">
            <w:pPr>
              <w:pStyle w:val="TableText"/>
              <w:jc w:val="center"/>
              <w:rPr>
                <w:b/>
                <w:bCs/>
              </w:rPr>
            </w:pPr>
            <w:r w:rsidRPr="00F47BA4">
              <w:rPr>
                <w:b/>
                <w:bCs/>
              </w:rPr>
              <w:t>99</w:t>
            </w:r>
          </w:p>
        </w:tc>
      </w:tr>
    </w:tbl>
    <w:p w14:paraId="49075CD6" w14:textId="56184FFA" w:rsidR="00E44A4D" w:rsidRPr="00E44A4D" w:rsidRDefault="00E44A4D" w:rsidP="00E44A4D">
      <w:pPr>
        <w:pStyle w:val="Caption"/>
      </w:pPr>
      <w:r w:rsidRPr="00E44A4D">
        <w:t xml:space="preserve">Figure </w:t>
      </w:r>
      <w:fldSimple w:instr=" SEQ Figure \* ARABIC ">
        <w:r>
          <w:rPr>
            <w:noProof/>
          </w:rPr>
          <w:t>1</w:t>
        </w:r>
      </w:fldSimple>
      <w:r w:rsidRPr="00E44A4D">
        <w:t>: Organisational forms graph</w:t>
      </w:r>
    </w:p>
    <w:p w14:paraId="2DACAB4B" w14:textId="2C6EFB26" w:rsidR="00402381" w:rsidRPr="00E44A4D" w:rsidRDefault="007C3232" w:rsidP="00E44A4D">
      <w:pPr>
        <w:pStyle w:val="Graphspacing"/>
      </w:pPr>
      <w:r w:rsidRPr="00E44A4D">
        <w:drawing>
          <wp:inline distT="0" distB="0" distL="0" distR="0" wp14:anchorId="593ADCCD" wp14:editId="1B2F8B8A">
            <wp:extent cx="6108700" cy="889000"/>
            <wp:effectExtent l="0" t="0" r="0" b="0"/>
            <wp:docPr id="1815207350" name="Picture 6" descr="Figure 1 shows that 50.5 percent of wises are a business unit or enterprise within a larger business group, while 47.5 percent are a standalone social enterp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07350" name="Picture 6" descr="Figure 1 shows that 50.5 percent of wises are a business unit or enterprise within a larger business group, while 47.5 percent are a standalone social enterpris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08700" cy="889000"/>
                    </a:xfrm>
                    <a:prstGeom prst="rect">
                      <a:avLst/>
                    </a:prstGeom>
                  </pic:spPr>
                </pic:pic>
              </a:graphicData>
            </a:graphic>
          </wp:inline>
        </w:drawing>
      </w:r>
    </w:p>
    <w:p w14:paraId="2FE92ADB" w14:textId="77777777" w:rsidR="004B6664" w:rsidRDefault="004B6664" w:rsidP="005B0D2B">
      <w:pPr>
        <w:pStyle w:val="Heading2"/>
        <w:spacing w:before="120"/>
      </w:pPr>
      <w:bookmarkStart w:id="5" w:name="_Toc235113574"/>
      <w:r>
        <w:t>Ownership structure</w:t>
      </w:r>
      <w:bookmarkEnd w:id="5"/>
    </w:p>
    <w:p w14:paraId="1F1DE203" w14:textId="77777777" w:rsidR="004B6664" w:rsidRDefault="004B6664" w:rsidP="004B6664">
      <w:r>
        <w:t xml:space="preserve">Seventy-one percent of surveyed WISEs are incorporated as not-for-profit companies or associations, while 15% operate as a for-profit business formally linked with a charitable entity (that is, a “nested” or hybrid structure), 11% as a for-profit company or partnership and 3% as a cooperative or member-based organisation. </w:t>
      </w:r>
    </w:p>
    <w:tbl>
      <w:tblPr>
        <w:tblStyle w:val="Insights"/>
        <w:tblW w:w="9639" w:type="dxa"/>
        <w:tblLook w:val="04A0" w:firstRow="1" w:lastRow="0" w:firstColumn="1" w:lastColumn="0" w:noHBand="0" w:noVBand="1"/>
      </w:tblPr>
      <w:tblGrid>
        <w:gridCol w:w="7087"/>
        <w:gridCol w:w="1276"/>
        <w:gridCol w:w="1276"/>
      </w:tblGrid>
      <w:tr w:rsidR="002A748D" w:rsidRPr="002A748D" w14:paraId="219944E9" w14:textId="77777777" w:rsidTr="002A748D">
        <w:trPr>
          <w:cnfStyle w:val="100000000000" w:firstRow="1" w:lastRow="0" w:firstColumn="0" w:lastColumn="0" w:oddVBand="0" w:evenVBand="0" w:oddHBand="0" w:evenHBand="0" w:firstRowFirstColumn="0" w:firstRowLastColumn="0" w:lastRowFirstColumn="0" w:lastRowLastColumn="0"/>
        </w:trPr>
        <w:tc>
          <w:tcPr>
            <w:tcW w:w="7087" w:type="dxa"/>
          </w:tcPr>
          <w:p w14:paraId="47966C54" w14:textId="77777777" w:rsidR="002A748D" w:rsidRPr="002A748D" w:rsidRDefault="002A748D" w:rsidP="002A748D">
            <w:pPr>
              <w:pStyle w:val="TableText"/>
            </w:pPr>
            <w:r w:rsidRPr="002A748D">
              <w:t>Answer</w:t>
            </w:r>
          </w:p>
        </w:tc>
        <w:tc>
          <w:tcPr>
            <w:tcW w:w="1276" w:type="dxa"/>
          </w:tcPr>
          <w:p w14:paraId="70C69AD2" w14:textId="650A927F" w:rsidR="002A748D" w:rsidRPr="005B0D2B" w:rsidRDefault="005B0D2B" w:rsidP="002A748D">
            <w:pPr>
              <w:pStyle w:val="TableText"/>
              <w:jc w:val="center"/>
            </w:pPr>
            <w:r w:rsidRPr="005B0D2B">
              <w:t>Percent</w:t>
            </w:r>
          </w:p>
        </w:tc>
        <w:tc>
          <w:tcPr>
            <w:tcW w:w="1276" w:type="dxa"/>
          </w:tcPr>
          <w:p w14:paraId="0E2E4EFF" w14:textId="77777777" w:rsidR="002A748D" w:rsidRPr="002A748D" w:rsidRDefault="002A748D" w:rsidP="002A748D">
            <w:pPr>
              <w:pStyle w:val="TableText"/>
              <w:jc w:val="center"/>
            </w:pPr>
            <w:r w:rsidRPr="002A748D">
              <w:t>Count</w:t>
            </w:r>
          </w:p>
        </w:tc>
      </w:tr>
      <w:tr w:rsidR="002A748D" w:rsidRPr="002A748D" w14:paraId="299328FE" w14:textId="77777777" w:rsidTr="002A748D">
        <w:tc>
          <w:tcPr>
            <w:tcW w:w="7087" w:type="dxa"/>
          </w:tcPr>
          <w:p w14:paraId="0FF561EF" w14:textId="77777777" w:rsidR="002A748D" w:rsidRPr="002A748D" w:rsidRDefault="002A748D" w:rsidP="002A748D">
            <w:pPr>
              <w:pStyle w:val="TableText"/>
            </w:pPr>
            <w:r w:rsidRPr="002A748D">
              <w:t>A not-for-profit company or association</w:t>
            </w:r>
          </w:p>
        </w:tc>
        <w:tc>
          <w:tcPr>
            <w:tcW w:w="1276" w:type="dxa"/>
          </w:tcPr>
          <w:p w14:paraId="53BAC5A5" w14:textId="77777777" w:rsidR="002A748D" w:rsidRPr="002A748D" w:rsidRDefault="002A748D" w:rsidP="002A748D">
            <w:pPr>
              <w:pStyle w:val="TableText"/>
              <w:jc w:val="center"/>
            </w:pPr>
            <w:r w:rsidRPr="002A748D">
              <w:t>71%</w:t>
            </w:r>
          </w:p>
        </w:tc>
        <w:tc>
          <w:tcPr>
            <w:tcW w:w="1276" w:type="dxa"/>
          </w:tcPr>
          <w:p w14:paraId="3F3D3125" w14:textId="77777777" w:rsidR="002A748D" w:rsidRPr="002A748D" w:rsidRDefault="002A748D" w:rsidP="002A748D">
            <w:pPr>
              <w:pStyle w:val="TableText"/>
              <w:jc w:val="center"/>
            </w:pPr>
            <w:r w:rsidRPr="002A748D">
              <w:t>70</w:t>
            </w:r>
          </w:p>
        </w:tc>
      </w:tr>
      <w:tr w:rsidR="002A748D" w:rsidRPr="002A748D" w14:paraId="41D301B9" w14:textId="77777777" w:rsidTr="002A748D">
        <w:tc>
          <w:tcPr>
            <w:tcW w:w="7087" w:type="dxa"/>
          </w:tcPr>
          <w:p w14:paraId="0D9855DE" w14:textId="77777777" w:rsidR="002A748D" w:rsidRPr="002A748D" w:rsidRDefault="002A748D" w:rsidP="002A748D">
            <w:pPr>
              <w:pStyle w:val="TableText"/>
            </w:pPr>
            <w:r w:rsidRPr="002A748D">
              <w:t>A for-profit company or partnership</w:t>
            </w:r>
          </w:p>
        </w:tc>
        <w:tc>
          <w:tcPr>
            <w:tcW w:w="1276" w:type="dxa"/>
          </w:tcPr>
          <w:p w14:paraId="2822E4F7" w14:textId="77777777" w:rsidR="002A748D" w:rsidRPr="002A748D" w:rsidRDefault="002A748D" w:rsidP="002A748D">
            <w:pPr>
              <w:pStyle w:val="TableText"/>
              <w:jc w:val="center"/>
            </w:pPr>
            <w:r w:rsidRPr="002A748D">
              <w:t>11%</w:t>
            </w:r>
          </w:p>
        </w:tc>
        <w:tc>
          <w:tcPr>
            <w:tcW w:w="1276" w:type="dxa"/>
          </w:tcPr>
          <w:p w14:paraId="5DB69DDD" w14:textId="77777777" w:rsidR="002A748D" w:rsidRPr="002A748D" w:rsidRDefault="002A748D" w:rsidP="002A748D">
            <w:pPr>
              <w:pStyle w:val="TableText"/>
              <w:jc w:val="center"/>
            </w:pPr>
            <w:r w:rsidRPr="002A748D">
              <w:t>11</w:t>
            </w:r>
          </w:p>
        </w:tc>
      </w:tr>
      <w:tr w:rsidR="002A748D" w:rsidRPr="002A748D" w14:paraId="2C12D4C7" w14:textId="77777777" w:rsidTr="002A748D">
        <w:tc>
          <w:tcPr>
            <w:tcW w:w="7087" w:type="dxa"/>
          </w:tcPr>
          <w:p w14:paraId="56F5F943" w14:textId="0953FF41" w:rsidR="002A748D" w:rsidRPr="002A748D" w:rsidRDefault="002A748D" w:rsidP="002A748D">
            <w:pPr>
              <w:pStyle w:val="TableText"/>
            </w:pPr>
            <w:r w:rsidRPr="002A748D">
              <w:t xml:space="preserve">A for-profit business formally linked with a charitable entity </w:t>
            </w:r>
            <w:r>
              <w:br/>
            </w:r>
            <w:r w:rsidRPr="002A748D">
              <w:t>i.e. a ‘nested’ or hybrid structure</w:t>
            </w:r>
          </w:p>
        </w:tc>
        <w:tc>
          <w:tcPr>
            <w:tcW w:w="1276" w:type="dxa"/>
          </w:tcPr>
          <w:p w14:paraId="35685E20" w14:textId="77777777" w:rsidR="002A748D" w:rsidRPr="002A748D" w:rsidRDefault="002A748D" w:rsidP="002A748D">
            <w:pPr>
              <w:pStyle w:val="TableText"/>
              <w:jc w:val="center"/>
            </w:pPr>
            <w:r w:rsidRPr="002A748D">
              <w:t>15%</w:t>
            </w:r>
          </w:p>
        </w:tc>
        <w:tc>
          <w:tcPr>
            <w:tcW w:w="1276" w:type="dxa"/>
          </w:tcPr>
          <w:p w14:paraId="7FEFC2D8" w14:textId="77777777" w:rsidR="002A748D" w:rsidRPr="002A748D" w:rsidRDefault="002A748D" w:rsidP="002A748D">
            <w:pPr>
              <w:pStyle w:val="TableText"/>
              <w:jc w:val="center"/>
            </w:pPr>
            <w:r w:rsidRPr="002A748D">
              <w:t>15</w:t>
            </w:r>
          </w:p>
        </w:tc>
      </w:tr>
      <w:tr w:rsidR="002A748D" w:rsidRPr="002A748D" w14:paraId="6704F835" w14:textId="77777777" w:rsidTr="002A748D">
        <w:tc>
          <w:tcPr>
            <w:tcW w:w="7087" w:type="dxa"/>
          </w:tcPr>
          <w:p w14:paraId="697996F4" w14:textId="77777777" w:rsidR="002A748D" w:rsidRPr="002A748D" w:rsidRDefault="002A748D" w:rsidP="002A748D">
            <w:pPr>
              <w:pStyle w:val="TableText"/>
            </w:pPr>
            <w:r w:rsidRPr="002A748D">
              <w:t>A cooperative or member-based organisation</w:t>
            </w:r>
          </w:p>
        </w:tc>
        <w:tc>
          <w:tcPr>
            <w:tcW w:w="1276" w:type="dxa"/>
          </w:tcPr>
          <w:p w14:paraId="78A10579" w14:textId="77777777" w:rsidR="002A748D" w:rsidRPr="002A748D" w:rsidRDefault="002A748D" w:rsidP="002A748D">
            <w:pPr>
              <w:pStyle w:val="TableText"/>
              <w:jc w:val="center"/>
            </w:pPr>
            <w:r w:rsidRPr="002A748D">
              <w:t>3%</w:t>
            </w:r>
          </w:p>
        </w:tc>
        <w:tc>
          <w:tcPr>
            <w:tcW w:w="1276" w:type="dxa"/>
          </w:tcPr>
          <w:p w14:paraId="545BF64E" w14:textId="77777777" w:rsidR="002A748D" w:rsidRPr="002A748D" w:rsidRDefault="002A748D" w:rsidP="002A748D">
            <w:pPr>
              <w:pStyle w:val="TableText"/>
              <w:jc w:val="center"/>
            </w:pPr>
            <w:r w:rsidRPr="002A748D">
              <w:t>3</w:t>
            </w:r>
          </w:p>
        </w:tc>
      </w:tr>
      <w:tr w:rsidR="002A748D" w:rsidRPr="002A748D" w14:paraId="1353FF67" w14:textId="77777777" w:rsidTr="002A748D">
        <w:tc>
          <w:tcPr>
            <w:tcW w:w="7087" w:type="dxa"/>
          </w:tcPr>
          <w:p w14:paraId="44B2FC58" w14:textId="77777777" w:rsidR="002A748D" w:rsidRPr="002A748D" w:rsidRDefault="002A748D" w:rsidP="002A748D">
            <w:pPr>
              <w:pStyle w:val="TableText"/>
            </w:pPr>
            <w:r w:rsidRPr="002A748D">
              <w:t>A sole trader</w:t>
            </w:r>
          </w:p>
        </w:tc>
        <w:tc>
          <w:tcPr>
            <w:tcW w:w="1276" w:type="dxa"/>
          </w:tcPr>
          <w:p w14:paraId="218795CF" w14:textId="77777777" w:rsidR="002A748D" w:rsidRPr="002A748D" w:rsidRDefault="002A748D" w:rsidP="002A748D">
            <w:pPr>
              <w:pStyle w:val="TableText"/>
              <w:jc w:val="center"/>
            </w:pPr>
            <w:r w:rsidRPr="002A748D">
              <w:t>0%</w:t>
            </w:r>
          </w:p>
        </w:tc>
        <w:tc>
          <w:tcPr>
            <w:tcW w:w="1276" w:type="dxa"/>
          </w:tcPr>
          <w:p w14:paraId="698AF7DE" w14:textId="77777777" w:rsidR="002A748D" w:rsidRPr="002A748D" w:rsidRDefault="002A748D" w:rsidP="002A748D">
            <w:pPr>
              <w:pStyle w:val="TableText"/>
              <w:jc w:val="center"/>
            </w:pPr>
            <w:r w:rsidRPr="002A748D">
              <w:t>0</w:t>
            </w:r>
          </w:p>
        </w:tc>
      </w:tr>
      <w:tr w:rsidR="002A748D" w:rsidRPr="002A748D" w14:paraId="6453D975" w14:textId="77777777" w:rsidTr="002A748D">
        <w:tc>
          <w:tcPr>
            <w:tcW w:w="7087" w:type="dxa"/>
          </w:tcPr>
          <w:p w14:paraId="1879E0A5" w14:textId="77777777" w:rsidR="002A748D" w:rsidRPr="002A748D" w:rsidRDefault="002A748D" w:rsidP="002A748D">
            <w:pPr>
              <w:pStyle w:val="TableText"/>
            </w:pPr>
            <w:r w:rsidRPr="002A748D">
              <w:t>Other</w:t>
            </w:r>
          </w:p>
        </w:tc>
        <w:tc>
          <w:tcPr>
            <w:tcW w:w="1276" w:type="dxa"/>
          </w:tcPr>
          <w:p w14:paraId="16ABE5B2" w14:textId="77777777" w:rsidR="002A748D" w:rsidRPr="002A748D" w:rsidRDefault="002A748D" w:rsidP="002A748D">
            <w:pPr>
              <w:pStyle w:val="TableText"/>
              <w:jc w:val="center"/>
            </w:pPr>
            <w:r w:rsidRPr="002A748D">
              <w:t>0%</w:t>
            </w:r>
          </w:p>
        </w:tc>
        <w:tc>
          <w:tcPr>
            <w:tcW w:w="1276" w:type="dxa"/>
          </w:tcPr>
          <w:p w14:paraId="5B97A9A4" w14:textId="77777777" w:rsidR="002A748D" w:rsidRPr="002A748D" w:rsidRDefault="002A748D" w:rsidP="002A748D">
            <w:pPr>
              <w:pStyle w:val="TableText"/>
              <w:jc w:val="center"/>
            </w:pPr>
            <w:r w:rsidRPr="002A748D">
              <w:t>0</w:t>
            </w:r>
          </w:p>
        </w:tc>
      </w:tr>
      <w:tr w:rsidR="002A748D" w:rsidRPr="002A748D" w14:paraId="3C5E199C" w14:textId="77777777" w:rsidTr="002A748D">
        <w:tc>
          <w:tcPr>
            <w:tcW w:w="7087" w:type="dxa"/>
            <w:shd w:val="clear" w:color="auto" w:fill="E8E8E8" w:themeFill="background2"/>
          </w:tcPr>
          <w:p w14:paraId="7FCA5862" w14:textId="77777777" w:rsidR="002A748D" w:rsidRPr="002A748D" w:rsidRDefault="002A748D" w:rsidP="002A748D">
            <w:pPr>
              <w:pStyle w:val="TableText"/>
              <w:rPr>
                <w:b/>
                <w:bCs/>
              </w:rPr>
            </w:pPr>
            <w:r w:rsidRPr="002A748D">
              <w:rPr>
                <w:b/>
                <w:bCs/>
              </w:rPr>
              <w:t>Total</w:t>
            </w:r>
          </w:p>
        </w:tc>
        <w:tc>
          <w:tcPr>
            <w:tcW w:w="1276" w:type="dxa"/>
            <w:shd w:val="clear" w:color="auto" w:fill="E8E8E8" w:themeFill="background2"/>
          </w:tcPr>
          <w:p w14:paraId="10ADA39C" w14:textId="77777777" w:rsidR="002A748D" w:rsidRPr="002A748D" w:rsidRDefault="002A748D" w:rsidP="002A748D">
            <w:pPr>
              <w:pStyle w:val="TableText"/>
              <w:jc w:val="center"/>
              <w:rPr>
                <w:b/>
                <w:bCs/>
              </w:rPr>
            </w:pPr>
            <w:r w:rsidRPr="002A748D">
              <w:rPr>
                <w:b/>
                <w:bCs/>
              </w:rPr>
              <w:t>100%</w:t>
            </w:r>
          </w:p>
        </w:tc>
        <w:tc>
          <w:tcPr>
            <w:tcW w:w="1276" w:type="dxa"/>
            <w:shd w:val="clear" w:color="auto" w:fill="E8E8E8" w:themeFill="background2"/>
          </w:tcPr>
          <w:p w14:paraId="706A62D3" w14:textId="77777777" w:rsidR="002A748D" w:rsidRPr="002A748D" w:rsidRDefault="002A748D" w:rsidP="002A748D">
            <w:pPr>
              <w:pStyle w:val="TableText"/>
              <w:jc w:val="center"/>
              <w:rPr>
                <w:b/>
                <w:bCs/>
              </w:rPr>
            </w:pPr>
            <w:r w:rsidRPr="002A748D">
              <w:rPr>
                <w:b/>
                <w:bCs/>
              </w:rPr>
              <w:t>99</w:t>
            </w:r>
          </w:p>
        </w:tc>
      </w:tr>
    </w:tbl>
    <w:p w14:paraId="08E835E6" w14:textId="7F80B591" w:rsidR="00E44A4D" w:rsidRDefault="00E44A4D" w:rsidP="00E44A4D">
      <w:pPr>
        <w:pStyle w:val="Caption"/>
        <w:keepNext/>
      </w:pPr>
      <w:r>
        <w:lastRenderedPageBreak/>
        <w:t xml:space="preserve">Figure </w:t>
      </w:r>
      <w:fldSimple w:instr=" SEQ Figure \* ARABIC ">
        <w:r>
          <w:rPr>
            <w:noProof/>
          </w:rPr>
          <w:t>2</w:t>
        </w:r>
      </w:fldSimple>
      <w:r>
        <w:t xml:space="preserve">: </w:t>
      </w:r>
      <w:r w:rsidRPr="0035214D">
        <w:t>Ownership structure</w:t>
      </w:r>
      <w:r>
        <w:t xml:space="preserve"> graph</w:t>
      </w:r>
    </w:p>
    <w:p w14:paraId="3FD2EA47" w14:textId="598E7066" w:rsidR="007C3232" w:rsidRDefault="007C3232" w:rsidP="00860732">
      <w:pPr>
        <w:pStyle w:val="Graphspacing"/>
      </w:pPr>
      <w:r>
        <w:drawing>
          <wp:inline distT="0" distB="0" distL="0" distR="0" wp14:anchorId="487AEFAA" wp14:editId="35E1315D">
            <wp:extent cx="6108700" cy="1257300"/>
            <wp:effectExtent l="0" t="0" r="0" b="0"/>
            <wp:docPr id="1597486978" name="Picture 7" descr="Figure 2 shows that the majority of Wises are a not-for-profit company or association - 71 percent. Fifteen percent are a for-profit business formally linked with a charitable entity (i.e. a nested or hybrid structure), and eleven percent are a for-profit company or partnership. Finally, three percent are cooperative or member-based organis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486978" name="Picture 7" descr="Figure 2 shows that the majority of Wises are a not-for-profit company or association - 71 percent. Fifteen percent are a for-profit business formally linked with a charitable entity (i.e. a nested or hybrid structure), and eleven percent are a for-profit company or partnership. Finally, three percent are cooperative or member-based organisation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08700" cy="1257300"/>
                    </a:xfrm>
                    <a:prstGeom prst="rect">
                      <a:avLst/>
                    </a:prstGeom>
                  </pic:spPr>
                </pic:pic>
              </a:graphicData>
            </a:graphic>
          </wp:inline>
        </w:drawing>
      </w:r>
    </w:p>
    <w:p w14:paraId="7094E43C" w14:textId="3920F139" w:rsidR="004B6664" w:rsidRPr="00E52828" w:rsidRDefault="004B6664" w:rsidP="00E52828">
      <w:pPr>
        <w:pStyle w:val="Heading2"/>
      </w:pPr>
      <w:bookmarkStart w:id="6" w:name="_Toc235113575"/>
      <w:proofErr w:type="gramStart"/>
      <w:r>
        <w:t>Main focus</w:t>
      </w:r>
      <w:proofErr w:type="gramEnd"/>
      <w:r>
        <w:t xml:space="preserve"> and activities</w:t>
      </w:r>
      <w:bookmarkEnd w:id="6"/>
    </w:p>
    <w:p w14:paraId="1B04C617" w14:textId="77777777" w:rsidR="004B6664" w:rsidRDefault="004B6664" w:rsidP="004B6664">
      <w:r>
        <w:t>The most common focus of participating WISE activities was on building employability and supporting pathways into sustained work, particularly developing people’s skills and job-readiness (32.5%), and enabling people’s transition into long-term work with other employers or self-employment (31.5%). A smaller proportion provide long-term employment in our business (20.2%) while 8.4% prioritise improving employment practices of mainstream businesses and 7.4% seek to improve our local economy and place.</w:t>
      </w:r>
    </w:p>
    <w:tbl>
      <w:tblPr>
        <w:tblStyle w:val="Insights"/>
        <w:tblW w:w="5004" w:type="pct"/>
        <w:tblLook w:val="04A0" w:firstRow="1" w:lastRow="0" w:firstColumn="1" w:lastColumn="0" w:noHBand="0" w:noVBand="1"/>
      </w:tblPr>
      <w:tblGrid>
        <w:gridCol w:w="7140"/>
        <w:gridCol w:w="1253"/>
        <w:gridCol w:w="1253"/>
      </w:tblGrid>
      <w:tr w:rsidR="002A748D" w:rsidRPr="002A748D" w14:paraId="19C7E888" w14:textId="77777777" w:rsidTr="00E02B79">
        <w:trPr>
          <w:cnfStyle w:val="100000000000" w:firstRow="1" w:lastRow="0" w:firstColumn="0" w:lastColumn="0" w:oddVBand="0" w:evenVBand="0" w:oddHBand="0" w:evenHBand="0" w:firstRowFirstColumn="0" w:firstRowLastColumn="0" w:lastRowFirstColumn="0" w:lastRowLastColumn="0"/>
        </w:trPr>
        <w:tc>
          <w:tcPr>
            <w:tcW w:w="7139" w:type="dxa"/>
          </w:tcPr>
          <w:p w14:paraId="6A3C40FC" w14:textId="77777777" w:rsidR="002A748D" w:rsidRPr="002A748D" w:rsidRDefault="002A748D" w:rsidP="002A748D">
            <w:pPr>
              <w:pStyle w:val="TableText"/>
            </w:pPr>
            <w:r w:rsidRPr="002A748D">
              <w:t>Answer</w:t>
            </w:r>
          </w:p>
        </w:tc>
        <w:tc>
          <w:tcPr>
            <w:tcW w:w="1253" w:type="dxa"/>
          </w:tcPr>
          <w:p w14:paraId="2495FFB4" w14:textId="6361AC29" w:rsidR="002A748D" w:rsidRPr="002A748D" w:rsidRDefault="005B0D2B" w:rsidP="002A748D">
            <w:pPr>
              <w:pStyle w:val="TableText"/>
              <w:jc w:val="center"/>
            </w:pPr>
            <w:r w:rsidRPr="005B0D2B">
              <w:t>Percent</w:t>
            </w:r>
          </w:p>
        </w:tc>
        <w:tc>
          <w:tcPr>
            <w:tcW w:w="1253" w:type="dxa"/>
          </w:tcPr>
          <w:p w14:paraId="297F7568" w14:textId="5FF696D5" w:rsidR="002A748D" w:rsidRPr="00E44A4D" w:rsidRDefault="002A748D" w:rsidP="00E44A4D">
            <w:pPr>
              <w:pStyle w:val="TableText"/>
              <w:jc w:val="center"/>
            </w:pPr>
            <w:r w:rsidRPr="00E44A4D">
              <w:t>Count</w:t>
            </w:r>
            <w:r w:rsidR="00E44A4D" w:rsidRPr="00E44A4D">
              <w:rPr>
                <w:rStyle w:val="FootnoteReference"/>
              </w:rPr>
              <w:footnoteReference w:id="1"/>
            </w:r>
          </w:p>
        </w:tc>
      </w:tr>
      <w:tr w:rsidR="002A748D" w:rsidRPr="002A748D" w14:paraId="7C319E87" w14:textId="77777777" w:rsidTr="00E02B79">
        <w:tc>
          <w:tcPr>
            <w:tcW w:w="7139" w:type="dxa"/>
          </w:tcPr>
          <w:p w14:paraId="70184261" w14:textId="680E582C" w:rsidR="002A748D" w:rsidRPr="002A748D" w:rsidRDefault="00E02B79" w:rsidP="002A748D">
            <w:pPr>
              <w:pStyle w:val="TableText"/>
            </w:pPr>
            <w:r w:rsidRPr="002A748D">
              <w:t xml:space="preserve">Developing people’s skills and job-readiness, e.g. through work experience </w:t>
            </w:r>
            <w:r w:rsidR="002A748D" w:rsidRPr="002A748D">
              <w:t>or training</w:t>
            </w:r>
          </w:p>
        </w:tc>
        <w:tc>
          <w:tcPr>
            <w:tcW w:w="1253" w:type="dxa"/>
          </w:tcPr>
          <w:p w14:paraId="6DB786F6" w14:textId="77777777" w:rsidR="002A748D" w:rsidRPr="002A748D" w:rsidRDefault="002A748D" w:rsidP="002A748D">
            <w:pPr>
              <w:pStyle w:val="TableText"/>
              <w:jc w:val="center"/>
            </w:pPr>
            <w:r w:rsidRPr="002A748D">
              <w:t>32.5%</w:t>
            </w:r>
          </w:p>
        </w:tc>
        <w:tc>
          <w:tcPr>
            <w:tcW w:w="1253" w:type="dxa"/>
          </w:tcPr>
          <w:p w14:paraId="34C171A5" w14:textId="77777777" w:rsidR="002A748D" w:rsidRPr="002A748D" w:rsidRDefault="002A748D" w:rsidP="002A748D">
            <w:pPr>
              <w:pStyle w:val="TableText"/>
              <w:jc w:val="center"/>
            </w:pPr>
            <w:r w:rsidRPr="002A748D">
              <w:t>66</w:t>
            </w:r>
          </w:p>
        </w:tc>
      </w:tr>
      <w:tr w:rsidR="002A748D" w:rsidRPr="002A748D" w14:paraId="72AFCCE8" w14:textId="77777777" w:rsidTr="00E02B79">
        <w:tc>
          <w:tcPr>
            <w:tcW w:w="7139" w:type="dxa"/>
          </w:tcPr>
          <w:p w14:paraId="169BAE36" w14:textId="77777777" w:rsidR="002A748D" w:rsidRPr="002A748D" w:rsidRDefault="002A748D" w:rsidP="002A748D">
            <w:pPr>
              <w:pStyle w:val="TableText"/>
            </w:pPr>
            <w:r w:rsidRPr="002A748D">
              <w:t>Enabling people’s transition into long-term work with other employers or self-employment</w:t>
            </w:r>
          </w:p>
        </w:tc>
        <w:tc>
          <w:tcPr>
            <w:tcW w:w="1253" w:type="dxa"/>
          </w:tcPr>
          <w:p w14:paraId="6D77092F" w14:textId="77777777" w:rsidR="002A748D" w:rsidRPr="002A748D" w:rsidRDefault="002A748D" w:rsidP="002A748D">
            <w:pPr>
              <w:pStyle w:val="TableText"/>
              <w:jc w:val="center"/>
            </w:pPr>
            <w:r w:rsidRPr="002A748D">
              <w:t>31.5%</w:t>
            </w:r>
          </w:p>
        </w:tc>
        <w:tc>
          <w:tcPr>
            <w:tcW w:w="1253" w:type="dxa"/>
          </w:tcPr>
          <w:p w14:paraId="0AA8396D" w14:textId="77777777" w:rsidR="002A748D" w:rsidRPr="002A748D" w:rsidRDefault="002A748D" w:rsidP="002A748D">
            <w:pPr>
              <w:pStyle w:val="TableText"/>
              <w:jc w:val="center"/>
            </w:pPr>
            <w:r w:rsidRPr="002A748D">
              <w:t>64</w:t>
            </w:r>
          </w:p>
        </w:tc>
      </w:tr>
      <w:tr w:rsidR="002A748D" w:rsidRPr="002A748D" w14:paraId="2B8EB446" w14:textId="77777777" w:rsidTr="00E02B79">
        <w:tc>
          <w:tcPr>
            <w:tcW w:w="7139" w:type="dxa"/>
          </w:tcPr>
          <w:p w14:paraId="5D54D6F7" w14:textId="77777777" w:rsidR="002A748D" w:rsidRPr="002A748D" w:rsidRDefault="002A748D" w:rsidP="002A748D">
            <w:pPr>
              <w:pStyle w:val="TableText"/>
            </w:pPr>
            <w:r w:rsidRPr="002A748D">
              <w:t>Providing long-term employment in our business</w:t>
            </w:r>
          </w:p>
        </w:tc>
        <w:tc>
          <w:tcPr>
            <w:tcW w:w="1253" w:type="dxa"/>
          </w:tcPr>
          <w:p w14:paraId="1AC7B725" w14:textId="77777777" w:rsidR="002A748D" w:rsidRPr="002A748D" w:rsidRDefault="002A748D" w:rsidP="002A748D">
            <w:pPr>
              <w:pStyle w:val="TableText"/>
              <w:jc w:val="center"/>
            </w:pPr>
            <w:r w:rsidRPr="002A748D">
              <w:t>20.2%</w:t>
            </w:r>
          </w:p>
        </w:tc>
        <w:tc>
          <w:tcPr>
            <w:tcW w:w="1253" w:type="dxa"/>
          </w:tcPr>
          <w:p w14:paraId="7AC9D21E" w14:textId="77777777" w:rsidR="002A748D" w:rsidRPr="002A748D" w:rsidRDefault="002A748D" w:rsidP="002A748D">
            <w:pPr>
              <w:pStyle w:val="TableText"/>
              <w:jc w:val="center"/>
            </w:pPr>
            <w:r w:rsidRPr="002A748D">
              <w:t>41</w:t>
            </w:r>
          </w:p>
        </w:tc>
      </w:tr>
      <w:tr w:rsidR="002A748D" w:rsidRPr="002A748D" w14:paraId="13B2628D" w14:textId="77777777" w:rsidTr="00E02B79">
        <w:tc>
          <w:tcPr>
            <w:tcW w:w="7139" w:type="dxa"/>
          </w:tcPr>
          <w:p w14:paraId="1CA6A026" w14:textId="77777777" w:rsidR="002A748D" w:rsidRPr="002A748D" w:rsidRDefault="002A748D" w:rsidP="002A748D">
            <w:pPr>
              <w:pStyle w:val="TableText"/>
            </w:pPr>
            <w:r w:rsidRPr="002A748D">
              <w:t>Improving our local economy and place</w:t>
            </w:r>
          </w:p>
        </w:tc>
        <w:tc>
          <w:tcPr>
            <w:tcW w:w="1253" w:type="dxa"/>
          </w:tcPr>
          <w:p w14:paraId="3F5A868E" w14:textId="77777777" w:rsidR="002A748D" w:rsidRPr="002A748D" w:rsidRDefault="002A748D" w:rsidP="002A748D">
            <w:pPr>
              <w:pStyle w:val="TableText"/>
              <w:jc w:val="center"/>
            </w:pPr>
            <w:r w:rsidRPr="002A748D">
              <w:t>7.4%</w:t>
            </w:r>
          </w:p>
        </w:tc>
        <w:tc>
          <w:tcPr>
            <w:tcW w:w="1253" w:type="dxa"/>
          </w:tcPr>
          <w:p w14:paraId="0EE8CAA2" w14:textId="77777777" w:rsidR="002A748D" w:rsidRPr="002A748D" w:rsidRDefault="002A748D" w:rsidP="002A748D">
            <w:pPr>
              <w:pStyle w:val="TableText"/>
              <w:jc w:val="center"/>
            </w:pPr>
            <w:r w:rsidRPr="002A748D">
              <w:t>15</w:t>
            </w:r>
          </w:p>
        </w:tc>
      </w:tr>
      <w:tr w:rsidR="002A748D" w:rsidRPr="002A748D" w14:paraId="32BD4EE7" w14:textId="77777777" w:rsidTr="00E02B79">
        <w:tc>
          <w:tcPr>
            <w:tcW w:w="7139" w:type="dxa"/>
          </w:tcPr>
          <w:p w14:paraId="3D7B6974" w14:textId="77777777" w:rsidR="002A748D" w:rsidRPr="002A748D" w:rsidRDefault="002A748D" w:rsidP="002A748D">
            <w:pPr>
              <w:pStyle w:val="TableText"/>
            </w:pPr>
            <w:r w:rsidRPr="002A748D">
              <w:t>Improving employment practices of mainstream businesses</w:t>
            </w:r>
          </w:p>
        </w:tc>
        <w:tc>
          <w:tcPr>
            <w:tcW w:w="1253" w:type="dxa"/>
          </w:tcPr>
          <w:p w14:paraId="428963C1" w14:textId="77777777" w:rsidR="002A748D" w:rsidRPr="002A748D" w:rsidRDefault="002A748D" w:rsidP="002A748D">
            <w:pPr>
              <w:pStyle w:val="TableText"/>
              <w:jc w:val="center"/>
            </w:pPr>
            <w:r w:rsidRPr="002A748D">
              <w:t>8.4%</w:t>
            </w:r>
          </w:p>
        </w:tc>
        <w:tc>
          <w:tcPr>
            <w:tcW w:w="1253" w:type="dxa"/>
          </w:tcPr>
          <w:p w14:paraId="2BC4AA12" w14:textId="77777777" w:rsidR="002A748D" w:rsidRPr="002A748D" w:rsidRDefault="002A748D" w:rsidP="002A748D">
            <w:pPr>
              <w:pStyle w:val="TableText"/>
              <w:jc w:val="center"/>
            </w:pPr>
            <w:r w:rsidRPr="002A748D">
              <w:t>17</w:t>
            </w:r>
          </w:p>
        </w:tc>
      </w:tr>
      <w:tr w:rsidR="002A748D" w:rsidRPr="002A748D" w14:paraId="7A703678" w14:textId="77777777" w:rsidTr="00E02B79">
        <w:tc>
          <w:tcPr>
            <w:tcW w:w="7139" w:type="dxa"/>
            <w:shd w:val="clear" w:color="auto" w:fill="E8E8E8" w:themeFill="background2"/>
          </w:tcPr>
          <w:p w14:paraId="2388D002" w14:textId="77777777" w:rsidR="002A748D" w:rsidRPr="002A748D" w:rsidRDefault="002A748D" w:rsidP="002A748D">
            <w:pPr>
              <w:pStyle w:val="TableText"/>
              <w:rPr>
                <w:b/>
                <w:bCs/>
              </w:rPr>
            </w:pPr>
            <w:r w:rsidRPr="002A748D">
              <w:rPr>
                <w:b/>
                <w:bCs/>
              </w:rPr>
              <w:t>Total</w:t>
            </w:r>
          </w:p>
        </w:tc>
        <w:tc>
          <w:tcPr>
            <w:tcW w:w="1253" w:type="dxa"/>
            <w:shd w:val="clear" w:color="auto" w:fill="E8E8E8" w:themeFill="background2"/>
          </w:tcPr>
          <w:p w14:paraId="52A09945" w14:textId="77777777" w:rsidR="002A748D" w:rsidRPr="002A748D" w:rsidRDefault="002A748D" w:rsidP="002A748D">
            <w:pPr>
              <w:pStyle w:val="TableText"/>
              <w:jc w:val="center"/>
              <w:rPr>
                <w:b/>
                <w:bCs/>
              </w:rPr>
            </w:pPr>
            <w:r w:rsidRPr="002A748D">
              <w:rPr>
                <w:b/>
                <w:bCs/>
              </w:rPr>
              <w:t>100%</w:t>
            </w:r>
          </w:p>
        </w:tc>
        <w:tc>
          <w:tcPr>
            <w:tcW w:w="1253" w:type="dxa"/>
            <w:shd w:val="clear" w:color="auto" w:fill="E8E8E8" w:themeFill="background2"/>
          </w:tcPr>
          <w:p w14:paraId="7624BCE9" w14:textId="77777777" w:rsidR="002A748D" w:rsidRPr="002A748D" w:rsidRDefault="002A748D" w:rsidP="002A748D">
            <w:pPr>
              <w:pStyle w:val="TableText"/>
              <w:jc w:val="center"/>
              <w:rPr>
                <w:b/>
                <w:bCs/>
              </w:rPr>
            </w:pPr>
            <w:r w:rsidRPr="002A748D">
              <w:rPr>
                <w:b/>
                <w:bCs/>
              </w:rPr>
              <w:t>203</w:t>
            </w:r>
          </w:p>
        </w:tc>
      </w:tr>
    </w:tbl>
    <w:p w14:paraId="71DE2628" w14:textId="10E81ECC" w:rsidR="00E44A4D" w:rsidRDefault="00E44A4D" w:rsidP="00E44A4D">
      <w:pPr>
        <w:pStyle w:val="Caption"/>
        <w:keepNext/>
      </w:pPr>
      <w:r>
        <w:t xml:space="preserve">Figure </w:t>
      </w:r>
      <w:fldSimple w:instr=" SEQ Figure \* ARABIC ">
        <w:r>
          <w:rPr>
            <w:noProof/>
          </w:rPr>
          <w:t>3</w:t>
        </w:r>
      </w:fldSimple>
      <w:r>
        <w:t xml:space="preserve">: </w:t>
      </w:r>
      <w:proofErr w:type="gramStart"/>
      <w:r w:rsidRPr="00FA1D43">
        <w:t>Main focus</w:t>
      </w:r>
      <w:proofErr w:type="gramEnd"/>
      <w:r w:rsidRPr="00FA1D43">
        <w:t xml:space="preserve"> and activities</w:t>
      </w:r>
      <w:r>
        <w:t xml:space="preserve"> graph</w:t>
      </w:r>
    </w:p>
    <w:p w14:paraId="4B8A5848" w14:textId="3D3050CF" w:rsidR="00E02B79" w:rsidRDefault="007C3232" w:rsidP="00860732">
      <w:pPr>
        <w:pStyle w:val="Graphspacing"/>
      </w:pPr>
      <w:r>
        <w:drawing>
          <wp:inline distT="0" distB="0" distL="0" distR="0" wp14:anchorId="0198FD0E" wp14:editId="0028BCD7">
            <wp:extent cx="4851400" cy="1765300"/>
            <wp:effectExtent l="0" t="0" r="0" b="0"/>
            <wp:docPr id="1912193065" name="Picture 8" descr="Figure 3 shows that the most common main focus and activities of Wises are developing people’s skills and job readiness through work experience or training (32.5 percent); and enabling people’s transition into long term work with other employers or self-employment (31.5 percent). About 20 percent of Wises also provide long term employment in their business, while 8.4 percent were focused on improving employment practices of mainstream business. Finally, 7.4 percent focused on improving their local economy and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93065" name="Picture 8" descr="Figure 3 shows that the most common main focus and activities of Wises are developing people’s skills and job readiness through work experience or training (32.5 percent); and enabling people’s transition into long term work with other employers or self-employment (31.5 percent). About 20 percent of Wises also provide long term employment in their business, while 8.4 percent were focused on improving employment practices of mainstream business. Finally, 7.4 percent focused on improving their local economy and pla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51400" cy="1765300"/>
                    </a:xfrm>
                    <a:prstGeom prst="rect">
                      <a:avLst/>
                    </a:prstGeom>
                  </pic:spPr>
                </pic:pic>
              </a:graphicData>
            </a:graphic>
          </wp:inline>
        </w:drawing>
      </w:r>
    </w:p>
    <w:p w14:paraId="3A738D55" w14:textId="77777777" w:rsidR="00860732" w:rsidRDefault="00860732" w:rsidP="00E02B79">
      <w:pPr>
        <w:pStyle w:val="Heading2"/>
      </w:pPr>
      <w:r>
        <w:br w:type="page"/>
      </w:r>
    </w:p>
    <w:p w14:paraId="5C0F24DC" w14:textId="2356226E" w:rsidR="004B6664" w:rsidRDefault="004B6664" w:rsidP="00E02B79">
      <w:pPr>
        <w:pStyle w:val="Heading2"/>
      </w:pPr>
      <w:bookmarkStart w:id="7" w:name="_Toc235113576"/>
      <w:r>
        <w:lastRenderedPageBreak/>
        <w:t>Compensation for participants/employees</w:t>
      </w:r>
      <w:bookmarkEnd w:id="7"/>
    </w:p>
    <w:p w14:paraId="4C05EBE8" w14:textId="77777777" w:rsidR="004B6664" w:rsidRDefault="004B6664" w:rsidP="004B6664">
      <w:r>
        <w:t>Providing paid employment is the predominant way participating WISEs compensate the people they seek to help, alongside a smaller but notable reliance on unpaid training and supported arrangements. Around 43% remunerate their participants through industrial award wages, while around a quarter of respondents provide unpaid training and development opportunities, and around 20% pay participants through supported wage agreements. Around 8% compensate participants via subsidised placements and internships and approximately 4% offer them shared ownership/membership in the business.</w:t>
      </w:r>
    </w:p>
    <w:tbl>
      <w:tblPr>
        <w:tblStyle w:val="Insights"/>
        <w:tblW w:w="0" w:type="auto"/>
        <w:tblLook w:val="04A0" w:firstRow="1" w:lastRow="0" w:firstColumn="1" w:lastColumn="0" w:noHBand="0" w:noVBand="1"/>
      </w:tblPr>
      <w:tblGrid>
        <w:gridCol w:w="7088"/>
        <w:gridCol w:w="1276"/>
        <w:gridCol w:w="1274"/>
      </w:tblGrid>
      <w:tr w:rsidR="00E02B79" w:rsidRPr="00E02B79" w14:paraId="7BB74561" w14:textId="77777777" w:rsidTr="00E02B79">
        <w:trPr>
          <w:cnfStyle w:val="100000000000" w:firstRow="1" w:lastRow="0" w:firstColumn="0" w:lastColumn="0" w:oddVBand="0" w:evenVBand="0" w:oddHBand="0" w:evenHBand="0" w:firstRowFirstColumn="0" w:firstRowLastColumn="0" w:lastRowFirstColumn="0" w:lastRowLastColumn="0"/>
        </w:trPr>
        <w:tc>
          <w:tcPr>
            <w:tcW w:w="7088" w:type="dxa"/>
          </w:tcPr>
          <w:p w14:paraId="2C3E8748" w14:textId="77777777" w:rsidR="00E02B79" w:rsidRPr="00E02B79" w:rsidRDefault="00E02B79" w:rsidP="00E02B79">
            <w:pPr>
              <w:pStyle w:val="TableText"/>
            </w:pPr>
            <w:r w:rsidRPr="00E02B79">
              <w:t>Answer</w:t>
            </w:r>
          </w:p>
        </w:tc>
        <w:tc>
          <w:tcPr>
            <w:tcW w:w="1276" w:type="dxa"/>
          </w:tcPr>
          <w:p w14:paraId="75D892BF" w14:textId="3DD928A7" w:rsidR="00E02B79" w:rsidRPr="00E02B79" w:rsidRDefault="005B0D2B" w:rsidP="00E02B79">
            <w:pPr>
              <w:pStyle w:val="TableText"/>
              <w:jc w:val="center"/>
            </w:pPr>
            <w:r w:rsidRPr="005B0D2B">
              <w:t>Percent</w:t>
            </w:r>
          </w:p>
        </w:tc>
        <w:tc>
          <w:tcPr>
            <w:tcW w:w="1274" w:type="dxa"/>
          </w:tcPr>
          <w:p w14:paraId="10828F11" w14:textId="5B9A89D6" w:rsidR="00E02B79" w:rsidRPr="00E02B79" w:rsidRDefault="00E02B79" w:rsidP="00E02B79">
            <w:pPr>
              <w:pStyle w:val="TableText"/>
              <w:jc w:val="center"/>
            </w:pPr>
            <w:r w:rsidRPr="00E02B79">
              <w:t>Count</w:t>
            </w:r>
            <w:r w:rsidR="00E44A4D" w:rsidRPr="00E44A4D">
              <w:rPr>
                <w:vertAlign w:val="superscript"/>
              </w:rPr>
              <w:footnoteReference w:id="2"/>
            </w:r>
          </w:p>
        </w:tc>
      </w:tr>
      <w:tr w:rsidR="00E02B79" w:rsidRPr="00E02B79" w14:paraId="1FB82C4A" w14:textId="77777777" w:rsidTr="00E02B79">
        <w:tc>
          <w:tcPr>
            <w:tcW w:w="7088" w:type="dxa"/>
          </w:tcPr>
          <w:p w14:paraId="40EDA202" w14:textId="77777777" w:rsidR="00E02B79" w:rsidRPr="00E02B79" w:rsidRDefault="00E02B79" w:rsidP="00E02B79">
            <w:pPr>
              <w:pStyle w:val="TableText"/>
            </w:pPr>
            <w:r w:rsidRPr="00E02B79">
              <w:t>We provide unpaid training and development opportunities</w:t>
            </w:r>
          </w:p>
        </w:tc>
        <w:tc>
          <w:tcPr>
            <w:tcW w:w="1276" w:type="dxa"/>
          </w:tcPr>
          <w:p w14:paraId="776D05A8" w14:textId="77777777" w:rsidR="00E02B79" w:rsidRPr="00E02B79" w:rsidRDefault="00E02B79" w:rsidP="00E02B79">
            <w:pPr>
              <w:pStyle w:val="TableText"/>
              <w:jc w:val="center"/>
            </w:pPr>
            <w:r w:rsidRPr="00E02B79">
              <w:t>25.6%</w:t>
            </w:r>
          </w:p>
        </w:tc>
        <w:tc>
          <w:tcPr>
            <w:tcW w:w="1274" w:type="dxa"/>
          </w:tcPr>
          <w:p w14:paraId="2C7F038E" w14:textId="77777777" w:rsidR="00E02B79" w:rsidRPr="00E02B79" w:rsidRDefault="00E02B79" w:rsidP="00E02B79">
            <w:pPr>
              <w:pStyle w:val="TableText"/>
              <w:jc w:val="center"/>
            </w:pPr>
            <w:r w:rsidRPr="00E02B79">
              <w:t>40</w:t>
            </w:r>
          </w:p>
        </w:tc>
      </w:tr>
      <w:tr w:rsidR="00E02B79" w:rsidRPr="00E02B79" w14:paraId="6EC8D0C7" w14:textId="77777777" w:rsidTr="00E02B79">
        <w:tc>
          <w:tcPr>
            <w:tcW w:w="7088" w:type="dxa"/>
          </w:tcPr>
          <w:p w14:paraId="7787D438" w14:textId="77777777" w:rsidR="00E02B79" w:rsidRPr="00E02B79" w:rsidRDefault="00E02B79" w:rsidP="00E02B79">
            <w:pPr>
              <w:pStyle w:val="TableText"/>
            </w:pPr>
            <w:r w:rsidRPr="00E02B79">
              <w:t>Participants are financially supported through subsidised placements and internships</w:t>
            </w:r>
          </w:p>
        </w:tc>
        <w:tc>
          <w:tcPr>
            <w:tcW w:w="1276" w:type="dxa"/>
          </w:tcPr>
          <w:p w14:paraId="30E5512B" w14:textId="77777777" w:rsidR="00E02B79" w:rsidRPr="00E02B79" w:rsidRDefault="00E02B79" w:rsidP="00E02B79">
            <w:pPr>
              <w:pStyle w:val="TableText"/>
              <w:jc w:val="center"/>
            </w:pPr>
            <w:r w:rsidRPr="00E02B79">
              <w:t>7.7%</w:t>
            </w:r>
          </w:p>
        </w:tc>
        <w:tc>
          <w:tcPr>
            <w:tcW w:w="1274" w:type="dxa"/>
          </w:tcPr>
          <w:p w14:paraId="6867BCF4" w14:textId="77777777" w:rsidR="00E02B79" w:rsidRPr="00E02B79" w:rsidRDefault="00E02B79" w:rsidP="00E02B79">
            <w:pPr>
              <w:pStyle w:val="TableText"/>
              <w:jc w:val="center"/>
            </w:pPr>
            <w:r w:rsidRPr="00E02B79">
              <w:t>12</w:t>
            </w:r>
          </w:p>
        </w:tc>
      </w:tr>
      <w:tr w:rsidR="00E02B79" w:rsidRPr="00E02B79" w14:paraId="6D4A7A86" w14:textId="77777777" w:rsidTr="00E02B79">
        <w:tc>
          <w:tcPr>
            <w:tcW w:w="7088" w:type="dxa"/>
          </w:tcPr>
          <w:p w14:paraId="28FE50F7" w14:textId="77777777" w:rsidR="00E02B79" w:rsidRPr="00E02B79" w:rsidRDefault="00E02B79" w:rsidP="00E02B79">
            <w:pPr>
              <w:pStyle w:val="TableText"/>
            </w:pPr>
            <w:r w:rsidRPr="00E02B79">
              <w:t>Participants are paid through industrial award wages</w:t>
            </w:r>
          </w:p>
        </w:tc>
        <w:tc>
          <w:tcPr>
            <w:tcW w:w="1276" w:type="dxa"/>
          </w:tcPr>
          <w:p w14:paraId="3F74D225" w14:textId="77777777" w:rsidR="00E02B79" w:rsidRPr="00E02B79" w:rsidRDefault="00E02B79" w:rsidP="00E02B79">
            <w:pPr>
              <w:pStyle w:val="TableText"/>
              <w:jc w:val="center"/>
            </w:pPr>
            <w:r w:rsidRPr="00E02B79">
              <w:t>42.9%</w:t>
            </w:r>
          </w:p>
        </w:tc>
        <w:tc>
          <w:tcPr>
            <w:tcW w:w="1274" w:type="dxa"/>
          </w:tcPr>
          <w:p w14:paraId="7FAEBB0A" w14:textId="77777777" w:rsidR="00E02B79" w:rsidRPr="00E02B79" w:rsidRDefault="00E02B79" w:rsidP="00E02B79">
            <w:pPr>
              <w:pStyle w:val="TableText"/>
              <w:jc w:val="center"/>
            </w:pPr>
            <w:r w:rsidRPr="00E02B79">
              <w:t>67</w:t>
            </w:r>
          </w:p>
        </w:tc>
      </w:tr>
      <w:tr w:rsidR="00E02B79" w:rsidRPr="00E02B79" w14:paraId="1E06DD11" w14:textId="77777777" w:rsidTr="00E02B79">
        <w:tc>
          <w:tcPr>
            <w:tcW w:w="7088" w:type="dxa"/>
          </w:tcPr>
          <w:p w14:paraId="5D4B4550" w14:textId="77777777" w:rsidR="00E02B79" w:rsidRPr="00E02B79" w:rsidRDefault="00E02B79" w:rsidP="00E02B79">
            <w:pPr>
              <w:pStyle w:val="TableText"/>
            </w:pPr>
            <w:r w:rsidRPr="00E02B79">
              <w:t>Participants are paid through supported wage agreements</w:t>
            </w:r>
          </w:p>
        </w:tc>
        <w:tc>
          <w:tcPr>
            <w:tcW w:w="1276" w:type="dxa"/>
          </w:tcPr>
          <w:p w14:paraId="2BAEF7CA" w14:textId="77777777" w:rsidR="00E02B79" w:rsidRPr="00E02B79" w:rsidRDefault="00E02B79" w:rsidP="00E02B79">
            <w:pPr>
              <w:pStyle w:val="TableText"/>
              <w:jc w:val="center"/>
            </w:pPr>
            <w:r w:rsidRPr="00E02B79">
              <w:t>19.9%</w:t>
            </w:r>
          </w:p>
        </w:tc>
        <w:tc>
          <w:tcPr>
            <w:tcW w:w="1274" w:type="dxa"/>
          </w:tcPr>
          <w:p w14:paraId="7264BF2C" w14:textId="77777777" w:rsidR="00E02B79" w:rsidRPr="00E02B79" w:rsidRDefault="00E02B79" w:rsidP="00E02B79">
            <w:pPr>
              <w:pStyle w:val="TableText"/>
              <w:jc w:val="center"/>
            </w:pPr>
            <w:r w:rsidRPr="00E02B79">
              <w:t>31</w:t>
            </w:r>
          </w:p>
        </w:tc>
      </w:tr>
      <w:tr w:rsidR="00E02B79" w:rsidRPr="00E02B79" w14:paraId="0BD1CEC1" w14:textId="77777777" w:rsidTr="00E02B79">
        <w:tc>
          <w:tcPr>
            <w:tcW w:w="7088" w:type="dxa"/>
          </w:tcPr>
          <w:p w14:paraId="085BA62D" w14:textId="77777777" w:rsidR="00E02B79" w:rsidRPr="00E02B79" w:rsidRDefault="00E02B79" w:rsidP="00E02B79">
            <w:pPr>
              <w:pStyle w:val="TableText"/>
            </w:pPr>
            <w:r w:rsidRPr="00E02B79">
              <w:t>Participants have shared ownership/membership in our business</w:t>
            </w:r>
          </w:p>
        </w:tc>
        <w:tc>
          <w:tcPr>
            <w:tcW w:w="1276" w:type="dxa"/>
          </w:tcPr>
          <w:p w14:paraId="3F02CD63" w14:textId="77777777" w:rsidR="00E02B79" w:rsidRPr="00E02B79" w:rsidRDefault="00E02B79" w:rsidP="00E02B79">
            <w:pPr>
              <w:pStyle w:val="TableText"/>
              <w:jc w:val="center"/>
            </w:pPr>
            <w:r w:rsidRPr="00E02B79">
              <w:t>3.9%</w:t>
            </w:r>
          </w:p>
        </w:tc>
        <w:tc>
          <w:tcPr>
            <w:tcW w:w="1274" w:type="dxa"/>
          </w:tcPr>
          <w:p w14:paraId="698E1BEA" w14:textId="77777777" w:rsidR="00E02B79" w:rsidRPr="00E02B79" w:rsidRDefault="00E02B79" w:rsidP="00E02B79">
            <w:pPr>
              <w:pStyle w:val="TableText"/>
              <w:jc w:val="center"/>
            </w:pPr>
            <w:r w:rsidRPr="00E02B79">
              <w:t>6</w:t>
            </w:r>
          </w:p>
        </w:tc>
      </w:tr>
      <w:tr w:rsidR="00E02B79" w:rsidRPr="00E02B79" w14:paraId="613E0FCE" w14:textId="77777777" w:rsidTr="00E02B79">
        <w:tc>
          <w:tcPr>
            <w:tcW w:w="7088" w:type="dxa"/>
            <w:shd w:val="clear" w:color="auto" w:fill="E8E8E8" w:themeFill="background2"/>
          </w:tcPr>
          <w:p w14:paraId="0AF5876D" w14:textId="77777777" w:rsidR="00E02B79" w:rsidRPr="00E02B79" w:rsidRDefault="00E02B79" w:rsidP="00E02B79">
            <w:pPr>
              <w:pStyle w:val="TableText"/>
              <w:rPr>
                <w:b/>
                <w:bCs/>
              </w:rPr>
            </w:pPr>
            <w:r w:rsidRPr="00E02B79">
              <w:rPr>
                <w:b/>
                <w:bCs/>
              </w:rPr>
              <w:t>Total</w:t>
            </w:r>
          </w:p>
        </w:tc>
        <w:tc>
          <w:tcPr>
            <w:tcW w:w="1276" w:type="dxa"/>
            <w:shd w:val="clear" w:color="auto" w:fill="E8E8E8" w:themeFill="background2"/>
          </w:tcPr>
          <w:p w14:paraId="085914C0" w14:textId="77777777" w:rsidR="00E02B79" w:rsidRPr="00E02B79" w:rsidRDefault="00E02B79" w:rsidP="00E02B79">
            <w:pPr>
              <w:pStyle w:val="TableText"/>
              <w:jc w:val="center"/>
              <w:rPr>
                <w:b/>
                <w:bCs/>
              </w:rPr>
            </w:pPr>
            <w:r w:rsidRPr="00E02B79">
              <w:rPr>
                <w:b/>
                <w:bCs/>
              </w:rPr>
              <w:t>100%</w:t>
            </w:r>
          </w:p>
        </w:tc>
        <w:tc>
          <w:tcPr>
            <w:tcW w:w="1274" w:type="dxa"/>
            <w:shd w:val="clear" w:color="auto" w:fill="E8E8E8" w:themeFill="background2"/>
          </w:tcPr>
          <w:p w14:paraId="5C7DCD69" w14:textId="77777777" w:rsidR="00E02B79" w:rsidRPr="00E02B79" w:rsidRDefault="00E02B79" w:rsidP="00E02B79">
            <w:pPr>
              <w:pStyle w:val="TableText"/>
              <w:jc w:val="center"/>
              <w:rPr>
                <w:b/>
                <w:bCs/>
              </w:rPr>
            </w:pPr>
            <w:r w:rsidRPr="00E02B79">
              <w:rPr>
                <w:b/>
                <w:bCs/>
              </w:rPr>
              <w:t>156</w:t>
            </w:r>
          </w:p>
        </w:tc>
      </w:tr>
    </w:tbl>
    <w:p w14:paraId="11CB98A6" w14:textId="2F8F18F1" w:rsidR="00E44A4D" w:rsidRDefault="00E44A4D" w:rsidP="00E44A4D">
      <w:pPr>
        <w:pStyle w:val="Caption"/>
        <w:keepNext/>
      </w:pPr>
      <w:r>
        <w:t xml:space="preserve">Figure </w:t>
      </w:r>
      <w:fldSimple w:instr=" SEQ Figure \* ARABIC ">
        <w:r>
          <w:rPr>
            <w:noProof/>
          </w:rPr>
          <w:t>4</w:t>
        </w:r>
      </w:fldSimple>
      <w:r>
        <w:t xml:space="preserve">: </w:t>
      </w:r>
      <w:r w:rsidRPr="00E865F6">
        <w:t>Compensation for participants/</w:t>
      </w:r>
      <w:proofErr w:type="gramStart"/>
      <w:r w:rsidRPr="00E865F6">
        <w:t>employees</w:t>
      </w:r>
      <w:proofErr w:type="gramEnd"/>
      <w:r>
        <w:t xml:space="preserve"> graph</w:t>
      </w:r>
    </w:p>
    <w:p w14:paraId="0675B7B1" w14:textId="104DCFFF" w:rsidR="004B6664" w:rsidRDefault="009E7235" w:rsidP="00860732">
      <w:pPr>
        <w:pStyle w:val="Graphspacing"/>
      </w:pPr>
      <w:r>
        <w:drawing>
          <wp:anchor distT="0" distB="0" distL="114300" distR="114300" simplePos="0" relativeHeight="251663360" behindDoc="0" locked="0" layoutInCell="1" allowOverlap="1" wp14:anchorId="5B34E4E6" wp14:editId="7BACB8B8">
            <wp:simplePos x="0" y="0"/>
            <wp:positionH relativeFrom="column">
              <wp:posOffset>2540</wp:posOffset>
            </wp:positionH>
            <wp:positionV relativeFrom="paragraph">
              <wp:posOffset>2177415</wp:posOffset>
            </wp:positionV>
            <wp:extent cx="4970780" cy="2413000"/>
            <wp:effectExtent l="0" t="0" r="0" b="0"/>
            <wp:wrapSquare wrapText="bothSides"/>
            <wp:docPr id="474311929" name="Picture 13" descr="Photograph of three women standing side by side against a plain brown wall, each holding large, colourful bouquets of flowers featuring yellow, purple, and pink blooms. All women wear headscarves and casual clothing, smiling warmly at the camer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11929" name="Picture 13" descr="Photograph of three women standing side by side against a plain brown wall, each holding large, colourful bouquets of flowers featuring yellow, purple, and pink blooms. All women wear headscarves and casual clothing, smiling warmly at the camera. "/>
                    <pic:cNvPicPr/>
                  </pic:nvPicPr>
                  <pic:blipFill rotWithShape="1">
                    <a:blip r:embed="rId28" cstate="print">
                      <a:extLst>
                        <a:ext uri="{28A0092B-C50C-407E-A947-70E740481C1C}">
                          <a14:useLocalDpi xmlns:a14="http://schemas.microsoft.com/office/drawing/2010/main" val="0"/>
                        </a:ext>
                      </a:extLst>
                    </a:blip>
                    <a:srcRect l="13909" t="29960" r="725" b="42407"/>
                    <a:stretch>
                      <a:fillRect/>
                    </a:stretch>
                  </pic:blipFill>
                  <pic:spPr bwMode="auto">
                    <a:xfrm>
                      <a:off x="0" y="0"/>
                      <a:ext cx="4970780" cy="241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C3232">
        <w:drawing>
          <wp:inline distT="0" distB="0" distL="0" distR="0" wp14:anchorId="7510C209" wp14:editId="1807D951">
            <wp:extent cx="5397500" cy="1841500"/>
            <wp:effectExtent l="0" t="0" r="0" b="0"/>
            <wp:docPr id="1443047704" name="Picture 9" descr="Figure 4 shows that 42.9 percent of Wises surveyed pay their participants through industrial award wages, while just over a quarter provide unpaid training and development. Almost 20 percent pay their participants through supported wage agreements, while 7.7 percent said their participants are financially supported through subsidised placements and internships. Finally, 3.9 percent said their participants had shared ownership or membership in their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47704" name="Picture 9" descr="Figure 4 shows that 42.9 percent of Wises surveyed pay their participants through industrial award wages, while just over a quarter provide unpaid training and development. Almost 20 percent pay their participants through supported wage agreements, while 7.7 percent said their participants are financially supported through subsidised placements and internships. Finally, 3.9 percent said their participants had shared ownership or membership in their busines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97500" cy="1841500"/>
                    </a:xfrm>
                    <a:prstGeom prst="rect">
                      <a:avLst/>
                    </a:prstGeom>
                  </pic:spPr>
                </pic:pic>
              </a:graphicData>
            </a:graphic>
          </wp:inline>
        </w:drawing>
      </w:r>
    </w:p>
    <w:p w14:paraId="4B4D59F6" w14:textId="72FA885A" w:rsidR="009E7235" w:rsidRPr="009E7235" w:rsidRDefault="009E7235" w:rsidP="009E7235">
      <w:pPr>
        <w:pStyle w:val="Graphspacing"/>
        <w:rPr>
          <w:i/>
          <w:iCs/>
          <w:noProof w:val="0"/>
          <w:color w:val="000000" w:themeColor="text2"/>
          <w:sz w:val="20"/>
          <w:szCs w:val="18"/>
        </w:rPr>
      </w:pPr>
      <w:r>
        <w:rPr>
          <w:i/>
          <w:iCs/>
          <w:noProof w:val="0"/>
          <w:color w:val="000000" w:themeColor="text2"/>
          <w:sz w:val="20"/>
          <w:szCs w:val="18"/>
        </w:rPr>
        <w:t>Photo d</w:t>
      </w:r>
      <w:r w:rsidRPr="009E7235">
        <w:rPr>
          <w:i/>
          <w:iCs/>
          <w:noProof w:val="0"/>
          <w:color w:val="000000" w:themeColor="text2"/>
          <w:sz w:val="20"/>
          <w:szCs w:val="18"/>
        </w:rPr>
        <w:t>escription: Trainees at The Beautiful Bunch with seasonal bouquets.</w:t>
      </w:r>
      <w:r>
        <w:rPr>
          <w:i/>
          <w:iCs/>
          <w:noProof w:val="0"/>
          <w:color w:val="000000" w:themeColor="text2"/>
          <w:sz w:val="20"/>
          <w:szCs w:val="18"/>
        </w:rPr>
        <w:br/>
      </w:r>
      <w:r w:rsidRPr="009E7235">
        <w:rPr>
          <w:i/>
          <w:iCs/>
          <w:noProof w:val="0"/>
          <w:color w:val="000000" w:themeColor="text2"/>
          <w:sz w:val="20"/>
          <w:szCs w:val="18"/>
        </w:rPr>
        <w:t xml:space="preserve">Photo credit: </w:t>
      </w:r>
      <w:r>
        <w:rPr>
          <w:i/>
          <w:iCs/>
          <w:noProof w:val="0"/>
          <w:color w:val="000000" w:themeColor="text2"/>
          <w:sz w:val="20"/>
          <w:szCs w:val="18"/>
        </w:rPr>
        <w:br/>
      </w:r>
      <w:r w:rsidRPr="009E7235">
        <w:rPr>
          <w:i/>
          <w:iCs/>
          <w:noProof w:val="0"/>
          <w:color w:val="000000" w:themeColor="text2"/>
          <w:sz w:val="20"/>
          <w:szCs w:val="18"/>
        </w:rPr>
        <w:t xml:space="preserve">Francois Marx. </w:t>
      </w:r>
    </w:p>
    <w:p w14:paraId="709EB567" w14:textId="71811C63" w:rsidR="00860732" w:rsidRDefault="00860732" w:rsidP="009E7235">
      <w:pPr>
        <w:pStyle w:val="Graphspacing"/>
      </w:pPr>
    </w:p>
    <w:p w14:paraId="3AC671F9" w14:textId="77777777" w:rsidR="009E7235" w:rsidRDefault="009E7235" w:rsidP="00E02B79">
      <w:pPr>
        <w:pStyle w:val="Heading2"/>
      </w:pPr>
      <w:r>
        <w:br w:type="page"/>
      </w:r>
    </w:p>
    <w:p w14:paraId="6D14A33E" w14:textId="1318D595" w:rsidR="004B6664" w:rsidRDefault="004B6664" w:rsidP="00E02B79">
      <w:pPr>
        <w:pStyle w:val="Heading2"/>
      </w:pPr>
      <w:bookmarkStart w:id="8" w:name="_Toc235113577"/>
      <w:r>
        <w:lastRenderedPageBreak/>
        <w:t>Revenue sources</w:t>
      </w:r>
      <w:bookmarkEnd w:id="8"/>
    </w:p>
    <w:p w14:paraId="4BC7663A" w14:textId="77777777" w:rsidR="004B6664" w:rsidRDefault="004B6664" w:rsidP="004B6664">
      <w:r>
        <w:t>The most common primary revenue source for responding WISEs was contracts with businesses (34.3%), followed by open trade with individual customers (30.3%). Around 19% were majority resourced through supported trade with individual customers (e.g., NDIS clients), while around 16% were primarily resourced through contracts with governments. Philanthropic and government grants play an important role in the WISE revenue mix. However, because this analysis adopts a definition of social enterprise that prioritises trading, organisations for which grants were the main source of revenue were excluded from the survey results (see methods and limitations section).</w:t>
      </w:r>
    </w:p>
    <w:tbl>
      <w:tblPr>
        <w:tblStyle w:val="Insights"/>
        <w:tblW w:w="0" w:type="auto"/>
        <w:tblLook w:val="04A0" w:firstRow="1" w:lastRow="0" w:firstColumn="1" w:lastColumn="0" w:noHBand="0" w:noVBand="1"/>
      </w:tblPr>
      <w:tblGrid>
        <w:gridCol w:w="7088"/>
        <w:gridCol w:w="1276"/>
        <w:gridCol w:w="1274"/>
      </w:tblGrid>
      <w:tr w:rsidR="007C3232" w:rsidRPr="007C3232" w14:paraId="30D5B1F7" w14:textId="77777777" w:rsidTr="007C3232">
        <w:trPr>
          <w:cnfStyle w:val="100000000000" w:firstRow="1" w:lastRow="0" w:firstColumn="0" w:lastColumn="0" w:oddVBand="0" w:evenVBand="0" w:oddHBand="0" w:evenHBand="0" w:firstRowFirstColumn="0" w:firstRowLastColumn="0" w:lastRowFirstColumn="0" w:lastRowLastColumn="0"/>
        </w:trPr>
        <w:tc>
          <w:tcPr>
            <w:tcW w:w="7088" w:type="dxa"/>
          </w:tcPr>
          <w:p w14:paraId="44096916" w14:textId="77777777" w:rsidR="007C3232" w:rsidRPr="007C3232" w:rsidRDefault="007C3232" w:rsidP="007C3232">
            <w:pPr>
              <w:pStyle w:val="TableText"/>
            </w:pPr>
            <w:r w:rsidRPr="007C3232">
              <w:t>Answer</w:t>
            </w:r>
          </w:p>
        </w:tc>
        <w:tc>
          <w:tcPr>
            <w:tcW w:w="1276" w:type="dxa"/>
          </w:tcPr>
          <w:p w14:paraId="38115C11" w14:textId="5313BEEA" w:rsidR="007C3232" w:rsidRPr="007C3232" w:rsidRDefault="005B0D2B" w:rsidP="007C3232">
            <w:pPr>
              <w:pStyle w:val="TableText"/>
              <w:jc w:val="center"/>
            </w:pPr>
            <w:r w:rsidRPr="005B0D2B">
              <w:t>Percent</w:t>
            </w:r>
          </w:p>
        </w:tc>
        <w:tc>
          <w:tcPr>
            <w:tcW w:w="1274" w:type="dxa"/>
          </w:tcPr>
          <w:p w14:paraId="0D05C14F" w14:textId="77777777" w:rsidR="007C3232" w:rsidRPr="007C3232" w:rsidRDefault="007C3232" w:rsidP="007C3232">
            <w:pPr>
              <w:pStyle w:val="TableText"/>
              <w:jc w:val="center"/>
            </w:pPr>
            <w:r w:rsidRPr="007C3232">
              <w:t>Count</w:t>
            </w:r>
          </w:p>
        </w:tc>
      </w:tr>
      <w:tr w:rsidR="007C3232" w:rsidRPr="007C3232" w14:paraId="639E0A92" w14:textId="77777777" w:rsidTr="007C3232">
        <w:tc>
          <w:tcPr>
            <w:tcW w:w="7088" w:type="dxa"/>
          </w:tcPr>
          <w:p w14:paraId="11192866" w14:textId="77777777" w:rsidR="007C3232" w:rsidRPr="007C3232" w:rsidRDefault="007C3232" w:rsidP="007C3232">
            <w:pPr>
              <w:pStyle w:val="TableText"/>
            </w:pPr>
            <w:r w:rsidRPr="007C3232">
              <w:t>Majority contracts with governments</w:t>
            </w:r>
          </w:p>
        </w:tc>
        <w:tc>
          <w:tcPr>
            <w:tcW w:w="1276" w:type="dxa"/>
          </w:tcPr>
          <w:p w14:paraId="0D2F9877" w14:textId="77777777" w:rsidR="007C3232" w:rsidRPr="007C3232" w:rsidRDefault="007C3232" w:rsidP="007C3232">
            <w:pPr>
              <w:pStyle w:val="TableText"/>
              <w:jc w:val="center"/>
            </w:pPr>
            <w:r w:rsidRPr="007C3232">
              <w:t>16.2%</w:t>
            </w:r>
          </w:p>
        </w:tc>
        <w:tc>
          <w:tcPr>
            <w:tcW w:w="1274" w:type="dxa"/>
          </w:tcPr>
          <w:p w14:paraId="75F8C4AD" w14:textId="77777777" w:rsidR="007C3232" w:rsidRPr="007C3232" w:rsidRDefault="007C3232" w:rsidP="007C3232">
            <w:pPr>
              <w:pStyle w:val="TableText"/>
              <w:jc w:val="center"/>
            </w:pPr>
            <w:r w:rsidRPr="007C3232">
              <w:t>16</w:t>
            </w:r>
          </w:p>
        </w:tc>
      </w:tr>
      <w:tr w:rsidR="007C3232" w:rsidRPr="007C3232" w14:paraId="32A972E4" w14:textId="77777777" w:rsidTr="007C3232">
        <w:tc>
          <w:tcPr>
            <w:tcW w:w="7088" w:type="dxa"/>
          </w:tcPr>
          <w:p w14:paraId="41086844" w14:textId="77777777" w:rsidR="007C3232" w:rsidRPr="007C3232" w:rsidRDefault="007C3232" w:rsidP="007C3232">
            <w:pPr>
              <w:pStyle w:val="TableText"/>
            </w:pPr>
            <w:r w:rsidRPr="007C3232">
              <w:t>Majority contracts with businesses</w:t>
            </w:r>
          </w:p>
        </w:tc>
        <w:tc>
          <w:tcPr>
            <w:tcW w:w="1276" w:type="dxa"/>
          </w:tcPr>
          <w:p w14:paraId="7A94E1C0" w14:textId="77777777" w:rsidR="007C3232" w:rsidRPr="007C3232" w:rsidRDefault="007C3232" w:rsidP="007C3232">
            <w:pPr>
              <w:pStyle w:val="TableText"/>
              <w:jc w:val="center"/>
            </w:pPr>
            <w:r w:rsidRPr="007C3232">
              <w:t>34.3%</w:t>
            </w:r>
          </w:p>
        </w:tc>
        <w:tc>
          <w:tcPr>
            <w:tcW w:w="1274" w:type="dxa"/>
          </w:tcPr>
          <w:p w14:paraId="3CA575EA" w14:textId="77777777" w:rsidR="007C3232" w:rsidRPr="007C3232" w:rsidRDefault="007C3232" w:rsidP="007C3232">
            <w:pPr>
              <w:pStyle w:val="TableText"/>
              <w:jc w:val="center"/>
            </w:pPr>
            <w:r w:rsidRPr="007C3232">
              <w:t>34</w:t>
            </w:r>
          </w:p>
        </w:tc>
      </w:tr>
      <w:tr w:rsidR="007C3232" w:rsidRPr="007C3232" w14:paraId="55B8BE8B" w14:textId="77777777" w:rsidTr="007C3232">
        <w:tc>
          <w:tcPr>
            <w:tcW w:w="7088" w:type="dxa"/>
          </w:tcPr>
          <w:p w14:paraId="29A96959" w14:textId="77777777" w:rsidR="007C3232" w:rsidRPr="007C3232" w:rsidRDefault="007C3232" w:rsidP="007C3232">
            <w:pPr>
              <w:pStyle w:val="TableText"/>
            </w:pPr>
            <w:r w:rsidRPr="007C3232">
              <w:t>Majority open trade with individual customers, e.g. B2C retail</w:t>
            </w:r>
          </w:p>
        </w:tc>
        <w:tc>
          <w:tcPr>
            <w:tcW w:w="1276" w:type="dxa"/>
          </w:tcPr>
          <w:p w14:paraId="633B50F9" w14:textId="77777777" w:rsidR="007C3232" w:rsidRPr="007C3232" w:rsidRDefault="007C3232" w:rsidP="007C3232">
            <w:pPr>
              <w:pStyle w:val="TableText"/>
              <w:jc w:val="center"/>
            </w:pPr>
            <w:r w:rsidRPr="007C3232">
              <w:t>30.3%</w:t>
            </w:r>
          </w:p>
        </w:tc>
        <w:tc>
          <w:tcPr>
            <w:tcW w:w="1274" w:type="dxa"/>
          </w:tcPr>
          <w:p w14:paraId="759E51E5" w14:textId="77777777" w:rsidR="007C3232" w:rsidRPr="007C3232" w:rsidRDefault="007C3232" w:rsidP="007C3232">
            <w:pPr>
              <w:pStyle w:val="TableText"/>
              <w:jc w:val="center"/>
            </w:pPr>
            <w:r w:rsidRPr="007C3232">
              <w:t>30</w:t>
            </w:r>
          </w:p>
        </w:tc>
      </w:tr>
      <w:tr w:rsidR="007C3232" w:rsidRPr="007C3232" w14:paraId="7870612B" w14:textId="77777777" w:rsidTr="007C3232">
        <w:tc>
          <w:tcPr>
            <w:tcW w:w="7088" w:type="dxa"/>
          </w:tcPr>
          <w:p w14:paraId="2B72BA2E" w14:textId="77777777" w:rsidR="007C3232" w:rsidRPr="007C3232" w:rsidRDefault="007C3232" w:rsidP="007C3232">
            <w:pPr>
              <w:pStyle w:val="TableText"/>
            </w:pPr>
            <w:r w:rsidRPr="007C3232">
              <w:t>Majority supported trade with individual customers, e.g. NDIS services users</w:t>
            </w:r>
          </w:p>
        </w:tc>
        <w:tc>
          <w:tcPr>
            <w:tcW w:w="1276" w:type="dxa"/>
          </w:tcPr>
          <w:p w14:paraId="6B5D4ED3" w14:textId="77777777" w:rsidR="007C3232" w:rsidRPr="007C3232" w:rsidRDefault="007C3232" w:rsidP="007C3232">
            <w:pPr>
              <w:pStyle w:val="TableText"/>
              <w:jc w:val="center"/>
            </w:pPr>
            <w:r w:rsidRPr="007C3232">
              <w:t>19.2%</w:t>
            </w:r>
          </w:p>
        </w:tc>
        <w:tc>
          <w:tcPr>
            <w:tcW w:w="1274" w:type="dxa"/>
          </w:tcPr>
          <w:p w14:paraId="75A5E5DE" w14:textId="77777777" w:rsidR="007C3232" w:rsidRPr="007C3232" w:rsidRDefault="007C3232" w:rsidP="007C3232">
            <w:pPr>
              <w:pStyle w:val="TableText"/>
              <w:jc w:val="center"/>
            </w:pPr>
            <w:r w:rsidRPr="007C3232">
              <w:t>19</w:t>
            </w:r>
          </w:p>
        </w:tc>
      </w:tr>
      <w:tr w:rsidR="007C3232" w:rsidRPr="007C3232" w14:paraId="17F9C3EE" w14:textId="77777777" w:rsidTr="007C3232">
        <w:tc>
          <w:tcPr>
            <w:tcW w:w="7088" w:type="dxa"/>
            <w:shd w:val="clear" w:color="auto" w:fill="E8E8E8" w:themeFill="background2"/>
          </w:tcPr>
          <w:p w14:paraId="0A4CA1A4" w14:textId="77777777" w:rsidR="007C3232" w:rsidRPr="007C3232" w:rsidRDefault="007C3232" w:rsidP="007C3232">
            <w:pPr>
              <w:pStyle w:val="TableText"/>
              <w:rPr>
                <w:b/>
                <w:bCs/>
              </w:rPr>
            </w:pPr>
            <w:r w:rsidRPr="007C3232">
              <w:rPr>
                <w:b/>
                <w:bCs/>
              </w:rPr>
              <w:t>Total</w:t>
            </w:r>
          </w:p>
        </w:tc>
        <w:tc>
          <w:tcPr>
            <w:tcW w:w="1276" w:type="dxa"/>
            <w:shd w:val="clear" w:color="auto" w:fill="E8E8E8" w:themeFill="background2"/>
          </w:tcPr>
          <w:p w14:paraId="38E1BD29" w14:textId="77777777" w:rsidR="007C3232" w:rsidRPr="007C3232" w:rsidRDefault="007C3232" w:rsidP="007C3232">
            <w:pPr>
              <w:pStyle w:val="TableText"/>
              <w:jc w:val="center"/>
              <w:rPr>
                <w:b/>
                <w:bCs/>
              </w:rPr>
            </w:pPr>
            <w:r w:rsidRPr="007C3232">
              <w:rPr>
                <w:b/>
                <w:bCs/>
              </w:rPr>
              <w:t>100%</w:t>
            </w:r>
          </w:p>
        </w:tc>
        <w:tc>
          <w:tcPr>
            <w:tcW w:w="1274" w:type="dxa"/>
            <w:shd w:val="clear" w:color="auto" w:fill="E8E8E8" w:themeFill="background2"/>
          </w:tcPr>
          <w:p w14:paraId="4722AAA8" w14:textId="77777777" w:rsidR="007C3232" w:rsidRPr="007C3232" w:rsidRDefault="007C3232" w:rsidP="007C3232">
            <w:pPr>
              <w:pStyle w:val="TableText"/>
              <w:jc w:val="center"/>
              <w:rPr>
                <w:b/>
                <w:bCs/>
              </w:rPr>
            </w:pPr>
            <w:r w:rsidRPr="007C3232">
              <w:rPr>
                <w:b/>
                <w:bCs/>
              </w:rPr>
              <w:t>99</w:t>
            </w:r>
          </w:p>
        </w:tc>
      </w:tr>
    </w:tbl>
    <w:p w14:paraId="03F32A38" w14:textId="519ECC8D" w:rsidR="006505B5" w:rsidRPr="006505B5" w:rsidRDefault="006505B5" w:rsidP="006505B5">
      <w:pPr>
        <w:pStyle w:val="Caption"/>
      </w:pPr>
      <w:r w:rsidRPr="006505B5">
        <w:t xml:space="preserve">Figure </w:t>
      </w:r>
      <w:fldSimple w:instr=" SEQ Figure \* ARABIC ">
        <w:r w:rsidR="00E44A4D">
          <w:rPr>
            <w:noProof/>
          </w:rPr>
          <w:t>5</w:t>
        </w:r>
      </w:fldSimple>
      <w:r w:rsidRPr="006505B5">
        <w:t>: Revenue sources graph</w:t>
      </w:r>
    </w:p>
    <w:p w14:paraId="6865D721" w14:textId="77777777" w:rsidR="006505B5" w:rsidRDefault="007C3232" w:rsidP="006505B5">
      <w:pPr>
        <w:pStyle w:val="Graphspacing"/>
        <w:keepNext/>
      </w:pPr>
      <w:r>
        <w:drawing>
          <wp:inline distT="0" distB="0" distL="0" distR="0" wp14:anchorId="4A356D07" wp14:editId="12FD3C88">
            <wp:extent cx="6108700" cy="1003300"/>
            <wp:effectExtent l="0" t="0" r="0" b="0"/>
            <wp:docPr id="543950597" name="Picture 10" descr="Figure 5 shows that the most common sources of revenue for Wises was trade with other businesses (34.3 percent) and individual customers (30.3 percent). 19.2 percent of Wises said the majority of their revenue came from supported trade with individual customers (e.g. NDIS participants). Finally, 16.2 percent said their revenue mainly came from contracts with gover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50597" name="Picture 10" descr="Figure 5 shows that the most common sources of revenue for Wises was trade with other businesses (34.3 percent) and individual customers (30.3 percent). 19.2 percent of Wises said the majority of their revenue came from supported trade with individual customers (e.g. NDIS participants). Finally, 16.2 percent said their revenue mainly came from contracts with government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08700" cy="1003300"/>
                    </a:xfrm>
                    <a:prstGeom prst="rect">
                      <a:avLst/>
                    </a:prstGeom>
                  </pic:spPr>
                </pic:pic>
              </a:graphicData>
            </a:graphic>
          </wp:inline>
        </w:drawing>
      </w:r>
    </w:p>
    <w:p w14:paraId="2515B1F8" w14:textId="77777777" w:rsidR="004B6664" w:rsidRDefault="004B6664" w:rsidP="007C3232">
      <w:pPr>
        <w:pStyle w:val="Heading2"/>
      </w:pPr>
      <w:bookmarkStart w:id="9" w:name="_Toc235113578"/>
      <w:r>
        <w:t>Sources of government funding and income</w:t>
      </w:r>
      <w:bookmarkEnd w:id="9"/>
    </w:p>
    <w:p w14:paraId="4C593CED" w14:textId="77777777" w:rsidR="004B6664" w:rsidRDefault="004B6664" w:rsidP="004B6664">
      <w:r>
        <w:t>Around 63% of respondents indicated they receive income from government in the form of either grants or contracts. Among these, the main source was the Australian Federal Government (46%), followed by state or territory governments (39.7%) and local governments (14.3%).</w:t>
      </w:r>
    </w:p>
    <w:tbl>
      <w:tblPr>
        <w:tblStyle w:val="Insights"/>
        <w:tblW w:w="0" w:type="auto"/>
        <w:tblLook w:val="04A0" w:firstRow="1" w:lastRow="0" w:firstColumn="1" w:lastColumn="0" w:noHBand="0" w:noVBand="1"/>
      </w:tblPr>
      <w:tblGrid>
        <w:gridCol w:w="6946"/>
        <w:gridCol w:w="1418"/>
        <w:gridCol w:w="1274"/>
      </w:tblGrid>
      <w:tr w:rsidR="007C3232" w:rsidRPr="007C3232" w14:paraId="4F306F59" w14:textId="77777777" w:rsidTr="007C3232">
        <w:trPr>
          <w:cnfStyle w:val="100000000000" w:firstRow="1" w:lastRow="0" w:firstColumn="0" w:lastColumn="0" w:oddVBand="0" w:evenVBand="0" w:oddHBand="0" w:evenHBand="0" w:firstRowFirstColumn="0" w:firstRowLastColumn="0" w:lastRowFirstColumn="0" w:lastRowLastColumn="0"/>
        </w:trPr>
        <w:tc>
          <w:tcPr>
            <w:tcW w:w="6946" w:type="dxa"/>
          </w:tcPr>
          <w:p w14:paraId="732C4864" w14:textId="77777777" w:rsidR="007C3232" w:rsidRPr="007C3232" w:rsidRDefault="007C3232" w:rsidP="007C3232">
            <w:pPr>
              <w:pStyle w:val="TableText"/>
            </w:pPr>
            <w:r w:rsidRPr="007C3232">
              <w:t>Answer</w:t>
            </w:r>
          </w:p>
        </w:tc>
        <w:tc>
          <w:tcPr>
            <w:tcW w:w="1418" w:type="dxa"/>
          </w:tcPr>
          <w:p w14:paraId="04E212ED" w14:textId="2685189D" w:rsidR="007C3232" w:rsidRPr="007C3232" w:rsidRDefault="005B0D2B" w:rsidP="007C3232">
            <w:pPr>
              <w:pStyle w:val="TableText"/>
              <w:jc w:val="center"/>
            </w:pPr>
            <w:r w:rsidRPr="005B0D2B">
              <w:t>Percent</w:t>
            </w:r>
          </w:p>
        </w:tc>
        <w:tc>
          <w:tcPr>
            <w:tcW w:w="1274" w:type="dxa"/>
          </w:tcPr>
          <w:p w14:paraId="6FFCC578" w14:textId="77777777" w:rsidR="007C3232" w:rsidRPr="007C3232" w:rsidRDefault="007C3232" w:rsidP="007C3232">
            <w:pPr>
              <w:pStyle w:val="TableText"/>
              <w:jc w:val="center"/>
            </w:pPr>
            <w:r w:rsidRPr="007C3232">
              <w:t>Count</w:t>
            </w:r>
          </w:p>
        </w:tc>
      </w:tr>
      <w:tr w:rsidR="007C3232" w:rsidRPr="007C3232" w14:paraId="4232B53B" w14:textId="77777777" w:rsidTr="007C3232">
        <w:tc>
          <w:tcPr>
            <w:tcW w:w="6946" w:type="dxa"/>
          </w:tcPr>
          <w:p w14:paraId="102C929C" w14:textId="77777777" w:rsidR="007C3232" w:rsidRPr="007C3232" w:rsidRDefault="007C3232" w:rsidP="007C3232">
            <w:pPr>
              <w:pStyle w:val="TableText"/>
            </w:pPr>
            <w:r w:rsidRPr="007C3232">
              <w:t>Australian Federal Government</w:t>
            </w:r>
          </w:p>
        </w:tc>
        <w:tc>
          <w:tcPr>
            <w:tcW w:w="1418" w:type="dxa"/>
          </w:tcPr>
          <w:p w14:paraId="19012605" w14:textId="77777777" w:rsidR="007C3232" w:rsidRPr="007C3232" w:rsidRDefault="007C3232" w:rsidP="007C3232">
            <w:pPr>
              <w:pStyle w:val="TableText"/>
              <w:jc w:val="center"/>
            </w:pPr>
            <w:r w:rsidRPr="007C3232">
              <w:t>46%</w:t>
            </w:r>
          </w:p>
        </w:tc>
        <w:tc>
          <w:tcPr>
            <w:tcW w:w="1274" w:type="dxa"/>
          </w:tcPr>
          <w:p w14:paraId="5C1C3BE5" w14:textId="77777777" w:rsidR="007C3232" w:rsidRPr="007C3232" w:rsidRDefault="007C3232" w:rsidP="007C3232">
            <w:pPr>
              <w:pStyle w:val="TableText"/>
              <w:jc w:val="center"/>
            </w:pPr>
            <w:r w:rsidRPr="007C3232">
              <w:t>29</w:t>
            </w:r>
          </w:p>
        </w:tc>
      </w:tr>
      <w:tr w:rsidR="007C3232" w:rsidRPr="007C3232" w14:paraId="72AEAA2C" w14:textId="77777777" w:rsidTr="007C3232">
        <w:tc>
          <w:tcPr>
            <w:tcW w:w="6946" w:type="dxa"/>
          </w:tcPr>
          <w:p w14:paraId="2E5F67A2" w14:textId="77777777" w:rsidR="007C3232" w:rsidRPr="007C3232" w:rsidRDefault="007C3232" w:rsidP="007C3232">
            <w:pPr>
              <w:pStyle w:val="TableText"/>
            </w:pPr>
            <w:r w:rsidRPr="007C3232">
              <w:t>State or Territory governments</w:t>
            </w:r>
          </w:p>
        </w:tc>
        <w:tc>
          <w:tcPr>
            <w:tcW w:w="1418" w:type="dxa"/>
          </w:tcPr>
          <w:p w14:paraId="1D178B78" w14:textId="77777777" w:rsidR="007C3232" w:rsidRPr="007C3232" w:rsidRDefault="007C3232" w:rsidP="007C3232">
            <w:pPr>
              <w:pStyle w:val="TableText"/>
              <w:jc w:val="center"/>
            </w:pPr>
            <w:r w:rsidRPr="007C3232">
              <w:t>39.7%</w:t>
            </w:r>
          </w:p>
        </w:tc>
        <w:tc>
          <w:tcPr>
            <w:tcW w:w="1274" w:type="dxa"/>
          </w:tcPr>
          <w:p w14:paraId="2B4E375D" w14:textId="77777777" w:rsidR="007C3232" w:rsidRPr="007C3232" w:rsidRDefault="007C3232" w:rsidP="007C3232">
            <w:pPr>
              <w:pStyle w:val="TableText"/>
              <w:jc w:val="center"/>
            </w:pPr>
            <w:r w:rsidRPr="007C3232">
              <w:t>25</w:t>
            </w:r>
          </w:p>
        </w:tc>
      </w:tr>
      <w:tr w:rsidR="007C3232" w:rsidRPr="007C3232" w14:paraId="409CA5F5" w14:textId="77777777" w:rsidTr="007C3232">
        <w:tc>
          <w:tcPr>
            <w:tcW w:w="6946" w:type="dxa"/>
          </w:tcPr>
          <w:p w14:paraId="31C34D73" w14:textId="77777777" w:rsidR="007C3232" w:rsidRPr="007C3232" w:rsidRDefault="007C3232" w:rsidP="007C3232">
            <w:pPr>
              <w:pStyle w:val="TableText"/>
            </w:pPr>
            <w:r w:rsidRPr="007C3232">
              <w:t>Local governments</w:t>
            </w:r>
          </w:p>
        </w:tc>
        <w:tc>
          <w:tcPr>
            <w:tcW w:w="1418" w:type="dxa"/>
          </w:tcPr>
          <w:p w14:paraId="2C7F0B2C" w14:textId="77777777" w:rsidR="007C3232" w:rsidRPr="007C3232" w:rsidRDefault="007C3232" w:rsidP="007C3232">
            <w:pPr>
              <w:pStyle w:val="TableText"/>
              <w:jc w:val="center"/>
            </w:pPr>
            <w:r w:rsidRPr="007C3232">
              <w:t>14.3%</w:t>
            </w:r>
          </w:p>
        </w:tc>
        <w:tc>
          <w:tcPr>
            <w:tcW w:w="1274" w:type="dxa"/>
          </w:tcPr>
          <w:p w14:paraId="20DC5B06" w14:textId="77777777" w:rsidR="007C3232" w:rsidRPr="007C3232" w:rsidRDefault="007C3232" w:rsidP="007C3232">
            <w:pPr>
              <w:pStyle w:val="TableText"/>
              <w:jc w:val="center"/>
            </w:pPr>
            <w:r w:rsidRPr="007C3232">
              <w:t>9</w:t>
            </w:r>
          </w:p>
        </w:tc>
      </w:tr>
      <w:tr w:rsidR="007C3232" w:rsidRPr="007C3232" w14:paraId="22774E93" w14:textId="77777777" w:rsidTr="007C3232">
        <w:tc>
          <w:tcPr>
            <w:tcW w:w="6946" w:type="dxa"/>
            <w:shd w:val="clear" w:color="auto" w:fill="E8E8E8" w:themeFill="background2"/>
          </w:tcPr>
          <w:p w14:paraId="54978B5C" w14:textId="77777777" w:rsidR="007C3232" w:rsidRPr="007C3232" w:rsidRDefault="007C3232" w:rsidP="007C3232">
            <w:pPr>
              <w:pStyle w:val="TableText"/>
              <w:rPr>
                <w:b/>
                <w:bCs/>
              </w:rPr>
            </w:pPr>
            <w:r w:rsidRPr="007C3232">
              <w:rPr>
                <w:b/>
                <w:bCs/>
              </w:rPr>
              <w:t>Total</w:t>
            </w:r>
          </w:p>
        </w:tc>
        <w:tc>
          <w:tcPr>
            <w:tcW w:w="1418" w:type="dxa"/>
            <w:shd w:val="clear" w:color="auto" w:fill="E8E8E8" w:themeFill="background2"/>
          </w:tcPr>
          <w:p w14:paraId="54CA1CB7" w14:textId="77777777" w:rsidR="007C3232" w:rsidRPr="007C3232" w:rsidRDefault="007C3232" w:rsidP="007C3232">
            <w:pPr>
              <w:pStyle w:val="TableText"/>
              <w:jc w:val="center"/>
              <w:rPr>
                <w:b/>
                <w:bCs/>
              </w:rPr>
            </w:pPr>
            <w:r w:rsidRPr="007C3232">
              <w:rPr>
                <w:b/>
                <w:bCs/>
              </w:rPr>
              <w:t>100%</w:t>
            </w:r>
          </w:p>
        </w:tc>
        <w:tc>
          <w:tcPr>
            <w:tcW w:w="1274" w:type="dxa"/>
            <w:shd w:val="clear" w:color="auto" w:fill="E8E8E8" w:themeFill="background2"/>
          </w:tcPr>
          <w:p w14:paraId="68BC7F94" w14:textId="77777777" w:rsidR="007C3232" w:rsidRPr="007C3232" w:rsidRDefault="007C3232" w:rsidP="007C3232">
            <w:pPr>
              <w:pStyle w:val="TableText"/>
              <w:jc w:val="center"/>
              <w:rPr>
                <w:b/>
                <w:bCs/>
              </w:rPr>
            </w:pPr>
            <w:r w:rsidRPr="007C3232">
              <w:rPr>
                <w:b/>
                <w:bCs/>
              </w:rPr>
              <w:t>63</w:t>
            </w:r>
          </w:p>
        </w:tc>
      </w:tr>
    </w:tbl>
    <w:p w14:paraId="12D634ED" w14:textId="4440D84C" w:rsidR="00E44A4D" w:rsidRDefault="00E44A4D" w:rsidP="00E44A4D">
      <w:pPr>
        <w:pStyle w:val="Caption"/>
        <w:keepNext/>
      </w:pPr>
      <w:r>
        <w:t xml:space="preserve">Figure </w:t>
      </w:r>
      <w:fldSimple w:instr=" SEQ Figure \* ARABIC ">
        <w:r>
          <w:rPr>
            <w:noProof/>
          </w:rPr>
          <w:t>6</w:t>
        </w:r>
      </w:fldSimple>
      <w:r>
        <w:t xml:space="preserve">: </w:t>
      </w:r>
      <w:r w:rsidRPr="0043386D">
        <w:t>Sources of government funding and income</w:t>
      </w:r>
      <w:r>
        <w:t xml:space="preserve"> graph</w:t>
      </w:r>
    </w:p>
    <w:p w14:paraId="53D4B66B" w14:textId="2AA48C92" w:rsidR="004B6664" w:rsidRDefault="007C3232" w:rsidP="00860732">
      <w:pPr>
        <w:pStyle w:val="Graphspacing"/>
      </w:pPr>
      <w:r>
        <w:drawing>
          <wp:inline distT="0" distB="0" distL="0" distR="0" wp14:anchorId="05B18F17" wp14:editId="343FE9E8">
            <wp:extent cx="6108700" cy="965200"/>
            <wp:effectExtent l="0" t="0" r="0" b="0"/>
            <wp:docPr id="1330810741" name="Picture 11" descr="Figure 6 shows that the main sources of government funding and income for Wises were the Australian Federal Government (46 percent), State or Territory governments (39.7 percent), and local governments (14.3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810741" name="Picture 11" descr="Figure 6 shows that the main sources of government funding and income for Wises were the Australian Federal Government (46 percent), State or Territory governments (39.7 percent), and local governments (14.3 percen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08700" cy="965200"/>
                    </a:xfrm>
                    <a:prstGeom prst="rect">
                      <a:avLst/>
                    </a:prstGeom>
                  </pic:spPr>
                </pic:pic>
              </a:graphicData>
            </a:graphic>
          </wp:inline>
        </w:drawing>
      </w:r>
    </w:p>
    <w:p w14:paraId="2267176A" w14:textId="77777777" w:rsidR="004B6664" w:rsidRDefault="004B6664" w:rsidP="007C3232">
      <w:pPr>
        <w:pStyle w:val="Heading1"/>
      </w:pPr>
      <w:bookmarkStart w:id="10" w:name="_Toc235113579"/>
      <w:r>
        <w:lastRenderedPageBreak/>
        <w:t>A note on methods and limitations</w:t>
      </w:r>
      <w:bookmarkEnd w:id="10"/>
    </w:p>
    <w:p w14:paraId="67FA109A" w14:textId="77777777" w:rsidR="004B6664" w:rsidRDefault="004B6664" w:rsidP="004B6664">
      <w:r>
        <w:t xml:space="preserve">The short survey was designed by the research team to capture information from participating organisations about their core structural and operating features. The full survey instrument can be found in Appendix 1. </w:t>
      </w:r>
    </w:p>
    <w:p w14:paraId="00135C99" w14:textId="40F760E8" w:rsidR="004B6664" w:rsidRDefault="004B6664" w:rsidP="004B6664">
      <w:r>
        <w:t>The survey was disseminated to 380 attendees at the inaugural Social Enterprise Jobs Summit 2025 as part of a keynote presentation. This activity was purposefully brief to capture contributions during a large event. The survey was completed in full by 128 attendees who self-identified as WISE operators, representing a third of event attendees (34%). However, 29 of the 128 completed surveys (22.7%) were excluded because respondents reported that their primary revenue source was either government grants (rather than contracts) or philanthropic grants/donations, indicating that a substantial portion of their income was not derived from trade (Barraket et al., 2010).</w:t>
      </w:r>
    </w:p>
    <w:p w14:paraId="01D4062B" w14:textId="77777777" w:rsidR="004B6664" w:rsidRDefault="004B6664" w:rsidP="004B6664">
      <w:r>
        <w:t>The survey respondents self-selected and identified as WISE operators and were participants at a specific event. Because of this, the respondent pool may not represent the full WISE sector. The taxonomy also relies on self-reported rather than verified information. Despite this, the survey helped capture information from a large and diverse live participant pool. It is novel in providing specific insights into the WISE sector in Australia.</w:t>
      </w:r>
    </w:p>
    <w:p w14:paraId="1B28F0CB" w14:textId="7C6ED238" w:rsidR="00402381" w:rsidRDefault="00402381" w:rsidP="00402381">
      <w:r>
        <w:rPr>
          <w:noProof/>
        </w:rPr>
        <w:drawing>
          <wp:inline distT="0" distB="0" distL="0" distR="0" wp14:anchorId="4283BC09" wp14:editId="2AD9A280">
            <wp:extent cx="6120130" cy="4242391"/>
            <wp:effectExtent l="0" t="0" r="1270" b="0"/>
            <wp:docPr id="1723921444" name="Picture 14" descr="Photograph showing eight senior artists from the Anangu Pitjantjatjara Yankunytjatjara Lands. The women are standing in front of their large colourful painting, outdoors in a dry hilly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921444" name="Picture 14" descr="Photograph showing eight senior artists from the Anangu Pitjantjatjara Yankunytjatjara Lands. The women are standing in front of their large colourful painting, outdoors in a dry hilly landscape."/>
                    <pic:cNvPicPr/>
                  </pic:nvPicPr>
                  <pic:blipFill rotWithShape="1">
                    <a:blip r:embed="rId32" cstate="print">
                      <a:extLst>
                        <a:ext uri="{28A0092B-C50C-407E-A947-70E740481C1C}">
                          <a14:useLocalDpi xmlns:a14="http://schemas.microsoft.com/office/drawing/2010/main" val="0"/>
                        </a:ext>
                      </a:extLst>
                    </a:blip>
                    <a:srcRect l="9458" t="3890" r="2735" b="4805"/>
                    <a:stretch>
                      <a:fillRect/>
                    </a:stretch>
                  </pic:blipFill>
                  <pic:spPr bwMode="auto">
                    <a:xfrm>
                      <a:off x="0" y="0"/>
                      <a:ext cx="6120130" cy="4242391"/>
                    </a:xfrm>
                    <a:prstGeom prst="rect">
                      <a:avLst/>
                    </a:prstGeom>
                    <a:ln>
                      <a:noFill/>
                    </a:ln>
                    <a:extLst>
                      <a:ext uri="{53640926-AAD7-44D8-BBD7-CCE9431645EC}">
                        <a14:shadowObscured xmlns:a14="http://schemas.microsoft.com/office/drawing/2010/main"/>
                      </a:ext>
                    </a:extLst>
                  </pic:spPr>
                </pic:pic>
              </a:graphicData>
            </a:graphic>
          </wp:inline>
        </w:drawing>
      </w:r>
    </w:p>
    <w:p w14:paraId="278424F5" w14:textId="116B0282" w:rsidR="007C3232" w:rsidRPr="006F1D32" w:rsidRDefault="00A27074" w:rsidP="006F1D32">
      <w:pPr>
        <w:pStyle w:val="Caption"/>
      </w:pPr>
      <w:r w:rsidRPr="006F1D32">
        <w:t xml:space="preserve">Photo description: </w:t>
      </w:r>
      <w:r w:rsidR="006F1D32" w:rsidRPr="006F1D32">
        <w:t>Senior artists from the Anangu Pitjantjatjara Yankunytjatjara Lands</w:t>
      </w:r>
      <w:r w:rsidR="005E61CC">
        <w:t xml:space="preserve"> –</w:t>
      </w:r>
      <w:r w:rsidR="006F1D32" w:rsidRPr="006F1D32">
        <w:t xml:space="preserve"> </w:t>
      </w:r>
      <w:proofErr w:type="spellStart"/>
      <w:r w:rsidR="006F1D32" w:rsidRPr="006F1D32">
        <w:t>Maringka</w:t>
      </w:r>
      <w:proofErr w:type="spellEnd"/>
      <w:r w:rsidR="006F1D32" w:rsidRPr="006F1D32">
        <w:t xml:space="preserve"> Burton, Tuppy Goodwin, Sylvia Ken, Betty Muffler, </w:t>
      </w:r>
      <w:proofErr w:type="spellStart"/>
      <w:r w:rsidR="006F1D32" w:rsidRPr="006F1D32">
        <w:t>Iluwanti</w:t>
      </w:r>
      <w:proofErr w:type="spellEnd"/>
      <w:r w:rsidR="006F1D32" w:rsidRPr="006F1D32">
        <w:t xml:space="preserve"> Ken, Betty Chimney, Puna </w:t>
      </w:r>
      <w:proofErr w:type="spellStart"/>
      <w:r w:rsidR="006F1D32" w:rsidRPr="006F1D32">
        <w:t>Yanima</w:t>
      </w:r>
      <w:proofErr w:type="spellEnd"/>
      <w:r w:rsidR="006F1D32" w:rsidRPr="006F1D32">
        <w:t xml:space="preserve"> and Betty </w:t>
      </w:r>
      <w:proofErr w:type="spellStart"/>
      <w:r w:rsidR="006F1D32" w:rsidRPr="006F1D32">
        <w:t>Pumani</w:t>
      </w:r>
      <w:proofErr w:type="spellEnd"/>
      <w:r w:rsidR="006F1D32" w:rsidRPr="006F1D32">
        <w:t xml:space="preserve"> with their collaborative artwork from the artist-led project </w:t>
      </w:r>
      <w:proofErr w:type="spellStart"/>
      <w:r w:rsidR="006F1D32" w:rsidRPr="006F1D32">
        <w:t>Ngura</w:t>
      </w:r>
      <w:proofErr w:type="spellEnd"/>
      <w:r w:rsidR="006F1D32" w:rsidRPr="006F1D32">
        <w:t xml:space="preserve"> Pulka (Epic Country), taken just outside the remote community of Mimili in 2023.</w:t>
      </w:r>
      <w:r w:rsidR="006F1D32" w:rsidRPr="006F1D32">
        <w:rPr>
          <w:rStyle w:val="apple-converted-space"/>
        </w:rPr>
        <w:t> </w:t>
      </w:r>
      <w:r w:rsidR="006F1D32" w:rsidRPr="006F1D32">
        <w:t>Photo credit: Photo by Rohan Thomson. Courtesy APY Art Centre Collective.</w:t>
      </w:r>
    </w:p>
    <w:p w14:paraId="3AD9E05E" w14:textId="1A32BCDD" w:rsidR="004B6664" w:rsidRDefault="004B6664" w:rsidP="007C3232">
      <w:pPr>
        <w:pStyle w:val="Heading1"/>
      </w:pPr>
      <w:bookmarkStart w:id="11" w:name="_Toc235113580"/>
      <w:r>
        <w:lastRenderedPageBreak/>
        <w:t>Implications and conclusions</w:t>
      </w:r>
      <w:bookmarkEnd w:id="11"/>
    </w:p>
    <w:p w14:paraId="17EEAF55" w14:textId="77777777" w:rsidR="004B6664" w:rsidRDefault="004B6664" w:rsidP="004B6664">
      <w:r>
        <w:t xml:space="preserve">This survey suggests the WISE sector is organisationally diverse but predominantly structured as not-for-profits. </w:t>
      </w:r>
    </w:p>
    <w:p w14:paraId="3AC90561" w14:textId="77777777" w:rsidR="004B6664" w:rsidRDefault="004B6664" w:rsidP="004B6664">
      <w:r>
        <w:t xml:space="preserve">The presence of nested, for-profit, and cooperative models indicates that the sector encompasses a range of organisational and legal </w:t>
      </w:r>
      <w:proofErr w:type="gramStart"/>
      <w:r>
        <w:t>forms, and</w:t>
      </w:r>
      <w:proofErr w:type="gramEnd"/>
      <w:r>
        <w:t xml:space="preserve"> highlights the need to recognise the WISE sector’s diversity. </w:t>
      </w:r>
    </w:p>
    <w:p w14:paraId="538142A6" w14:textId="77777777" w:rsidR="004B6664" w:rsidRDefault="004B6664" w:rsidP="004B6664">
      <w:r>
        <w:t xml:space="preserve">In addition to organisational diversity, surveyed WISEs </w:t>
      </w:r>
      <w:proofErr w:type="gramStart"/>
      <w:r>
        <w:t>most commonly emphasised</w:t>
      </w:r>
      <w:proofErr w:type="gramEnd"/>
      <w:r>
        <w:t xml:space="preserve"> improving job-readiness, pathways into long-term work with other employers, and direct long-term employment within their operations, indicating that their activities and interactions with the people they aim to help vary widely. </w:t>
      </w:r>
    </w:p>
    <w:p w14:paraId="20E6C59B" w14:textId="77777777" w:rsidR="004B6664" w:rsidRDefault="004B6664" w:rsidP="004B6664">
      <w:r>
        <w:t xml:space="preserve">Industrial award wages appear to be the most prevalent form of compensation in the WISE sector. This finding indicates that the sector typically recognises that ‘decent work’ includes fair pay. However, the results also indicate that a substantial share of the opportunities provided by WISEs are through lower-paid or unpaid arrangements, such as unpaid training and supported wage agreements. The prevalence of these arrangements reaffirms that WISEs operate work-integration activities with different groups of people and across a spectrum, from improving employability to providing paid employment. </w:t>
      </w:r>
    </w:p>
    <w:p w14:paraId="503782FB" w14:textId="77777777" w:rsidR="004B6664" w:rsidRDefault="004B6664" w:rsidP="004B6664">
      <w:r>
        <w:t xml:space="preserve">The survey results suggest that government funding is not universal across the WISE sector and, when present, is part of a broader revenue mix rather than a funding base. Among those receiving government income, the federal government was the most common source, but this was not the dominant source of revenue across the </w:t>
      </w:r>
      <w:proofErr w:type="gramStart"/>
      <w:r>
        <w:t>sector as a whole</w:t>
      </w:r>
      <w:proofErr w:type="gramEnd"/>
      <w:r>
        <w:t>.</w:t>
      </w:r>
    </w:p>
    <w:p w14:paraId="7CA8AF72" w14:textId="77777777" w:rsidR="004B6664" w:rsidRDefault="004B6664" w:rsidP="004B6664">
      <w:r>
        <w:t>This brief report focused on the characteristics of WISEs to improve understanding of the field and definitions adopted to support WISE and the outcomes they create.</w:t>
      </w:r>
    </w:p>
    <w:p w14:paraId="7D2A2417" w14:textId="2C403917" w:rsidR="005E61CC" w:rsidRDefault="005E61CC" w:rsidP="005E61CC">
      <w:pPr>
        <w:spacing w:after="0"/>
      </w:pPr>
      <w:r>
        <w:rPr>
          <w:noProof/>
        </w:rPr>
        <w:drawing>
          <wp:inline distT="0" distB="0" distL="0" distR="0" wp14:anchorId="36DB0385" wp14:editId="0B22D455">
            <wp:extent cx="6118407" cy="3082615"/>
            <wp:effectExtent l="0" t="0" r="3175" b="3810"/>
            <wp:docPr id="1665748957" name="Picture 4" descr="Photograph of two smiling women wearing black &quot;Beacon Laundry&quot; t-shirts inside a laundry facility. Background includes industrial laundry machines in blue and white, indicating a work environment focused on laundry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74797" name="Picture 4" descr="Photograph of two smiling women wearing black &quot;Beacon Laundry&quot; t-shirts inside a laundry facility. Background includes industrial laundry machines in blue and white, indicating a work environment focused on laundry services."/>
                    <pic:cNvPicPr/>
                  </pic:nvPicPr>
                  <pic:blipFill rotWithShape="1">
                    <a:blip r:embed="rId33" cstate="print">
                      <a:extLst>
                        <a:ext uri="{28A0092B-C50C-407E-A947-70E740481C1C}">
                          <a14:useLocalDpi xmlns:a14="http://schemas.microsoft.com/office/drawing/2010/main" val="0"/>
                        </a:ext>
                      </a:extLst>
                    </a:blip>
                    <a:srcRect t="10437" b="13890"/>
                    <a:stretch>
                      <a:fillRect/>
                    </a:stretch>
                  </pic:blipFill>
                  <pic:spPr bwMode="auto">
                    <a:xfrm>
                      <a:off x="0" y="0"/>
                      <a:ext cx="6120130" cy="3083483"/>
                    </a:xfrm>
                    <a:prstGeom prst="rect">
                      <a:avLst/>
                    </a:prstGeom>
                    <a:ln>
                      <a:noFill/>
                    </a:ln>
                    <a:extLst>
                      <a:ext uri="{53640926-AAD7-44D8-BBD7-CCE9431645EC}">
                        <a14:shadowObscured xmlns:a14="http://schemas.microsoft.com/office/drawing/2010/main"/>
                      </a:ext>
                    </a:extLst>
                  </pic:spPr>
                </pic:pic>
              </a:graphicData>
            </a:graphic>
          </wp:inline>
        </w:drawing>
      </w:r>
    </w:p>
    <w:p w14:paraId="182D51DC" w14:textId="126A41CD" w:rsidR="005E61CC" w:rsidRPr="005E61CC" w:rsidRDefault="005E61CC" w:rsidP="005E61CC">
      <w:pPr>
        <w:pStyle w:val="Caption"/>
      </w:pPr>
      <w:r w:rsidRPr="005E61CC">
        <w:t xml:space="preserve">Photo description: Leigh, an employee of Beacon Laundry, a jobs-focused social enterprise based </w:t>
      </w:r>
      <w:r w:rsidRPr="005E61CC">
        <w:br/>
        <w:t xml:space="preserve">in Bangalow, NSW. Photo credit: Beacon Laundry </w:t>
      </w:r>
    </w:p>
    <w:p w14:paraId="6E5FA791" w14:textId="63556826" w:rsidR="004B6664" w:rsidRDefault="004B6664" w:rsidP="007C3232">
      <w:pPr>
        <w:pStyle w:val="Heading1"/>
      </w:pPr>
      <w:bookmarkStart w:id="12" w:name="_Toc235113581"/>
      <w:r>
        <w:lastRenderedPageBreak/>
        <w:t>Reference list</w:t>
      </w:r>
      <w:bookmarkEnd w:id="12"/>
      <w:r>
        <w:t xml:space="preserve"> </w:t>
      </w:r>
    </w:p>
    <w:p w14:paraId="66AC48F4" w14:textId="63DE1406" w:rsidR="004B6664" w:rsidRPr="00147BE7" w:rsidRDefault="004B6664" w:rsidP="00147BE7">
      <w:pPr>
        <w:pStyle w:val="ListParagraph"/>
        <w:rPr>
          <w:szCs w:val="22"/>
        </w:rPr>
      </w:pPr>
      <w:r w:rsidRPr="00147BE7">
        <w:rPr>
          <w:szCs w:val="22"/>
        </w:rPr>
        <w:t xml:space="preserve">Barraket, J., Collyer, N., O’Connor, M. and Anderson, H. (2010). Finding Australia’s Social Enterprise Sector: Final Report, Social Traders and The Australian Centre for Philanthropy and Nonprofit Studies, Brisbane. </w:t>
      </w:r>
    </w:p>
    <w:p w14:paraId="7A77AC67" w14:textId="7B0412BE" w:rsidR="004B6664" w:rsidRPr="000303B1" w:rsidRDefault="004B6664" w:rsidP="00147BE7">
      <w:pPr>
        <w:pStyle w:val="ListParagraph"/>
        <w:rPr>
          <w:szCs w:val="22"/>
        </w:rPr>
      </w:pPr>
      <w:r w:rsidRPr="00147BE7">
        <w:rPr>
          <w:szCs w:val="22"/>
        </w:rPr>
        <w:t>Barraket, J, Mason, C and Blain, B (2016). Finding Australia’s Social Enterprise Sector 2016: Final Report, Centre for Social Impact (CSI) Swinburne &amp; Social Traders, viewed 6 January 2026</w:t>
      </w:r>
      <w:r w:rsidR="0077693B" w:rsidRPr="00147BE7">
        <w:rPr>
          <w:szCs w:val="22"/>
        </w:rPr>
        <w:t xml:space="preserve">. </w:t>
      </w:r>
      <w:hyperlink r:id="rId34" w:history="1">
        <w:r w:rsidR="00147BE7" w:rsidRPr="000303B1">
          <w:rPr>
            <w:rStyle w:val="Hyperlink"/>
            <w:szCs w:val="22"/>
          </w:rPr>
          <w:t xml:space="preserve">Click here </w:t>
        </w:r>
        <w:r w:rsidR="0077693B" w:rsidRPr="000303B1">
          <w:rPr>
            <w:rStyle w:val="Hyperlink"/>
            <w:szCs w:val="22"/>
          </w:rPr>
          <w:t>to download the PDF</w:t>
        </w:r>
      </w:hyperlink>
      <w:r w:rsidR="00147BE7" w:rsidRPr="000303B1">
        <w:rPr>
          <w:szCs w:val="22"/>
        </w:rPr>
        <w:t>.</w:t>
      </w:r>
    </w:p>
    <w:p w14:paraId="5C1DDD9B" w14:textId="5A83E85F" w:rsidR="004B6664" w:rsidRPr="000303B1" w:rsidRDefault="004B6664" w:rsidP="00147BE7">
      <w:pPr>
        <w:pStyle w:val="ListParagraph"/>
        <w:rPr>
          <w:szCs w:val="22"/>
        </w:rPr>
      </w:pPr>
      <w:r w:rsidRPr="000303B1">
        <w:rPr>
          <w:szCs w:val="22"/>
        </w:rPr>
        <w:t xml:space="preserve">Social Enterprise Australia (2022). Business for good: The size and economic contribution of social enterprise in Australia, Social Enterprise Australia, viewed 14 March 2026. </w:t>
      </w:r>
      <w:hyperlink r:id="rId35" w:history="1">
        <w:r w:rsidR="00147BE7" w:rsidRPr="000303B1">
          <w:rPr>
            <w:rStyle w:val="Hyperlink"/>
            <w:szCs w:val="22"/>
          </w:rPr>
          <w:t>Click here</w:t>
        </w:r>
        <w:r w:rsidR="0077693B" w:rsidRPr="000303B1">
          <w:rPr>
            <w:rStyle w:val="Hyperlink"/>
            <w:szCs w:val="22"/>
          </w:rPr>
          <w:t xml:space="preserve"> to download the PDF</w:t>
        </w:r>
      </w:hyperlink>
      <w:r w:rsidR="00147BE7" w:rsidRPr="000303B1">
        <w:rPr>
          <w:szCs w:val="22"/>
        </w:rPr>
        <w:t>.</w:t>
      </w:r>
    </w:p>
    <w:p w14:paraId="00CB7C9F" w14:textId="3247A462" w:rsidR="004B6664" w:rsidRPr="000303B1" w:rsidRDefault="004B6664" w:rsidP="00147BE7">
      <w:pPr>
        <w:pStyle w:val="ListParagraph"/>
        <w:rPr>
          <w:szCs w:val="22"/>
        </w:rPr>
      </w:pPr>
      <w:r w:rsidRPr="000303B1">
        <w:rPr>
          <w:szCs w:val="22"/>
        </w:rPr>
        <w:t>Social Traders (2022). PACE22: Profile of Australia’s Certified Social Enterprises, Social Traders, viewed 16 March 2026</w:t>
      </w:r>
      <w:r w:rsidR="0077693B" w:rsidRPr="000303B1">
        <w:rPr>
          <w:szCs w:val="22"/>
        </w:rPr>
        <w:t xml:space="preserve">. </w:t>
      </w:r>
      <w:hyperlink r:id="rId36" w:history="1">
        <w:r w:rsidR="00147BE7" w:rsidRPr="000303B1">
          <w:rPr>
            <w:rStyle w:val="Hyperlink"/>
            <w:szCs w:val="22"/>
          </w:rPr>
          <w:t>Click here</w:t>
        </w:r>
        <w:r w:rsidR="0077693B" w:rsidRPr="000303B1">
          <w:rPr>
            <w:rStyle w:val="Hyperlink"/>
            <w:szCs w:val="22"/>
          </w:rPr>
          <w:t xml:space="preserve"> to download the PDF</w:t>
        </w:r>
        <w:r w:rsidR="00147BE7" w:rsidRPr="000303B1">
          <w:rPr>
            <w:rStyle w:val="Hyperlink"/>
            <w:szCs w:val="22"/>
          </w:rPr>
          <w:t>.</w:t>
        </w:r>
      </w:hyperlink>
      <w:r w:rsidRPr="000303B1">
        <w:rPr>
          <w:szCs w:val="22"/>
        </w:rPr>
        <w:t xml:space="preserve"> </w:t>
      </w:r>
    </w:p>
    <w:p w14:paraId="0DD53818" w14:textId="3E54D1DA" w:rsidR="001C7696" w:rsidRDefault="004B6664" w:rsidP="00147BE7">
      <w:pPr>
        <w:pStyle w:val="ListParagraph"/>
        <w:rPr>
          <w:szCs w:val="22"/>
        </w:rPr>
      </w:pPr>
      <w:r w:rsidRPr="00147BE7">
        <w:rPr>
          <w:szCs w:val="22"/>
        </w:rPr>
        <w:t>Sykes, C., McGann, M., Marston, G., Khan, C. and Barraket, J. (2024). The Role of Work Integration Social Enterprise (WISE) in Employment Services Reforms: Perspectives from the Ecosystem. University of Melbourne, Australia.</w:t>
      </w:r>
    </w:p>
    <w:p w14:paraId="45696C5E" w14:textId="57036F90" w:rsidR="005E61CC" w:rsidRDefault="005E61CC" w:rsidP="005E61CC">
      <w:r>
        <w:rPr>
          <w:noProof/>
        </w:rPr>
        <w:drawing>
          <wp:anchor distT="0" distB="0" distL="114300" distR="114300" simplePos="0" relativeHeight="251666432" behindDoc="0" locked="1" layoutInCell="1" allowOverlap="1" wp14:anchorId="74055038" wp14:editId="6425BC2E">
            <wp:simplePos x="0" y="0"/>
            <wp:positionH relativeFrom="margin">
              <wp:posOffset>39370</wp:posOffset>
            </wp:positionH>
            <wp:positionV relativeFrom="page">
              <wp:posOffset>4561840</wp:posOffset>
            </wp:positionV>
            <wp:extent cx="3689985" cy="5255895"/>
            <wp:effectExtent l="0" t="0" r="5715" b="1905"/>
            <wp:wrapSquare wrapText="bothSides"/>
            <wp:docPr id="570240904" name="Picture 3" descr="Photograph of a smiling woman wearing a hijab and a purple apron with &quot;Kabul Social&quot; text, holding a round dough-covered cushion on a metal countertop. Background includes kitchen appliances and black tiled wall, highlighting a baking or cooking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36994" name="Picture 3" descr="Photograph of a smiling woman wearing a hijab and a purple apron with &quot;Kabul Social&quot; text, holding a round dough-covered cushion on a metal countertop. Background includes kitchen appliances and black tiled wall, highlighting a baking or cooking setting."/>
                    <pic:cNvPicPr/>
                  </pic:nvPicPr>
                  <pic:blipFill rotWithShape="1">
                    <a:blip r:embed="rId37" cstate="print">
                      <a:extLst>
                        <a:ext uri="{28A0092B-C50C-407E-A947-70E740481C1C}">
                          <a14:useLocalDpi xmlns:a14="http://schemas.microsoft.com/office/drawing/2010/main" val="0"/>
                        </a:ext>
                      </a:extLst>
                    </a:blip>
                    <a:srcRect t="5325"/>
                    <a:stretch>
                      <a:fillRect/>
                    </a:stretch>
                  </pic:blipFill>
                  <pic:spPr bwMode="auto">
                    <a:xfrm>
                      <a:off x="0" y="0"/>
                      <a:ext cx="3689985" cy="5255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FFD7C3" w14:textId="1CF8676F" w:rsidR="005E61CC" w:rsidRDefault="005E61CC" w:rsidP="005E61CC">
      <w:pPr>
        <w:pStyle w:val="Caption"/>
      </w:pPr>
      <w:r>
        <w:t xml:space="preserve">Photo description - left: Yakut Hamayoun. Yakut is known as the “Chief of Bread” at Plate It Forward, </w:t>
      </w:r>
      <w:r w:rsidR="004179F5">
        <w:t>making</w:t>
      </w:r>
      <w:r>
        <w:t xml:space="preserve"> every flatbread by hand each day. Venue: Kabul Social, March 2025. Photographer: Serhat Karakas.</w:t>
      </w:r>
    </w:p>
    <w:p w14:paraId="64D05D58" w14:textId="77777777" w:rsidR="005E61CC" w:rsidRDefault="005E61CC" w:rsidP="005E61CC"/>
    <w:p w14:paraId="5EEFF00B" w14:textId="77777777" w:rsidR="005E61CC" w:rsidRPr="00147BE7" w:rsidRDefault="005E61CC" w:rsidP="005E61CC">
      <w:pPr>
        <w:sectPr w:rsidR="005E61CC" w:rsidRPr="00147BE7" w:rsidSect="005B0D2B">
          <w:pgSz w:w="11906" w:h="16838"/>
          <w:pgMar w:top="1418" w:right="1134" w:bottom="1134" w:left="1134" w:header="567" w:footer="765" w:gutter="0"/>
          <w:cols w:space="708"/>
          <w:docGrid w:linePitch="360"/>
        </w:sectPr>
      </w:pPr>
    </w:p>
    <w:p w14:paraId="32715E02" w14:textId="77777777" w:rsidR="004B6664" w:rsidRDefault="004B6664" w:rsidP="007C3232">
      <w:pPr>
        <w:pStyle w:val="Heading1"/>
      </w:pPr>
      <w:bookmarkStart w:id="13" w:name="_Toc235113582"/>
      <w:r>
        <w:lastRenderedPageBreak/>
        <w:t>Appendix 1: Survey instrument</w:t>
      </w:r>
      <w:bookmarkEnd w:id="13"/>
    </w:p>
    <w:tbl>
      <w:tblPr>
        <w:tblStyle w:val="Insights"/>
        <w:tblW w:w="5000" w:type="pct"/>
        <w:tblLook w:val="04A0" w:firstRow="1" w:lastRow="0" w:firstColumn="1" w:lastColumn="0" w:noHBand="0" w:noVBand="1"/>
      </w:tblPr>
      <w:tblGrid>
        <w:gridCol w:w="2835"/>
        <w:gridCol w:w="5001"/>
        <w:gridCol w:w="1662"/>
        <w:gridCol w:w="5638"/>
      </w:tblGrid>
      <w:tr w:rsidR="001C7696" w:rsidRPr="007C3232" w14:paraId="2DAFA7E5" w14:textId="77777777" w:rsidTr="00967768">
        <w:trPr>
          <w:cnfStyle w:val="100000000000" w:firstRow="1" w:lastRow="0" w:firstColumn="0" w:lastColumn="0" w:oddVBand="0" w:evenVBand="0" w:oddHBand="0" w:evenHBand="0" w:firstRowFirstColumn="0" w:firstRowLastColumn="0" w:lastRowFirstColumn="0" w:lastRowLastColumn="0"/>
          <w:cantSplit/>
          <w:tblHeader/>
        </w:trPr>
        <w:tc>
          <w:tcPr>
            <w:tcW w:w="2835" w:type="dxa"/>
            <w:shd w:val="clear" w:color="auto" w:fill="F7A6AC" w:themeFill="accent6"/>
          </w:tcPr>
          <w:p w14:paraId="0D966044" w14:textId="63ABD1C9" w:rsidR="001C7696" w:rsidRPr="007C3232" w:rsidRDefault="001C7696" w:rsidP="00860732">
            <w:pPr>
              <w:pStyle w:val="TableText"/>
            </w:pPr>
            <w:r>
              <w:t>Dimension</w:t>
            </w:r>
          </w:p>
        </w:tc>
        <w:tc>
          <w:tcPr>
            <w:tcW w:w="5001" w:type="dxa"/>
            <w:shd w:val="clear" w:color="auto" w:fill="F7A6AC" w:themeFill="accent6"/>
          </w:tcPr>
          <w:p w14:paraId="7D0F3300" w14:textId="03BD3B3E" w:rsidR="001C7696" w:rsidRPr="007C3232" w:rsidRDefault="001C7696" w:rsidP="00860732">
            <w:pPr>
              <w:pStyle w:val="TableText"/>
            </w:pPr>
            <w:r w:rsidRPr="007C3232">
              <w:t>Survey question (verbatim)</w:t>
            </w:r>
          </w:p>
        </w:tc>
        <w:tc>
          <w:tcPr>
            <w:tcW w:w="1662" w:type="dxa"/>
            <w:shd w:val="clear" w:color="auto" w:fill="F7A6AC" w:themeFill="accent6"/>
          </w:tcPr>
          <w:p w14:paraId="4B247332" w14:textId="77777777" w:rsidR="001C7696" w:rsidRPr="007C3232" w:rsidRDefault="001C7696" w:rsidP="00860732">
            <w:pPr>
              <w:pStyle w:val="TableText"/>
              <w:jc w:val="center"/>
            </w:pPr>
            <w:r w:rsidRPr="007C3232">
              <w:t>Response format</w:t>
            </w:r>
          </w:p>
        </w:tc>
        <w:tc>
          <w:tcPr>
            <w:tcW w:w="5638" w:type="dxa"/>
            <w:shd w:val="clear" w:color="auto" w:fill="F7A6AC" w:themeFill="accent6"/>
          </w:tcPr>
          <w:p w14:paraId="50642A17" w14:textId="3D8A7EA9" w:rsidR="001C7696" w:rsidRPr="007C3232" w:rsidRDefault="001C7696" w:rsidP="00860732">
            <w:pPr>
              <w:pStyle w:val="TableText"/>
            </w:pPr>
            <w:r w:rsidRPr="007C3232">
              <w:t>Response options/fields captured</w:t>
            </w:r>
          </w:p>
        </w:tc>
      </w:tr>
      <w:tr w:rsidR="001C7696" w:rsidRPr="007C3232" w14:paraId="59909049" w14:textId="77777777" w:rsidTr="00967768">
        <w:trPr>
          <w:cantSplit/>
        </w:trPr>
        <w:tc>
          <w:tcPr>
            <w:tcW w:w="2835" w:type="dxa"/>
          </w:tcPr>
          <w:p w14:paraId="772F46F7" w14:textId="65748C36" w:rsidR="001C7696" w:rsidRPr="007C3232" w:rsidRDefault="001C7696" w:rsidP="00860732">
            <w:pPr>
              <w:pStyle w:val="TableText"/>
            </w:pPr>
            <w:r w:rsidRPr="007C3232">
              <w:t>Organisational form:</w:t>
            </w:r>
          </w:p>
        </w:tc>
        <w:tc>
          <w:tcPr>
            <w:tcW w:w="5001" w:type="dxa"/>
          </w:tcPr>
          <w:p w14:paraId="365BEEDD" w14:textId="77777777" w:rsidR="00147BE7" w:rsidRDefault="001C7696" w:rsidP="000F00E0">
            <w:pPr>
              <w:pStyle w:val="TableText"/>
              <w:spacing w:before="120" w:after="120"/>
            </w:pPr>
            <w:r w:rsidRPr="007C3232">
              <w:t xml:space="preserve">What is the organisational structure of your jobs-focused social enterprise? </w:t>
            </w:r>
          </w:p>
          <w:p w14:paraId="6E4EF633" w14:textId="121E7ADB" w:rsidR="001C7696" w:rsidRPr="007C3232" w:rsidRDefault="001C7696" w:rsidP="000F00E0">
            <w:pPr>
              <w:pStyle w:val="TableText"/>
              <w:spacing w:before="120" w:after="120"/>
            </w:pPr>
            <w:r w:rsidRPr="007C3232">
              <w:t>Please select one option.</w:t>
            </w:r>
          </w:p>
        </w:tc>
        <w:tc>
          <w:tcPr>
            <w:tcW w:w="1662" w:type="dxa"/>
          </w:tcPr>
          <w:p w14:paraId="6648002E" w14:textId="77777777" w:rsidR="001C7696" w:rsidRPr="007C3232" w:rsidRDefault="001C7696" w:rsidP="00860732">
            <w:pPr>
              <w:pStyle w:val="TableText"/>
              <w:jc w:val="center"/>
            </w:pPr>
            <w:r w:rsidRPr="007C3232">
              <w:t>Single select</w:t>
            </w:r>
          </w:p>
        </w:tc>
        <w:tc>
          <w:tcPr>
            <w:tcW w:w="5638" w:type="dxa"/>
          </w:tcPr>
          <w:p w14:paraId="691D2A3B" w14:textId="77777777" w:rsidR="00147BE7" w:rsidRDefault="001C7696" w:rsidP="00147BE7">
            <w:pPr>
              <w:pStyle w:val="TableListParagraph"/>
            </w:pPr>
            <w:r w:rsidRPr="007C3232">
              <w:t>Standalone social enterprise</w:t>
            </w:r>
          </w:p>
          <w:p w14:paraId="30E7C5BA" w14:textId="366AAAB3" w:rsidR="00147BE7" w:rsidRDefault="001C7696" w:rsidP="00147BE7">
            <w:pPr>
              <w:pStyle w:val="TableListParagraph"/>
            </w:pPr>
            <w:r w:rsidRPr="007C3232">
              <w:t>Business unit/enterprise within a larger organisation or business group</w:t>
            </w:r>
          </w:p>
          <w:p w14:paraId="733BD613" w14:textId="1307E4F8" w:rsidR="001C7696" w:rsidRPr="007C3232" w:rsidRDefault="001C7696" w:rsidP="00147BE7">
            <w:pPr>
              <w:pStyle w:val="TableListParagraph"/>
            </w:pPr>
            <w:r w:rsidRPr="007C3232">
              <w:t>Other</w:t>
            </w:r>
            <w:r w:rsidR="00016915">
              <w:t>.</w:t>
            </w:r>
          </w:p>
        </w:tc>
      </w:tr>
      <w:tr w:rsidR="001C7696" w:rsidRPr="007C3232" w14:paraId="09DEFA3E" w14:textId="77777777" w:rsidTr="00967768">
        <w:trPr>
          <w:cantSplit/>
        </w:trPr>
        <w:tc>
          <w:tcPr>
            <w:tcW w:w="2835" w:type="dxa"/>
          </w:tcPr>
          <w:p w14:paraId="1D4C12FE" w14:textId="4333D70C" w:rsidR="001C7696" w:rsidRPr="007C3232" w:rsidRDefault="001C7696" w:rsidP="00860732">
            <w:pPr>
              <w:pStyle w:val="TableText"/>
            </w:pPr>
            <w:r w:rsidRPr="007C3232">
              <w:t>Organisational form:</w:t>
            </w:r>
          </w:p>
        </w:tc>
        <w:tc>
          <w:tcPr>
            <w:tcW w:w="5001" w:type="dxa"/>
          </w:tcPr>
          <w:p w14:paraId="19FC2440" w14:textId="6BC26FE8" w:rsidR="001C7696" w:rsidRPr="007C3232" w:rsidRDefault="001C7696" w:rsidP="000F00E0">
            <w:pPr>
              <w:pStyle w:val="TableText"/>
              <w:spacing w:before="120" w:after="120"/>
            </w:pPr>
            <w:r w:rsidRPr="007C3232">
              <w:t>Please describe the organisational structure of your jobs-focused social enterprise.</w:t>
            </w:r>
          </w:p>
        </w:tc>
        <w:tc>
          <w:tcPr>
            <w:tcW w:w="1662" w:type="dxa"/>
          </w:tcPr>
          <w:p w14:paraId="79077C05" w14:textId="77777777" w:rsidR="001C7696" w:rsidRPr="007C3232" w:rsidRDefault="001C7696" w:rsidP="00860732">
            <w:pPr>
              <w:pStyle w:val="TableText"/>
              <w:jc w:val="center"/>
            </w:pPr>
            <w:r w:rsidRPr="007C3232">
              <w:t>Open text</w:t>
            </w:r>
          </w:p>
        </w:tc>
        <w:tc>
          <w:tcPr>
            <w:tcW w:w="5638" w:type="dxa"/>
          </w:tcPr>
          <w:p w14:paraId="2F2DC4AD" w14:textId="2F86FEDB" w:rsidR="001C7696" w:rsidRPr="007C3232" w:rsidRDefault="001C7696" w:rsidP="00147BE7">
            <w:pPr>
              <w:pStyle w:val="TableListParagraph"/>
            </w:pPr>
            <w:r w:rsidRPr="007C3232">
              <w:t>Free-text elaboration of organisational structure</w:t>
            </w:r>
            <w:r w:rsidR="00016915">
              <w:t>.</w:t>
            </w:r>
          </w:p>
        </w:tc>
      </w:tr>
      <w:tr w:rsidR="001C7696" w:rsidRPr="007C3232" w14:paraId="371BE72D" w14:textId="77777777" w:rsidTr="00967768">
        <w:trPr>
          <w:cantSplit/>
        </w:trPr>
        <w:tc>
          <w:tcPr>
            <w:tcW w:w="2835" w:type="dxa"/>
          </w:tcPr>
          <w:p w14:paraId="6C0034FE" w14:textId="184AC0D8" w:rsidR="001C7696" w:rsidRPr="007C3232" w:rsidRDefault="001C7696" w:rsidP="00860732">
            <w:pPr>
              <w:pStyle w:val="TableText"/>
            </w:pPr>
            <w:r w:rsidRPr="007C3232">
              <w:t>Ownership structure:</w:t>
            </w:r>
          </w:p>
        </w:tc>
        <w:tc>
          <w:tcPr>
            <w:tcW w:w="5001" w:type="dxa"/>
          </w:tcPr>
          <w:p w14:paraId="4F768D7B" w14:textId="77777777" w:rsidR="00147BE7" w:rsidRDefault="001C7696" w:rsidP="000F00E0">
            <w:pPr>
              <w:pStyle w:val="TableText"/>
              <w:spacing w:before="120" w:after="120"/>
            </w:pPr>
            <w:r w:rsidRPr="007C3232">
              <w:t xml:space="preserve">How is ownership structured in your jobs-focused social enterprise? </w:t>
            </w:r>
          </w:p>
          <w:p w14:paraId="074071C4" w14:textId="37A852A0" w:rsidR="001C7696" w:rsidRPr="007C3232" w:rsidRDefault="001C7696" w:rsidP="000F00E0">
            <w:pPr>
              <w:pStyle w:val="TableText"/>
              <w:spacing w:before="120" w:after="120"/>
            </w:pPr>
            <w:r w:rsidRPr="007C3232">
              <w:t>Please select one option.</w:t>
            </w:r>
          </w:p>
        </w:tc>
        <w:tc>
          <w:tcPr>
            <w:tcW w:w="1662" w:type="dxa"/>
          </w:tcPr>
          <w:p w14:paraId="4E5916FD" w14:textId="77777777" w:rsidR="001C7696" w:rsidRPr="007C3232" w:rsidRDefault="001C7696" w:rsidP="00860732">
            <w:pPr>
              <w:pStyle w:val="TableText"/>
              <w:jc w:val="center"/>
            </w:pPr>
            <w:r w:rsidRPr="007C3232">
              <w:t>Single select</w:t>
            </w:r>
          </w:p>
        </w:tc>
        <w:tc>
          <w:tcPr>
            <w:tcW w:w="5638" w:type="dxa"/>
          </w:tcPr>
          <w:p w14:paraId="54760A28" w14:textId="77777777" w:rsidR="00147BE7" w:rsidRDefault="001C7696" w:rsidP="00147BE7">
            <w:pPr>
              <w:pStyle w:val="TableListParagraph"/>
            </w:pPr>
            <w:r w:rsidRPr="007C3232">
              <w:t>Not-for-profit company or association;</w:t>
            </w:r>
          </w:p>
          <w:p w14:paraId="2A16148C" w14:textId="77777777" w:rsidR="00147BE7" w:rsidRDefault="001C7696" w:rsidP="00147BE7">
            <w:pPr>
              <w:pStyle w:val="TableListParagraph"/>
            </w:pPr>
            <w:r w:rsidRPr="007C3232">
              <w:t xml:space="preserve">For-profit company or partnership; </w:t>
            </w:r>
          </w:p>
          <w:p w14:paraId="3C1B09B5" w14:textId="2C9A5E3A" w:rsidR="00147BE7" w:rsidRDefault="001C7696" w:rsidP="00147BE7">
            <w:pPr>
              <w:pStyle w:val="TableListParagraph"/>
            </w:pPr>
            <w:r w:rsidRPr="007C3232">
              <w:t xml:space="preserve">For-profit business formally linked with a charitable entity (“nested”/hybrid structure); </w:t>
            </w:r>
          </w:p>
          <w:p w14:paraId="41E08889" w14:textId="3EF3FC0A" w:rsidR="00147BE7" w:rsidRDefault="001C7696" w:rsidP="00147BE7">
            <w:pPr>
              <w:pStyle w:val="TableListParagraph"/>
            </w:pPr>
            <w:r w:rsidRPr="007C3232">
              <w:t xml:space="preserve">Cooperative/member-based organisation; </w:t>
            </w:r>
          </w:p>
          <w:p w14:paraId="5DF05347" w14:textId="77777777" w:rsidR="00147BE7" w:rsidRDefault="001C7696" w:rsidP="00147BE7">
            <w:pPr>
              <w:pStyle w:val="TableListParagraph"/>
            </w:pPr>
            <w:r w:rsidRPr="007C3232">
              <w:t xml:space="preserve">Sole trader; </w:t>
            </w:r>
          </w:p>
          <w:p w14:paraId="4AD3B6E2" w14:textId="5DE2B96C" w:rsidR="001C7696" w:rsidRPr="007C3232" w:rsidRDefault="001C7696" w:rsidP="00147BE7">
            <w:pPr>
              <w:pStyle w:val="TableListParagraph"/>
            </w:pPr>
            <w:r w:rsidRPr="007C3232">
              <w:t>Other</w:t>
            </w:r>
            <w:r w:rsidR="00016915">
              <w:t>.</w:t>
            </w:r>
          </w:p>
        </w:tc>
      </w:tr>
      <w:tr w:rsidR="001C7696" w:rsidRPr="007C3232" w14:paraId="14436E53" w14:textId="77777777" w:rsidTr="00967768">
        <w:trPr>
          <w:cantSplit/>
        </w:trPr>
        <w:tc>
          <w:tcPr>
            <w:tcW w:w="2835" w:type="dxa"/>
          </w:tcPr>
          <w:p w14:paraId="4E4B4D11" w14:textId="06D4CD74" w:rsidR="001C7696" w:rsidRPr="007C3232" w:rsidRDefault="001C7696" w:rsidP="00860732">
            <w:pPr>
              <w:pStyle w:val="TableText"/>
            </w:pPr>
            <w:r w:rsidRPr="007C3232">
              <w:t>Ownership structure:</w:t>
            </w:r>
          </w:p>
        </w:tc>
        <w:tc>
          <w:tcPr>
            <w:tcW w:w="5001" w:type="dxa"/>
          </w:tcPr>
          <w:p w14:paraId="4480727A" w14:textId="5EFDEBC8" w:rsidR="001C7696" w:rsidRPr="007C3232" w:rsidRDefault="001C7696" w:rsidP="000F00E0">
            <w:pPr>
              <w:pStyle w:val="TableText"/>
              <w:spacing w:before="120" w:after="120"/>
            </w:pPr>
            <w:r w:rsidRPr="007C3232">
              <w:t>Please describe the ownership structure of your jobs-focused social enterprise.</w:t>
            </w:r>
          </w:p>
        </w:tc>
        <w:tc>
          <w:tcPr>
            <w:tcW w:w="1662" w:type="dxa"/>
          </w:tcPr>
          <w:p w14:paraId="0EB496F4" w14:textId="77777777" w:rsidR="001C7696" w:rsidRPr="007C3232" w:rsidRDefault="001C7696" w:rsidP="00860732">
            <w:pPr>
              <w:pStyle w:val="TableText"/>
              <w:jc w:val="center"/>
            </w:pPr>
            <w:r w:rsidRPr="007C3232">
              <w:t>Open text</w:t>
            </w:r>
          </w:p>
        </w:tc>
        <w:tc>
          <w:tcPr>
            <w:tcW w:w="5638" w:type="dxa"/>
          </w:tcPr>
          <w:p w14:paraId="410FBFF2" w14:textId="3AFB115F" w:rsidR="001C7696" w:rsidRPr="007C3232" w:rsidRDefault="001C7696" w:rsidP="00147BE7">
            <w:pPr>
              <w:pStyle w:val="TableListParagraph"/>
            </w:pPr>
            <w:r w:rsidRPr="007C3232">
              <w:t>Free-text elaboration of ownership structure</w:t>
            </w:r>
            <w:r w:rsidR="00016915">
              <w:t>.</w:t>
            </w:r>
          </w:p>
        </w:tc>
      </w:tr>
      <w:tr w:rsidR="001C7696" w:rsidRPr="007C3232" w14:paraId="73389A8E" w14:textId="77777777" w:rsidTr="00967768">
        <w:trPr>
          <w:cantSplit/>
        </w:trPr>
        <w:tc>
          <w:tcPr>
            <w:tcW w:w="2835" w:type="dxa"/>
          </w:tcPr>
          <w:p w14:paraId="2B37682C" w14:textId="46DF56E5" w:rsidR="001C7696" w:rsidRPr="007C3232" w:rsidRDefault="001C7696" w:rsidP="00860732">
            <w:pPr>
              <w:pStyle w:val="TableText"/>
            </w:pPr>
            <w:proofErr w:type="gramStart"/>
            <w:r w:rsidRPr="007C3232">
              <w:t>Main focus</w:t>
            </w:r>
            <w:proofErr w:type="gramEnd"/>
            <w:r w:rsidRPr="007C3232">
              <w:t xml:space="preserve"> within jobs-focused/work integration activities:</w:t>
            </w:r>
          </w:p>
        </w:tc>
        <w:tc>
          <w:tcPr>
            <w:tcW w:w="5001" w:type="dxa"/>
          </w:tcPr>
          <w:p w14:paraId="73FA84EA" w14:textId="77777777" w:rsidR="00147BE7" w:rsidRDefault="001C7696" w:rsidP="000F00E0">
            <w:pPr>
              <w:pStyle w:val="TableText"/>
              <w:spacing w:before="120" w:after="120"/>
            </w:pPr>
            <w:r w:rsidRPr="007C3232">
              <w:t xml:space="preserve">What is the </w:t>
            </w:r>
            <w:proofErr w:type="gramStart"/>
            <w:r w:rsidRPr="007C3232">
              <w:t>main focus</w:t>
            </w:r>
            <w:proofErr w:type="gramEnd"/>
            <w:r w:rsidRPr="007C3232">
              <w:t xml:space="preserve"> of your jobs-focused social enterprise? </w:t>
            </w:r>
          </w:p>
          <w:p w14:paraId="68901980" w14:textId="6CC9FA91" w:rsidR="001C7696" w:rsidRPr="007C3232" w:rsidRDefault="00147BE7" w:rsidP="000F00E0">
            <w:pPr>
              <w:pStyle w:val="TableText"/>
              <w:spacing w:before="120" w:after="120"/>
            </w:pPr>
            <w:r>
              <w:t>P</w:t>
            </w:r>
            <w:r w:rsidR="001C7696" w:rsidRPr="007C3232">
              <w:t>lease select up to three options.</w:t>
            </w:r>
          </w:p>
        </w:tc>
        <w:tc>
          <w:tcPr>
            <w:tcW w:w="1662" w:type="dxa"/>
          </w:tcPr>
          <w:p w14:paraId="7B2F208F" w14:textId="7FFA0609" w:rsidR="001C7696" w:rsidRPr="007C3232" w:rsidRDefault="001C7696" w:rsidP="006612AC">
            <w:pPr>
              <w:pStyle w:val="TableText"/>
              <w:jc w:val="center"/>
            </w:pPr>
            <w:r w:rsidRPr="007C3232">
              <w:t xml:space="preserve">Multi-select </w:t>
            </w:r>
            <w:r>
              <w:br/>
            </w:r>
            <w:r w:rsidRPr="007C3232">
              <w:t>(up to 3)</w:t>
            </w:r>
          </w:p>
        </w:tc>
        <w:tc>
          <w:tcPr>
            <w:tcW w:w="5638" w:type="dxa"/>
          </w:tcPr>
          <w:p w14:paraId="0C4D5FDA" w14:textId="17BB683D" w:rsidR="00147BE7" w:rsidRDefault="001C7696" w:rsidP="00147BE7">
            <w:pPr>
              <w:pStyle w:val="TableListParagraph"/>
            </w:pPr>
            <w:r w:rsidRPr="007C3232">
              <w:t xml:space="preserve">Developing skills/job-readiness (work experience/training); </w:t>
            </w:r>
          </w:p>
          <w:p w14:paraId="621EB6A2" w14:textId="77777777" w:rsidR="00147BE7" w:rsidRDefault="001C7696" w:rsidP="00147BE7">
            <w:pPr>
              <w:pStyle w:val="TableListParagraph"/>
            </w:pPr>
            <w:r w:rsidRPr="007C3232">
              <w:t xml:space="preserve">Enabling transition into long-term work with other employers or self-employment; </w:t>
            </w:r>
          </w:p>
          <w:p w14:paraId="7E87F3CF" w14:textId="77777777" w:rsidR="00147BE7" w:rsidRDefault="001C7696" w:rsidP="00147BE7">
            <w:pPr>
              <w:pStyle w:val="TableListParagraph"/>
            </w:pPr>
            <w:r w:rsidRPr="007C3232">
              <w:t xml:space="preserve">Providing long-term employment in our business; </w:t>
            </w:r>
          </w:p>
          <w:p w14:paraId="06CEDF3D" w14:textId="77777777" w:rsidR="00147BE7" w:rsidRDefault="001C7696" w:rsidP="00147BE7">
            <w:pPr>
              <w:pStyle w:val="TableListParagraph"/>
            </w:pPr>
            <w:r w:rsidRPr="007C3232">
              <w:t xml:space="preserve">Improving local economy/place; </w:t>
            </w:r>
          </w:p>
          <w:p w14:paraId="5A00FEB7" w14:textId="40A14B34" w:rsidR="001C7696" w:rsidRPr="007C3232" w:rsidRDefault="001C7696" w:rsidP="00147BE7">
            <w:pPr>
              <w:pStyle w:val="TableListParagraph"/>
            </w:pPr>
            <w:r w:rsidRPr="007C3232">
              <w:t>Improving employment practices of mainstream businesses</w:t>
            </w:r>
            <w:r w:rsidR="00016915">
              <w:t>.</w:t>
            </w:r>
          </w:p>
        </w:tc>
      </w:tr>
      <w:tr w:rsidR="001C7696" w:rsidRPr="007C3232" w14:paraId="6677A187" w14:textId="77777777" w:rsidTr="00967768">
        <w:trPr>
          <w:cantSplit/>
        </w:trPr>
        <w:tc>
          <w:tcPr>
            <w:tcW w:w="2835" w:type="dxa"/>
          </w:tcPr>
          <w:p w14:paraId="38C962E6" w14:textId="49FB1C8F" w:rsidR="001C7696" w:rsidRPr="007C3232" w:rsidRDefault="001C7696" w:rsidP="00860732">
            <w:pPr>
              <w:pStyle w:val="TableText"/>
            </w:pPr>
            <w:r w:rsidRPr="007C3232">
              <w:lastRenderedPageBreak/>
              <w:t>Compensation model for participants/employees:</w:t>
            </w:r>
          </w:p>
        </w:tc>
        <w:tc>
          <w:tcPr>
            <w:tcW w:w="5001" w:type="dxa"/>
          </w:tcPr>
          <w:p w14:paraId="2C89A5BF" w14:textId="77777777" w:rsidR="00147BE7" w:rsidRDefault="001C7696" w:rsidP="000F00E0">
            <w:pPr>
              <w:pStyle w:val="TableText"/>
              <w:spacing w:before="120" w:after="120"/>
            </w:pPr>
            <w:r w:rsidRPr="007C3232">
              <w:t xml:space="preserve">How does your jobs-focused social enterprise compensate those you seek to help? </w:t>
            </w:r>
          </w:p>
          <w:p w14:paraId="7D63BD24" w14:textId="1B9E8CBB" w:rsidR="001C7696" w:rsidRPr="007C3232" w:rsidRDefault="001C7696" w:rsidP="000F00E0">
            <w:pPr>
              <w:pStyle w:val="TableText"/>
              <w:spacing w:before="120" w:after="120"/>
            </w:pPr>
            <w:r w:rsidRPr="007C3232">
              <w:t>Please select all relevant options.</w:t>
            </w:r>
          </w:p>
        </w:tc>
        <w:tc>
          <w:tcPr>
            <w:tcW w:w="1662" w:type="dxa"/>
          </w:tcPr>
          <w:p w14:paraId="765BF999" w14:textId="77777777" w:rsidR="001C7696" w:rsidRPr="007C3232" w:rsidRDefault="001C7696" w:rsidP="00860732">
            <w:pPr>
              <w:pStyle w:val="TableText"/>
              <w:jc w:val="center"/>
            </w:pPr>
            <w:r w:rsidRPr="007C3232">
              <w:t>Multi-select (select all that apply)</w:t>
            </w:r>
          </w:p>
        </w:tc>
        <w:tc>
          <w:tcPr>
            <w:tcW w:w="5638" w:type="dxa"/>
          </w:tcPr>
          <w:p w14:paraId="236A9843" w14:textId="6BD5745A" w:rsidR="00147BE7" w:rsidRDefault="001C7696" w:rsidP="00147BE7">
            <w:pPr>
              <w:pStyle w:val="TableListParagraph"/>
            </w:pPr>
            <w:r w:rsidRPr="007C3232">
              <w:t xml:space="preserve">Unpaid training/development; </w:t>
            </w:r>
          </w:p>
          <w:p w14:paraId="3C09FD3A" w14:textId="2C2C55C2" w:rsidR="00147BE7" w:rsidRDefault="001C7696" w:rsidP="00147BE7">
            <w:pPr>
              <w:pStyle w:val="TableListParagraph"/>
            </w:pPr>
            <w:r w:rsidRPr="007C3232">
              <w:t xml:space="preserve">Subsidised placements/internships; </w:t>
            </w:r>
          </w:p>
          <w:p w14:paraId="6A592C3D" w14:textId="77777777" w:rsidR="00147BE7" w:rsidRDefault="001C7696" w:rsidP="00147BE7">
            <w:pPr>
              <w:pStyle w:val="TableListParagraph"/>
            </w:pPr>
            <w:r w:rsidRPr="007C3232">
              <w:t xml:space="preserve">Paid via industrial award wages; </w:t>
            </w:r>
          </w:p>
          <w:p w14:paraId="618AE929" w14:textId="77777777" w:rsidR="00147BE7" w:rsidRDefault="001C7696" w:rsidP="00147BE7">
            <w:pPr>
              <w:pStyle w:val="TableListParagraph"/>
            </w:pPr>
            <w:r w:rsidRPr="007C3232">
              <w:t xml:space="preserve">Paid via supported wage agreements; </w:t>
            </w:r>
          </w:p>
          <w:p w14:paraId="41835599" w14:textId="7A03095B" w:rsidR="001C7696" w:rsidRPr="007C3232" w:rsidRDefault="001C7696" w:rsidP="00147BE7">
            <w:pPr>
              <w:pStyle w:val="TableListParagraph"/>
            </w:pPr>
            <w:r w:rsidRPr="007C3232">
              <w:t>Shared ownership/membership in the business</w:t>
            </w:r>
            <w:r w:rsidR="00016915">
              <w:t>.</w:t>
            </w:r>
          </w:p>
        </w:tc>
      </w:tr>
      <w:tr w:rsidR="001C7696" w:rsidRPr="007C3232" w14:paraId="35931AD1" w14:textId="77777777" w:rsidTr="00967768">
        <w:trPr>
          <w:cantSplit/>
        </w:trPr>
        <w:tc>
          <w:tcPr>
            <w:tcW w:w="2835" w:type="dxa"/>
          </w:tcPr>
          <w:p w14:paraId="3C80449C" w14:textId="56129B50" w:rsidR="001C7696" w:rsidRPr="007C3232" w:rsidRDefault="001C7696" w:rsidP="00860732">
            <w:pPr>
              <w:pStyle w:val="TableText"/>
            </w:pPr>
            <w:r w:rsidRPr="007C3232">
              <w:t>Primary revenue source:</w:t>
            </w:r>
          </w:p>
        </w:tc>
        <w:tc>
          <w:tcPr>
            <w:tcW w:w="5001" w:type="dxa"/>
          </w:tcPr>
          <w:p w14:paraId="5EF53C86" w14:textId="77777777" w:rsidR="00147BE7" w:rsidRDefault="001C7696" w:rsidP="000F00E0">
            <w:pPr>
              <w:pStyle w:val="TableText"/>
              <w:spacing w:before="120" w:after="120"/>
            </w:pPr>
            <w:r w:rsidRPr="007C3232">
              <w:t xml:space="preserve">What is your current revenue mix? </w:t>
            </w:r>
          </w:p>
          <w:p w14:paraId="7A7A2598" w14:textId="7AFD355D" w:rsidR="001C7696" w:rsidRPr="007C3232" w:rsidRDefault="001C7696" w:rsidP="000F00E0">
            <w:pPr>
              <w:pStyle w:val="TableText"/>
              <w:spacing w:before="120" w:after="120"/>
            </w:pPr>
            <w:r w:rsidRPr="007C3232">
              <w:t>Please select one option that best fits your main revenue source.</w:t>
            </w:r>
          </w:p>
        </w:tc>
        <w:tc>
          <w:tcPr>
            <w:tcW w:w="1662" w:type="dxa"/>
          </w:tcPr>
          <w:p w14:paraId="3B012C95" w14:textId="77777777" w:rsidR="001C7696" w:rsidRPr="007C3232" w:rsidRDefault="001C7696" w:rsidP="00860732">
            <w:pPr>
              <w:pStyle w:val="TableText"/>
              <w:jc w:val="center"/>
            </w:pPr>
            <w:r w:rsidRPr="007C3232">
              <w:t>Single select</w:t>
            </w:r>
          </w:p>
        </w:tc>
        <w:tc>
          <w:tcPr>
            <w:tcW w:w="5638" w:type="dxa"/>
          </w:tcPr>
          <w:p w14:paraId="63383ECA" w14:textId="77777777" w:rsidR="00147BE7" w:rsidRDefault="001C7696" w:rsidP="00147BE7">
            <w:pPr>
              <w:pStyle w:val="TableListParagraph"/>
            </w:pPr>
            <w:r w:rsidRPr="007C3232">
              <w:t xml:space="preserve">Majority contracts with governments; </w:t>
            </w:r>
          </w:p>
          <w:p w14:paraId="0F314E6B" w14:textId="77777777" w:rsidR="00147BE7" w:rsidRDefault="001C7696" w:rsidP="00147BE7">
            <w:pPr>
              <w:pStyle w:val="TableListParagraph"/>
            </w:pPr>
            <w:r w:rsidRPr="007C3232">
              <w:t xml:space="preserve">Majority contracts with businesses; </w:t>
            </w:r>
          </w:p>
          <w:p w14:paraId="3DDE7C17" w14:textId="77777777" w:rsidR="00147BE7" w:rsidRDefault="001C7696" w:rsidP="00147BE7">
            <w:pPr>
              <w:pStyle w:val="TableListParagraph"/>
            </w:pPr>
            <w:r w:rsidRPr="007C3232">
              <w:t xml:space="preserve">Majority open trade with individual customers (B2C retail); </w:t>
            </w:r>
          </w:p>
          <w:p w14:paraId="369FAF86" w14:textId="77777777" w:rsidR="00147BE7" w:rsidRDefault="001C7696" w:rsidP="00147BE7">
            <w:pPr>
              <w:pStyle w:val="TableListParagraph"/>
            </w:pPr>
            <w:r w:rsidRPr="007C3232">
              <w:t xml:space="preserve">Majority supported trade with individual customers (e.g., NDIS users); </w:t>
            </w:r>
          </w:p>
          <w:p w14:paraId="30CDEAB3" w14:textId="03454685" w:rsidR="00147BE7" w:rsidRDefault="001C7696" w:rsidP="00147BE7">
            <w:pPr>
              <w:pStyle w:val="TableListParagraph"/>
            </w:pPr>
            <w:r w:rsidRPr="007C3232">
              <w:t xml:space="preserve">Majority philanthropic grants/donations; </w:t>
            </w:r>
          </w:p>
          <w:p w14:paraId="37182D6A" w14:textId="271D7994" w:rsidR="001C7696" w:rsidRPr="007C3232" w:rsidRDefault="001C7696" w:rsidP="00147BE7">
            <w:pPr>
              <w:pStyle w:val="TableListParagraph"/>
            </w:pPr>
            <w:r w:rsidRPr="007C3232">
              <w:t>Majority government grants</w:t>
            </w:r>
            <w:r w:rsidR="00016915">
              <w:t>.</w:t>
            </w:r>
          </w:p>
        </w:tc>
      </w:tr>
      <w:tr w:rsidR="001C7696" w:rsidRPr="007C3232" w14:paraId="5EFCD0A3" w14:textId="77777777" w:rsidTr="00967768">
        <w:trPr>
          <w:cantSplit/>
        </w:trPr>
        <w:tc>
          <w:tcPr>
            <w:tcW w:w="2835" w:type="dxa"/>
          </w:tcPr>
          <w:p w14:paraId="54E038EA" w14:textId="26C8A8B7" w:rsidR="001C7696" w:rsidRPr="007C3232" w:rsidRDefault="001C7696" w:rsidP="00860732">
            <w:pPr>
              <w:pStyle w:val="TableText"/>
            </w:pPr>
            <w:r w:rsidRPr="007C3232">
              <w:t xml:space="preserve">Government </w:t>
            </w:r>
            <w:r w:rsidR="00147BE7">
              <w:br/>
            </w:r>
            <w:r w:rsidRPr="007C3232">
              <w:t>funding profile:</w:t>
            </w:r>
          </w:p>
        </w:tc>
        <w:tc>
          <w:tcPr>
            <w:tcW w:w="5001" w:type="dxa"/>
          </w:tcPr>
          <w:p w14:paraId="3DA45F8D" w14:textId="77777777" w:rsidR="00147BE7" w:rsidRDefault="001C7696" w:rsidP="000F00E0">
            <w:pPr>
              <w:pStyle w:val="TableText"/>
              <w:spacing w:before="120" w:after="120"/>
            </w:pPr>
            <w:r w:rsidRPr="007C3232">
              <w:t xml:space="preserve">If your social enterprise receives government funding (whether grants or contracts), which level of government does this mainly come from? </w:t>
            </w:r>
          </w:p>
          <w:p w14:paraId="3ADB2892" w14:textId="011FD7BF" w:rsidR="001C7696" w:rsidRPr="007C3232" w:rsidRDefault="001C7696" w:rsidP="000F00E0">
            <w:pPr>
              <w:pStyle w:val="TableText"/>
              <w:spacing w:before="120" w:after="120"/>
            </w:pPr>
            <w:r w:rsidRPr="007C3232">
              <w:t>Please select one option that best fits your current government funding arrangements.</w:t>
            </w:r>
          </w:p>
        </w:tc>
        <w:tc>
          <w:tcPr>
            <w:tcW w:w="1662" w:type="dxa"/>
          </w:tcPr>
          <w:p w14:paraId="04B03937" w14:textId="77777777" w:rsidR="001C7696" w:rsidRPr="007C3232" w:rsidRDefault="001C7696" w:rsidP="00860732">
            <w:pPr>
              <w:pStyle w:val="TableText"/>
              <w:jc w:val="center"/>
            </w:pPr>
            <w:r w:rsidRPr="007C3232">
              <w:t>Single select</w:t>
            </w:r>
          </w:p>
        </w:tc>
        <w:tc>
          <w:tcPr>
            <w:tcW w:w="5638" w:type="dxa"/>
          </w:tcPr>
          <w:p w14:paraId="45F675B4" w14:textId="77777777" w:rsidR="00147BE7" w:rsidRDefault="001C7696" w:rsidP="00147BE7">
            <w:pPr>
              <w:pStyle w:val="TableListParagraph"/>
            </w:pPr>
            <w:r w:rsidRPr="007C3232">
              <w:t xml:space="preserve">Australian Federal Government; </w:t>
            </w:r>
          </w:p>
          <w:p w14:paraId="11D8D50E" w14:textId="3CB31F4B" w:rsidR="00147BE7" w:rsidRDefault="001C7696" w:rsidP="00147BE7">
            <w:pPr>
              <w:pStyle w:val="TableListParagraph"/>
            </w:pPr>
            <w:r w:rsidRPr="007C3232">
              <w:t xml:space="preserve">State/Territory governments; </w:t>
            </w:r>
          </w:p>
          <w:p w14:paraId="0A818B46" w14:textId="77777777" w:rsidR="00147BE7" w:rsidRDefault="001C7696" w:rsidP="00147BE7">
            <w:pPr>
              <w:pStyle w:val="TableListParagraph"/>
            </w:pPr>
            <w:r w:rsidRPr="007C3232">
              <w:t xml:space="preserve">Local governments; </w:t>
            </w:r>
          </w:p>
          <w:p w14:paraId="778FB417" w14:textId="4CA90069" w:rsidR="001C7696" w:rsidRPr="007C3232" w:rsidRDefault="001C7696" w:rsidP="00147BE7">
            <w:pPr>
              <w:pStyle w:val="TableListParagraph"/>
            </w:pPr>
            <w:r w:rsidRPr="007C3232">
              <w:t>Not applicable</w:t>
            </w:r>
            <w:r w:rsidR="00016915">
              <w:t>.</w:t>
            </w:r>
          </w:p>
        </w:tc>
      </w:tr>
      <w:tr w:rsidR="001C7696" w:rsidRPr="007C3232" w14:paraId="3AE31F3E" w14:textId="77777777" w:rsidTr="00967768">
        <w:trPr>
          <w:cantSplit/>
        </w:trPr>
        <w:tc>
          <w:tcPr>
            <w:tcW w:w="2835" w:type="dxa"/>
          </w:tcPr>
          <w:p w14:paraId="37875C62" w14:textId="34F14071" w:rsidR="001C7696" w:rsidRPr="007C3232" w:rsidRDefault="001C7696" w:rsidP="00860732">
            <w:pPr>
              <w:pStyle w:val="TableText"/>
            </w:pPr>
            <w:r w:rsidRPr="007C3232">
              <w:t>(Optional add-on):</w:t>
            </w:r>
          </w:p>
        </w:tc>
        <w:tc>
          <w:tcPr>
            <w:tcW w:w="5001" w:type="dxa"/>
          </w:tcPr>
          <w:p w14:paraId="236502BE" w14:textId="77777777" w:rsidR="00147BE7" w:rsidRDefault="001C7696" w:rsidP="000F00E0">
            <w:pPr>
              <w:pStyle w:val="TableText"/>
              <w:spacing w:before="120" w:after="120"/>
            </w:pPr>
            <w:r w:rsidRPr="007C3232">
              <w:t xml:space="preserve">Are there any other organisational characteristics we should consider in developing a high-level taxonomy of jobs-focused social enterprises? </w:t>
            </w:r>
          </w:p>
          <w:p w14:paraId="60EF29D9" w14:textId="65F281A8" w:rsidR="001C7696" w:rsidRPr="007C3232" w:rsidRDefault="001C7696" w:rsidP="000F00E0">
            <w:pPr>
              <w:pStyle w:val="TableText"/>
              <w:spacing w:before="120" w:after="120"/>
            </w:pPr>
            <w:r w:rsidRPr="007C3232">
              <w:t>Please provide further details below.</w:t>
            </w:r>
          </w:p>
        </w:tc>
        <w:tc>
          <w:tcPr>
            <w:tcW w:w="1662" w:type="dxa"/>
          </w:tcPr>
          <w:p w14:paraId="52255128" w14:textId="77777777" w:rsidR="001C7696" w:rsidRPr="007C3232" w:rsidRDefault="001C7696" w:rsidP="00860732">
            <w:pPr>
              <w:pStyle w:val="TableText"/>
              <w:jc w:val="center"/>
            </w:pPr>
            <w:r w:rsidRPr="007C3232">
              <w:t>Open text</w:t>
            </w:r>
          </w:p>
        </w:tc>
        <w:tc>
          <w:tcPr>
            <w:tcW w:w="5638" w:type="dxa"/>
          </w:tcPr>
          <w:p w14:paraId="7CA757E0" w14:textId="00E4C97A" w:rsidR="001C7696" w:rsidRPr="007C3232" w:rsidRDefault="001C7696" w:rsidP="00147BE7">
            <w:pPr>
              <w:pStyle w:val="TableListParagraph"/>
            </w:pPr>
            <w:r w:rsidRPr="007C3232">
              <w:t>Free-text suggestions for additional taxonomy variables</w:t>
            </w:r>
            <w:r w:rsidR="00016915">
              <w:t>.</w:t>
            </w:r>
          </w:p>
        </w:tc>
      </w:tr>
    </w:tbl>
    <w:p w14:paraId="0F2E74DE" w14:textId="12E4E832" w:rsidR="00A27074" w:rsidRDefault="00A27074" w:rsidP="00A27074"/>
    <w:sectPr w:rsidR="00A27074" w:rsidSect="006A1028">
      <w:pgSz w:w="16838" w:h="11906" w:orient="landscape"/>
      <w:pgMar w:top="851" w:right="851" w:bottom="851" w:left="851" w:header="567" w:footer="76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91F1D2B" w14:textId="77777777" w:rsidR="009320D3" w:rsidRDefault="009320D3" w:rsidP="00D07304">
      <w:pPr>
        <w:spacing w:before="0" w:after="0" w:line="240" w:lineRule="auto"/>
      </w:pPr>
      <w:r>
        <w:separator/>
      </w:r>
    </w:p>
  </w:endnote>
  <w:endnote w:type="continuationSeparator" w:id="0">
    <w:p w14:paraId="06EDB871" w14:textId="77777777" w:rsidR="009320D3" w:rsidRDefault="009320D3" w:rsidP="00D0730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Headings CS)">
    <w:altName w:val="Times New Roman"/>
    <w:panose1 w:val="020B0604020202020204"/>
    <w:charset w:val="00"/>
    <w:family w:val="roman"/>
    <w:notTrueType/>
    <w:pitch w:val="default"/>
  </w:font>
  <w:font w:name="Helvetica Now Display Light">
    <w:panose1 w:val="020B0403020202020204"/>
    <w:charset w:val="4D"/>
    <w:family w:val="swiss"/>
    <w:notTrueType/>
    <w:pitch w:val="variable"/>
    <w:sig w:usb0="A000006F" w:usb1="0000847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3246DE7" w14:textId="42451D14" w:rsidR="00D07304" w:rsidRPr="0050541A" w:rsidRDefault="00D07304" w:rsidP="00F41842">
    <w:pPr>
      <w:pStyle w:val="Footer"/>
      <w:jc w:val="left"/>
    </w:pPr>
    <w:r w:rsidRPr="0050541A">
      <w:rPr>
        <w:noProof/>
      </w:rPr>
      <w:drawing>
        <wp:anchor distT="0" distB="0" distL="114300" distR="114300" simplePos="0" relativeHeight="251658240" behindDoc="1" locked="1" layoutInCell="1" allowOverlap="1" wp14:anchorId="1BB7D990" wp14:editId="623BADFC">
          <wp:simplePos x="0" y="0"/>
          <wp:positionH relativeFrom="page">
            <wp:align>center</wp:align>
          </wp:positionH>
          <wp:positionV relativeFrom="page">
            <wp:align>bottom</wp:align>
          </wp:positionV>
          <wp:extent cx="7560000" cy="288000"/>
          <wp:effectExtent l="0" t="0" r="0" b="4445"/>
          <wp:wrapNone/>
          <wp:docPr id="88503820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5038207"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288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4654CD4" w14:textId="77777777" w:rsidR="00016915" w:rsidRPr="0050541A" w:rsidRDefault="00016915" w:rsidP="00F41842">
    <w:pPr>
      <w:pStyle w:val="Footer"/>
      <w:jc w:val="left"/>
    </w:pPr>
    <w:r>
      <w:t xml:space="preserve">Insights Report: </w:t>
    </w:r>
    <w:r w:rsidRPr="00F41842">
      <w:rPr>
        <w:bCs/>
      </w:rPr>
      <w:t>Building a Taxonomy of Jobs-Focused Social Enterprise in Australia</w:t>
    </w:r>
    <w:r>
      <w:tab/>
    </w:r>
    <w:r w:rsidRPr="0050541A">
      <w:t xml:space="preserve">Page </w:t>
    </w:r>
    <w:r w:rsidRPr="0050541A">
      <w:fldChar w:fldCharType="begin"/>
    </w:r>
    <w:r w:rsidRPr="0050541A">
      <w:instrText xml:space="preserve"> PAGE </w:instrText>
    </w:r>
    <w:r w:rsidRPr="0050541A">
      <w:fldChar w:fldCharType="separate"/>
    </w:r>
    <w:r w:rsidRPr="0050541A">
      <w:t>2</w:t>
    </w:r>
    <w:r w:rsidRPr="0050541A">
      <w:fldChar w:fldCharType="end"/>
    </w:r>
    <w:r w:rsidRPr="0050541A">
      <w:t xml:space="preserve"> of </w:t>
    </w:r>
    <w:fldSimple w:instr=" NUMPAGES ">
      <w:r w:rsidRPr="0050541A">
        <w:t>13</w:t>
      </w:r>
    </w:fldSimple>
    <w:r w:rsidRPr="0050541A">
      <w:rPr>
        <w:noProof/>
      </w:rPr>
      <w:drawing>
        <wp:anchor distT="0" distB="0" distL="114300" distR="114300" simplePos="0" relativeHeight="251660288" behindDoc="1" locked="1" layoutInCell="1" allowOverlap="1" wp14:anchorId="2D4135B0" wp14:editId="39B55E28">
          <wp:simplePos x="0" y="0"/>
          <wp:positionH relativeFrom="page">
            <wp:align>center</wp:align>
          </wp:positionH>
          <wp:positionV relativeFrom="page">
            <wp:align>bottom</wp:align>
          </wp:positionV>
          <wp:extent cx="7560000" cy="288000"/>
          <wp:effectExtent l="0" t="0" r="0" b="4445"/>
          <wp:wrapNone/>
          <wp:docPr id="115306938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5038207"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28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7D97E560" w14:textId="77777777" w:rsidR="009320D3" w:rsidRDefault="009320D3" w:rsidP="00D07304">
      <w:pPr>
        <w:spacing w:before="0" w:after="0" w:line="240" w:lineRule="auto"/>
      </w:pPr>
      <w:r>
        <w:separator/>
      </w:r>
    </w:p>
  </w:footnote>
  <w:footnote w:type="continuationSeparator" w:id="0">
    <w:p w14:paraId="20C36C89" w14:textId="77777777" w:rsidR="009320D3" w:rsidRDefault="009320D3" w:rsidP="00D07304">
      <w:pPr>
        <w:spacing w:before="0" w:after="0" w:line="240" w:lineRule="auto"/>
      </w:pPr>
      <w:r>
        <w:continuationSeparator/>
      </w:r>
    </w:p>
  </w:footnote>
  <w:footnote w:id="1">
    <w:p w14:paraId="120550DC" w14:textId="77777777" w:rsidR="00E44A4D" w:rsidRPr="00E44A4D" w:rsidRDefault="00E44A4D" w:rsidP="00E44A4D">
      <w:pPr>
        <w:pStyle w:val="FootnoteText"/>
        <w:rPr>
          <w:rStyle w:val="FootnoteReference"/>
          <w:vertAlign w:val="baseline"/>
        </w:rPr>
      </w:pPr>
      <w:r w:rsidRPr="00147BE7">
        <w:rPr>
          <w:rStyle w:val="FootnoteReference"/>
        </w:rPr>
        <w:footnoteRef/>
      </w:r>
      <w:r w:rsidRPr="00E44A4D">
        <w:rPr>
          <w:rStyle w:val="FootnoteReference"/>
          <w:vertAlign w:val="baseline"/>
        </w:rPr>
        <w:t xml:space="preserve"> Participants could select up to three responses</w:t>
      </w:r>
    </w:p>
  </w:footnote>
  <w:footnote w:id="2">
    <w:p w14:paraId="52A6CCE7" w14:textId="77777777" w:rsidR="00E44A4D" w:rsidRPr="00F02612" w:rsidRDefault="00E44A4D" w:rsidP="00E44A4D">
      <w:pPr>
        <w:pStyle w:val="FootnoteText"/>
      </w:pPr>
      <w:r w:rsidRPr="00F02612">
        <w:rPr>
          <w:rStyle w:val="FootnoteReference"/>
        </w:rPr>
        <w:footnoteRef/>
      </w:r>
      <w:r w:rsidRPr="00F02612">
        <w:t xml:space="preserve"> </w:t>
      </w:r>
      <w:r>
        <w:t>Participants</w:t>
      </w:r>
      <w:r w:rsidRPr="00F02612">
        <w:t xml:space="preserve"> could select all relevant options.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818840C" w14:textId="547EF268" w:rsidR="00016915" w:rsidRDefault="00016915">
    <w:pPr>
      <w:pStyle w:val="Header"/>
    </w:pPr>
    <w:r>
      <w:rPr>
        <w:noProof/>
      </w:rPr>
      <mc:AlternateContent>
        <mc:Choice Requires="wps">
          <w:drawing>
            <wp:anchor distT="0" distB="0" distL="114300" distR="114300" simplePos="0" relativeHeight="251661312" behindDoc="1" locked="1" layoutInCell="1" allowOverlap="1" wp14:anchorId="25265919" wp14:editId="486F1483">
              <wp:simplePos x="0" y="0"/>
              <wp:positionH relativeFrom="page">
                <wp:align>left</wp:align>
              </wp:positionH>
              <wp:positionV relativeFrom="page">
                <wp:align>top</wp:align>
              </wp:positionV>
              <wp:extent cx="7560000" cy="7560000"/>
              <wp:effectExtent l="0" t="0" r="0" b="0"/>
              <wp:wrapNone/>
              <wp:docPr id="914280093" name="Rectangle 15"/>
              <wp:cNvGraphicFramePr/>
              <a:graphic xmlns:a="http://schemas.openxmlformats.org/drawingml/2006/main">
                <a:graphicData uri="http://schemas.microsoft.com/office/word/2010/wordprocessingShape">
                  <wps:wsp>
                    <wps:cNvSpPr/>
                    <wps:spPr>
                      <a:xfrm>
                        <a:off x="0" y="0"/>
                        <a:ext cx="7560000" cy="7560000"/>
                      </a:xfrm>
                      <a:prstGeom prst="rect">
                        <a:avLst/>
                      </a:prstGeom>
                      <a:solidFill>
                        <a:schemeClr val="accent6">
                          <a:alpha val="2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FEF89" id="Rectangle 15" o:spid="_x0000_s1026" style="position:absolute;margin-left:0;margin-top:0;width:595.3pt;height:595.3pt;z-index:-25165516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" fillcolor="#f7a6ac [3209]" stroked="f" strokeweight="1.5pt">
              <v:fill opacity="13107f"/>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8C96C1B" w14:textId="77777777" w:rsidR="00016915" w:rsidRDefault="000169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1DD5300B"/>
    <w:multiLevelType w:val="multilevel"/>
    <w:tmpl w:val="00983E78"/>
    <w:styleLink w:val="CurrentList2"/>
    <w:lvl w:ilvl="0">
      <w:start w:val="1"/>
      <w:numFmt w:val="bullet"/>
      <w:lvlText w:val=""/>
      <w:lvlJc w:val="left"/>
      <w:pPr>
        <w:ind w:left="45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F361AE8"/>
    <w:multiLevelType w:val="hybridMultilevel"/>
    <w:tmpl w:val="F116739C"/>
    <w:lvl w:ilvl="0" w:tplc="F65600AE">
      <w:start w:val="1"/>
      <w:numFmt w:val="bullet"/>
      <w:pStyle w:val="TableListParagraph"/>
      <w:lvlText w:val="–"/>
      <w:lvlJc w:val="left"/>
      <w:pPr>
        <w:ind w:left="284" w:hanging="284"/>
      </w:pPr>
      <w:rPr>
        <w:rFonts w:ascii="Calibri" w:hAnsi="Calibri" w:hint="default"/>
        <w:color w:val="3D3A3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70169F"/>
    <w:multiLevelType w:val="multilevel"/>
    <w:tmpl w:val="1C52FC7A"/>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6F2B05D0"/>
    <w:multiLevelType w:val="hybridMultilevel"/>
    <w:tmpl w:val="00983E78"/>
    <w:lvl w:ilvl="0" w:tplc="0D1430E4">
      <w:start w:val="1"/>
      <w:numFmt w:val="bullet"/>
      <w:pStyle w:val="ListParagraph"/>
      <w:lvlText w:val=""/>
      <w:lvlJc w:val="left"/>
      <w:pPr>
        <w:ind w:left="45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4244707">
    <w:abstractNumId w:val="3"/>
  </w:num>
  <w:num w:numId="2" w16cid:durableId="2025934836">
    <w:abstractNumId w:val="2"/>
  </w:num>
  <w:num w:numId="3" w16cid:durableId="1577549676">
    <w:abstractNumId w:val="0"/>
  </w:num>
  <w:num w:numId="4" w16cid:durableId="1009255337">
    <w:abstractNumId w:val="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87"/>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efaultTableStyle w:val="Insight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664"/>
    <w:rsid w:val="00006A28"/>
    <w:rsid w:val="000163B2"/>
    <w:rsid w:val="00016915"/>
    <w:rsid w:val="000303B1"/>
    <w:rsid w:val="0006142F"/>
    <w:rsid w:val="000A2537"/>
    <w:rsid w:val="000F00E0"/>
    <w:rsid w:val="0012326B"/>
    <w:rsid w:val="0012730E"/>
    <w:rsid w:val="00147BE7"/>
    <w:rsid w:val="001C47BA"/>
    <w:rsid w:val="001C7696"/>
    <w:rsid w:val="002A748D"/>
    <w:rsid w:val="002E2149"/>
    <w:rsid w:val="0035010D"/>
    <w:rsid w:val="00397974"/>
    <w:rsid w:val="003C04B0"/>
    <w:rsid w:val="003C4CC7"/>
    <w:rsid w:val="003D6237"/>
    <w:rsid w:val="00402381"/>
    <w:rsid w:val="00410D87"/>
    <w:rsid w:val="004179F5"/>
    <w:rsid w:val="0046050E"/>
    <w:rsid w:val="0046473B"/>
    <w:rsid w:val="004840C6"/>
    <w:rsid w:val="004A03CC"/>
    <w:rsid w:val="004B6664"/>
    <w:rsid w:val="0050541A"/>
    <w:rsid w:val="00551435"/>
    <w:rsid w:val="00592D42"/>
    <w:rsid w:val="00594867"/>
    <w:rsid w:val="005A7CF7"/>
    <w:rsid w:val="005B0D2B"/>
    <w:rsid w:val="005E61CC"/>
    <w:rsid w:val="006505B5"/>
    <w:rsid w:val="006612AC"/>
    <w:rsid w:val="006A1028"/>
    <w:rsid w:val="006A66A3"/>
    <w:rsid w:val="006E608B"/>
    <w:rsid w:val="006F1D32"/>
    <w:rsid w:val="006F7561"/>
    <w:rsid w:val="00767B3B"/>
    <w:rsid w:val="0077693B"/>
    <w:rsid w:val="007C3232"/>
    <w:rsid w:val="008070B8"/>
    <w:rsid w:val="00816538"/>
    <w:rsid w:val="00860732"/>
    <w:rsid w:val="00863E27"/>
    <w:rsid w:val="00865B72"/>
    <w:rsid w:val="008C144F"/>
    <w:rsid w:val="008C343E"/>
    <w:rsid w:val="008E2736"/>
    <w:rsid w:val="00903858"/>
    <w:rsid w:val="009320D3"/>
    <w:rsid w:val="00946EFC"/>
    <w:rsid w:val="00957476"/>
    <w:rsid w:val="00967768"/>
    <w:rsid w:val="009930E4"/>
    <w:rsid w:val="00993ACC"/>
    <w:rsid w:val="0099628E"/>
    <w:rsid w:val="009B55FD"/>
    <w:rsid w:val="009E7235"/>
    <w:rsid w:val="00A27074"/>
    <w:rsid w:val="00A7257D"/>
    <w:rsid w:val="00AE7FC8"/>
    <w:rsid w:val="00B000B1"/>
    <w:rsid w:val="00B34ED3"/>
    <w:rsid w:val="00B6526B"/>
    <w:rsid w:val="00B81B76"/>
    <w:rsid w:val="00B8337B"/>
    <w:rsid w:val="00BB260D"/>
    <w:rsid w:val="00BC3AC4"/>
    <w:rsid w:val="00BE6AE7"/>
    <w:rsid w:val="00BF7B76"/>
    <w:rsid w:val="00C43CEA"/>
    <w:rsid w:val="00C710DB"/>
    <w:rsid w:val="00CA579F"/>
    <w:rsid w:val="00D06225"/>
    <w:rsid w:val="00D07304"/>
    <w:rsid w:val="00D32ECB"/>
    <w:rsid w:val="00D54956"/>
    <w:rsid w:val="00D5798D"/>
    <w:rsid w:val="00D8341B"/>
    <w:rsid w:val="00D94F76"/>
    <w:rsid w:val="00DA5C39"/>
    <w:rsid w:val="00E02B79"/>
    <w:rsid w:val="00E44A4D"/>
    <w:rsid w:val="00E52828"/>
    <w:rsid w:val="00E75229"/>
    <w:rsid w:val="00E83720"/>
    <w:rsid w:val="00E96C80"/>
    <w:rsid w:val="00EC7115"/>
    <w:rsid w:val="00F07CE5"/>
    <w:rsid w:val="00F41842"/>
    <w:rsid w:val="00F47BA4"/>
    <w:rsid w:val="00F64C14"/>
    <w:rsid w:val="00F86D68"/>
    <w:rsid w:val="00FA5D00"/>
    <w:rsid w:val="00FB4FE3"/>
    <w:rsid w:val="00FE761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FCCB0"/>
  <w15:chartTrackingRefBased/>
  <w15:docId w15:val="{B0FD2B3A-3C70-EA4C-9C9F-1707EF29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48D"/>
    <w:pPr>
      <w:spacing w:before="180" w:after="180" w:line="288" w:lineRule="auto"/>
    </w:pPr>
    <w:rPr>
      <w:rFonts w:ascii="Arial" w:hAnsi="Arial"/>
      <w:sz w:val="22"/>
    </w:rPr>
  </w:style>
  <w:style w:type="paragraph" w:styleId="Heading1">
    <w:name w:val="heading 1"/>
    <w:basedOn w:val="Normal"/>
    <w:next w:val="Normal"/>
    <w:link w:val="Heading1Char"/>
    <w:uiPriority w:val="9"/>
    <w:qFormat/>
    <w:rsid w:val="00F41842"/>
    <w:pPr>
      <w:keepNext/>
      <w:keepLines/>
      <w:spacing w:before="360" w:after="80"/>
      <w:outlineLvl w:val="0"/>
    </w:pPr>
    <w:rPr>
      <w:rFonts w:asciiTheme="majorHAnsi" w:eastAsiaTheme="majorEastAsia" w:hAnsiTheme="majorHAnsi" w:cstheme="majorBidi"/>
      <w:color w:val="0F4861" w:themeColor="accent1"/>
      <w:sz w:val="44"/>
      <w:szCs w:val="40"/>
    </w:rPr>
  </w:style>
  <w:style w:type="paragraph" w:styleId="Heading2">
    <w:name w:val="heading 2"/>
    <w:basedOn w:val="Normal"/>
    <w:next w:val="Normal"/>
    <w:link w:val="Heading2Char"/>
    <w:uiPriority w:val="9"/>
    <w:unhideWhenUsed/>
    <w:qFormat/>
    <w:rsid w:val="006505B5"/>
    <w:pPr>
      <w:keepNext/>
      <w:keepLines/>
      <w:spacing w:before="360" w:after="80"/>
      <w:outlineLvl w:val="1"/>
    </w:pPr>
    <w:rPr>
      <w:rFonts w:asciiTheme="majorHAnsi" w:eastAsiaTheme="majorEastAsia" w:hAnsiTheme="majorHAnsi" w:cstheme="majorBidi"/>
      <w:b/>
      <w:color w:val="496983" w:themeColor="accent4"/>
      <w:sz w:val="26"/>
      <w:szCs w:val="32"/>
    </w:rPr>
  </w:style>
  <w:style w:type="paragraph" w:styleId="Heading3">
    <w:name w:val="heading 3"/>
    <w:basedOn w:val="Normal"/>
    <w:next w:val="Normal"/>
    <w:link w:val="Heading3Char"/>
    <w:uiPriority w:val="9"/>
    <w:semiHidden/>
    <w:unhideWhenUsed/>
    <w:qFormat/>
    <w:rsid w:val="004B6664"/>
    <w:pPr>
      <w:keepNext/>
      <w:keepLines/>
      <w:spacing w:before="160" w:after="80"/>
      <w:outlineLvl w:val="2"/>
    </w:pPr>
    <w:rPr>
      <w:rFonts w:eastAsiaTheme="majorEastAsia" w:cstheme="majorBidi"/>
      <w:color w:val="0B3548" w:themeColor="accent1" w:themeShade="BF"/>
      <w:sz w:val="28"/>
      <w:szCs w:val="28"/>
    </w:rPr>
  </w:style>
  <w:style w:type="paragraph" w:styleId="Heading4">
    <w:name w:val="heading 4"/>
    <w:basedOn w:val="Normal"/>
    <w:next w:val="Normal"/>
    <w:link w:val="Heading4Char"/>
    <w:uiPriority w:val="9"/>
    <w:semiHidden/>
    <w:unhideWhenUsed/>
    <w:qFormat/>
    <w:rsid w:val="004B6664"/>
    <w:pPr>
      <w:keepNext/>
      <w:keepLines/>
      <w:spacing w:before="80" w:after="40"/>
      <w:outlineLvl w:val="3"/>
    </w:pPr>
    <w:rPr>
      <w:rFonts w:eastAsiaTheme="majorEastAsia" w:cstheme="majorBidi"/>
      <w:i/>
      <w:iCs/>
      <w:color w:val="0B3548" w:themeColor="accent1" w:themeShade="BF"/>
    </w:rPr>
  </w:style>
  <w:style w:type="paragraph" w:styleId="Heading5">
    <w:name w:val="heading 5"/>
    <w:basedOn w:val="Normal"/>
    <w:next w:val="Normal"/>
    <w:link w:val="Heading5Char"/>
    <w:uiPriority w:val="9"/>
    <w:semiHidden/>
    <w:unhideWhenUsed/>
    <w:qFormat/>
    <w:rsid w:val="004B6664"/>
    <w:pPr>
      <w:keepNext/>
      <w:keepLines/>
      <w:spacing w:before="80" w:after="40"/>
      <w:outlineLvl w:val="4"/>
    </w:pPr>
    <w:rPr>
      <w:rFonts w:eastAsiaTheme="majorEastAsia" w:cstheme="majorBidi"/>
      <w:color w:val="0B3548" w:themeColor="accent1" w:themeShade="BF"/>
    </w:rPr>
  </w:style>
  <w:style w:type="paragraph" w:styleId="Heading6">
    <w:name w:val="heading 6"/>
    <w:basedOn w:val="Normal"/>
    <w:next w:val="Normal"/>
    <w:link w:val="Heading6Char"/>
    <w:uiPriority w:val="9"/>
    <w:semiHidden/>
    <w:unhideWhenUsed/>
    <w:qFormat/>
    <w:rsid w:val="004B666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666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666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666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842"/>
    <w:rPr>
      <w:rFonts w:asciiTheme="majorHAnsi" w:eastAsiaTheme="majorEastAsia" w:hAnsiTheme="majorHAnsi" w:cstheme="majorBidi"/>
      <w:color w:val="0F4861" w:themeColor="accent1"/>
      <w:sz w:val="44"/>
      <w:szCs w:val="40"/>
    </w:rPr>
  </w:style>
  <w:style w:type="character" w:customStyle="1" w:styleId="Heading2Char">
    <w:name w:val="Heading 2 Char"/>
    <w:basedOn w:val="DefaultParagraphFont"/>
    <w:link w:val="Heading2"/>
    <w:uiPriority w:val="9"/>
    <w:rsid w:val="006505B5"/>
    <w:rPr>
      <w:rFonts w:asciiTheme="majorHAnsi" w:eastAsiaTheme="majorEastAsia" w:hAnsiTheme="majorHAnsi" w:cstheme="majorBidi"/>
      <w:b/>
      <w:color w:val="496983" w:themeColor="accent4"/>
      <w:sz w:val="26"/>
      <w:szCs w:val="32"/>
    </w:rPr>
  </w:style>
  <w:style w:type="character" w:customStyle="1" w:styleId="Heading3Char">
    <w:name w:val="Heading 3 Char"/>
    <w:basedOn w:val="DefaultParagraphFont"/>
    <w:link w:val="Heading3"/>
    <w:uiPriority w:val="9"/>
    <w:semiHidden/>
    <w:rsid w:val="004B6664"/>
    <w:rPr>
      <w:rFonts w:eastAsiaTheme="majorEastAsia" w:cstheme="majorBidi"/>
      <w:color w:val="0B3548" w:themeColor="accent1" w:themeShade="BF"/>
      <w:sz w:val="28"/>
      <w:szCs w:val="28"/>
    </w:rPr>
  </w:style>
  <w:style w:type="character" w:customStyle="1" w:styleId="Heading4Char">
    <w:name w:val="Heading 4 Char"/>
    <w:basedOn w:val="DefaultParagraphFont"/>
    <w:link w:val="Heading4"/>
    <w:uiPriority w:val="9"/>
    <w:semiHidden/>
    <w:rsid w:val="004B6664"/>
    <w:rPr>
      <w:rFonts w:eastAsiaTheme="majorEastAsia" w:cstheme="majorBidi"/>
      <w:i/>
      <w:iCs/>
      <w:color w:val="0B3548" w:themeColor="accent1" w:themeShade="BF"/>
    </w:rPr>
  </w:style>
  <w:style w:type="character" w:customStyle="1" w:styleId="Heading5Char">
    <w:name w:val="Heading 5 Char"/>
    <w:basedOn w:val="DefaultParagraphFont"/>
    <w:link w:val="Heading5"/>
    <w:uiPriority w:val="9"/>
    <w:semiHidden/>
    <w:rsid w:val="004B6664"/>
    <w:rPr>
      <w:rFonts w:eastAsiaTheme="majorEastAsia" w:cstheme="majorBidi"/>
      <w:color w:val="0B3548" w:themeColor="accent1" w:themeShade="BF"/>
    </w:rPr>
  </w:style>
  <w:style w:type="character" w:customStyle="1" w:styleId="Heading6Char">
    <w:name w:val="Heading 6 Char"/>
    <w:basedOn w:val="DefaultParagraphFont"/>
    <w:link w:val="Heading6"/>
    <w:uiPriority w:val="9"/>
    <w:semiHidden/>
    <w:rsid w:val="004B66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66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66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6664"/>
    <w:rPr>
      <w:rFonts w:eastAsiaTheme="majorEastAsia" w:cstheme="majorBidi"/>
      <w:color w:val="272727" w:themeColor="text1" w:themeTint="D8"/>
    </w:rPr>
  </w:style>
  <w:style w:type="paragraph" w:styleId="Title">
    <w:name w:val="Title"/>
    <w:basedOn w:val="Normal"/>
    <w:next w:val="Normal"/>
    <w:link w:val="TitleChar"/>
    <w:uiPriority w:val="10"/>
    <w:qFormat/>
    <w:rsid w:val="006A66A3"/>
    <w:pPr>
      <w:spacing w:after="600" w:line="240" w:lineRule="auto"/>
      <w:contextualSpacing/>
    </w:pPr>
    <w:rPr>
      <w:rFonts w:eastAsiaTheme="majorEastAsia" w:cstheme="majorBidi"/>
      <w:b/>
      <w:color w:val="0F4861" w:themeColor="accent1"/>
      <w:spacing w:val="-10"/>
      <w:kern w:val="28"/>
      <w:sz w:val="100"/>
      <w:szCs w:val="56"/>
    </w:rPr>
  </w:style>
  <w:style w:type="character" w:customStyle="1" w:styleId="TitleChar">
    <w:name w:val="Title Char"/>
    <w:basedOn w:val="DefaultParagraphFont"/>
    <w:link w:val="Title"/>
    <w:uiPriority w:val="10"/>
    <w:rsid w:val="006A66A3"/>
    <w:rPr>
      <w:rFonts w:ascii="Arial" w:eastAsiaTheme="majorEastAsia" w:hAnsi="Arial" w:cstheme="majorBidi"/>
      <w:b/>
      <w:color w:val="0F4861" w:themeColor="accent1"/>
      <w:spacing w:val="-10"/>
      <w:kern w:val="28"/>
      <w:sz w:val="100"/>
      <w:szCs w:val="56"/>
    </w:rPr>
  </w:style>
  <w:style w:type="paragraph" w:styleId="Subtitle">
    <w:name w:val="Subtitle"/>
    <w:basedOn w:val="Normal"/>
    <w:next w:val="Normal"/>
    <w:link w:val="SubtitleChar"/>
    <w:uiPriority w:val="11"/>
    <w:qFormat/>
    <w:rsid w:val="0050541A"/>
    <w:pPr>
      <w:numPr>
        <w:ilvl w:val="1"/>
      </w:numPr>
      <w:spacing w:before="360" w:after="360"/>
    </w:pPr>
    <w:rPr>
      <w:rFonts w:eastAsiaTheme="majorEastAsia" w:cs="Times New Roman (Headings CS)"/>
      <w:b/>
      <w:color w:val="496983" w:themeColor="accent4"/>
      <w:sz w:val="36"/>
      <w:szCs w:val="28"/>
    </w:rPr>
  </w:style>
  <w:style w:type="character" w:customStyle="1" w:styleId="SubtitleChar">
    <w:name w:val="Subtitle Char"/>
    <w:basedOn w:val="DefaultParagraphFont"/>
    <w:link w:val="Subtitle"/>
    <w:uiPriority w:val="11"/>
    <w:rsid w:val="0050541A"/>
    <w:rPr>
      <w:rFonts w:ascii="Arial" w:eastAsiaTheme="majorEastAsia" w:hAnsi="Arial" w:cs="Times New Roman (Headings CS)"/>
      <w:b/>
      <w:color w:val="496983" w:themeColor="accent4"/>
      <w:sz w:val="36"/>
      <w:szCs w:val="28"/>
    </w:rPr>
  </w:style>
  <w:style w:type="paragraph" w:styleId="Quote">
    <w:name w:val="Quote"/>
    <w:basedOn w:val="Normal"/>
    <w:next w:val="Normal"/>
    <w:link w:val="QuoteChar"/>
    <w:uiPriority w:val="29"/>
    <w:qFormat/>
    <w:rsid w:val="004B6664"/>
    <w:pPr>
      <w:spacing w:before="160"/>
      <w:jc w:val="center"/>
    </w:pPr>
    <w:rPr>
      <w:i/>
      <w:iCs/>
      <w:color w:val="404040" w:themeColor="text1" w:themeTint="BF"/>
    </w:rPr>
  </w:style>
  <w:style w:type="character" w:customStyle="1" w:styleId="QuoteChar">
    <w:name w:val="Quote Char"/>
    <w:basedOn w:val="DefaultParagraphFont"/>
    <w:link w:val="Quote"/>
    <w:uiPriority w:val="29"/>
    <w:rsid w:val="004B6664"/>
    <w:rPr>
      <w:i/>
      <w:iCs/>
      <w:color w:val="404040" w:themeColor="text1" w:themeTint="BF"/>
    </w:rPr>
  </w:style>
  <w:style w:type="paragraph" w:styleId="ListParagraph">
    <w:name w:val="List Paragraph"/>
    <w:basedOn w:val="Normal"/>
    <w:uiPriority w:val="34"/>
    <w:qFormat/>
    <w:rsid w:val="00147BE7"/>
    <w:pPr>
      <w:numPr>
        <w:numId w:val="1"/>
      </w:numPr>
      <w:spacing w:before="120" w:after="120"/>
    </w:pPr>
  </w:style>
  <w:style w:type="character" w:styleId="IntenseEmphasis">
    <w:name w:val="Intense Emphasis"/>
    <w:basedOn w:val="DefaultParagraphFont"/>
    <w:uiPriority w:val="21"/>
    <w:qFormat/>
    <w:rsid w:val="004B6664"/>
    <w:rPr>
      <w:i/>
      <w:iCs/>
      <w:color w:val="0B3548" w:themeColor="accent1" w:themeShade="BF"/>
    </w:rPr>
  </w:style>
  <w:style w:type="paragraph" w:styleId="IntenseQuote">
    <w:name w:val="Intense Quote"/>
    <w:basedOn w:val="Normal"/>
    <w:next w:val="Normal"/>
    <w:link w:val="IntenseQuoteChar"/>
    <w:uiPriority w:val="30"/>
    <w:qFormat/>
    <w:rsid w:val="00D32ECB"/>
    <w:pPr>
      <w:pBdr>
        <w:top w:val="single" w:sz="4" w:space="10" w:color="F7A6AC" w:themeColor="accent6"/>
        <w:bottom w:val="single" w:sz="4" w:space="10" w:color="F7A6AC" w:themeColor="accent6"/>
      </w:pBdr>
      <w:spacing w:before="480" w:after="480"/>
      <w:jc w:val="center"/>
    </w:pPr>
    <w:rPr>
      <w:b/>
      <w:iCs/>
      <w:color w:val="0B3548" w:themeColor="accent1" w:themeShade="BF"/>
    </w:rPr>
  </w:style>
  <w:style w:type="character" w:customStyle="1" w:styleId="IntenseQuoteChar">
    <w:name w:val="Intense Quote Char"/>
    <w:basedOn w:val="DefaultParagraphFont"/>
    <w:link w:val="IntenseQuote"/>
    <w:uiPriority w:val="30"/>
    <w:rsid w:val="00D32ECB"/>
    <w:rPr>
      <w:rFonts w:ascii="Arial" w:hAnsi="Arial"/>
      <w:b/>
      <w:iCs/>
      <w:color w:val="0B3548" w:themeColor="accent1" w:themeShade="BF"/>
      <w:sz w:val="22"/>
    </w:rPr>
  </w:style>
  <w:style w:type="character" w:styleId="IntenseReference">
    <w:name w:val="Intense Reference"/>
    <w:basedOn w:val="DefaultParagraphFont"/>
    <w:uiPriority w:val="32"/>
    <w:qFormat/>
    <w:rsid w:val="004B6664"/>
    <w:rPr>
      <w:b/>
      <w:bCs/>
      <w:smallCaps/>
      <w:color w:val="0B3548" w:themeColor="accent1" w:themeShade="BF"/>
      <w:spacing w:val="5"/>
    </w:rPr>
  </w:style>
  <w:style w:type="paragraph" w:styleId="Header">
    <w:name w:val="header"/>
    <w:basedOn w:val="Normal"/>
    <w:link w:val="HeaderChar"/>
    <w:uiPriority w:val="99"/>
    <w:unhideWhenUsed/>
    <w:rsid w:val="00D07304"/>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07304"/>
    <w:rPr>
      <w:rFonts w:ascii="Arial" w:hAnsi="Arial"/>
    </w:rPr>
  </w:style>
  <w:style w:type="paragraph" w:styleId="Footer">
    <w:name w:val="footer"/>
    <w:basedOn w:val="Normal"/>
    <w:link w:val="FooterChar"/>
    <w:uiPriority w:val="99"/>
    <w:unhideWhenUsed/>
    <w:rsid w:val="00F41842"/>
    <w:pPr>
      <w:tabs>
        <w:tab w:val="right" w:pos="22680"/>
      </w:tabs>
      <w:spacing w:before="0" w:after="0" w:line="240" w:lineRule="auto"/>
      <w:jc w:val="right"/>
    </w:pPr>
    <w:rPr>
      <w:sz w:val="18"/>
    </w:rPr>
  </w:style>
  <w:style w:type="character" w:customStyle="1" w:styleId="FooterChar">
    <w:name w:val="Footer Char"/>
    <w:basedOn w:val="DefaultParagraphFont"/>
    <w:link w:val="Footer"/>
    <w:uiPriority w:val="99"/>
    <w:rsid w:val="00F41842"/>
    <w:rPr>
      <w:rFonts w:ascii="Arial" w:hAnsi="Arial"/>
      <w:sz w:val="18"/>
    </w:rPr>
  </w:style>
  <w:style w:type="paragraph" w:styleId="Caption">
    <w:name w:val="caption"/>
    <w:basedOn w:val="Normal"/>
    <w:next w:val="Normal"/>
    <w:uiPriority w:val="35"/>
    <w:unhideWhenUsed/>
    <w:qFormat/>
    <w:rsid w:val="009E7235"/>
    <w:pPr>
      <w:spacing w:before="240" w:after="0"/>
    </w:pPr>
    <w:rPr>
      <w:i/>
      <w:iCs/>
      <w:color w:val="000000" w:themeColor="text2"/>
      <w:sz w:val="20"/>
      <w:szCs w:val="18"/>
    </w:rPr>
  </w:style>
  <w:style w:type="character" w:styleId="Hyperlink">
    <w:name w:val="Hyperlink"/>
    <w:basedOn w:val="DefaultParagraphFont"/>
    <w:uiPriority w:val="99"/>
    <w:unhideWhenUsed/>
    <w:rsid w:val="0050541A"/>
    <w:rPr>
      <w:b w:val="0"/>
      <w:i/>
      <w:color w:val="auto"/>
      <w:u w:val="single"/>
    </w:rPr>
  </w:style>
  <w:style w:type="character" w:styleId="UnresolvedMention">
    <w:name w:val="Unresolved Mention"/>
    <w:basedOn w:val="DefaultParagraphFont"/>
    <w:uiPriority w:val="99"/>
    <w:semiHidden/>
    <w:unhideWhenUsed/>
    <w:rsid w:val="00B34ED3"/>
    <w:rPr>
      <w:color w:val="605E5C"/>
      <w:shd w:val="clear" w:color="auto" w:fill="E1DFDD"/>
    </w:rPr>
  </w:style>
  <w:style w:type="character" w:styleId="FollowedHyperlink">
    <w:name w:val="FollowedHyperlink"/>
    <w:basedOn w:val="DefaultParagraphFont"/>
    <w:uiPriority w:val="99"/>
    <w:semiHidden/>
    <w:unhideWhenUsed/>
    <w:rsid w:val="0050541A"/>
    <w:rPr>
      <w:color w:val="96607D" w:themeColor="followedHyperlink"/>
      <w:u w:val="single"/>
    </w:rPr>
  </w:style>
  <w:style w:type="paragraph" w:styleId="TOC1">
    <w:name w:val="toc 1"/>
    <w:basedOn w:val="Normal"/>
    <w:next w:val="Normal"/>
    <w:autoRedefine/>
    <w:uiPriority w:val="39"/>
    <w:unhideWhenUsed/>
    <w:rsid w:val="00F64C14"/>
    <w:pPr>
      <w:tabs>
        <w:tab w:val="right" w:leader="underscore" w:pos="8505"/>
      </w:tabs>
      <w:spacing w:line="240" w:lineRule="auto"/>
      <w:ind w:left="1134" w:right="1134"/>
    </w:pPr>
    <w:rPr>
      <w:b/>
    </w:rPr>
  </w:style>
  <w:style w:type="paragraph" w:customStyle="1" w:styleId="PullQuote">
    <w:name w:val="Pull Quote"/>
    <w:basedOn w:val="Normal"/>
    <w:uiPriority w:val="99"/>
    <w:rsid w:val="0046050E"/>
    <w:pPr>
      <w:pBdr>
        <w:top w:val="single" w:sz="4" w:space="19" w:color="009ABB" w:themeColor="accent5"/>
        <w:bottom w:val="single" w:sz="4" w:space="11" w:color="009ABB" w:themeColor="accent5"/>
      </w:pBdr>
      <w:suppressAutoHyphens/>
      <w:autoSpaceDE w:val="0"/>
      <w:autoSpaceDN w:val="0"/>
      <w:adjustRightInd w:val="0"/>
      <w:spacing w:before="0" w:after="0" w:line="280" w:lineRule="atLeast"/>
      <w:textAlignment w:val="center"/>
    </w:pPr>
    <w:rPr>
      <w:rFonts w:asciiTheme="minorHAnsi" w:hAnsiTheme="minorHAnsi" w:cs="Helvetica Now Display Light"/>
      <w:color w:val="496983" w:themeColor="accent4"/>
      <w:kern w:val="0"/>
      <w:szCs w:val="22"/>
      <w:lang w:val="en-US"/>
    </w:rPr>
  </w:style>
  <w:style w:type="table" w:styleId="TableGrid">
    <w:name w:val="Table Grid"/>
    <w:basedOn w:val="TableNormal"/>
    <w:uiPriority w:val="39"/>
    <w:rsid w:val="00F47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2A748D"/>
    <w:pPr>
      <w:spacing w:before="60" w:after="60" w:line="240" w:lineRule="auto"/>
    </w:pPr>
  </w:style>
  <w:style w:type="table" w:customStyle="1" w:styleId="Insights">
    <w:name w:val="Insights"/>
    <w:basedOn w:val="TableNormal"/>
    <w:uiPriority w:val="99"/>
    <w:rsid w:val="002A748D"/>
    <w:pPr>
      <w:spacing w:after="0" w:line="240" w:lineRule="auto"/>
    </w:pPr>
    <w:tblPr>
      <w:tblBorders>
        <w:top w:val="single" w:sz="4" w:space="0" w:color="F7A6AC" w:themeColor="accent6"/>
        <w:bottom w:val="single" w:sz="4" w:space="0" w:color="F7A6AC" w:themeColor="accent6"/>
        <w:insideH w:val="single" w:sz="4" w:space="0" w:color="F7A6AC" w:themeColor="accent6"/>
        <w:insideV w:val="single" w:sz="4" w:space="0" w:color="F7A6AC" w:themeColor="accent6"/>
      </w:tblBorders>
    </w:tblPr>
    <w:tcPr>
      <w:vAlign w:val="center"/>
    </w:tcPr>
    <w:tblStylePr w:type="firstRow">
      <w:rPr>
        <w:b/>
      </w:rPr>
      <w:tblPr/>
      <w:tcPr>
        <w:shd w:val="clear" w:color="auto" w:fill="E8E8E8" w:themeFill="background2"/>
      </w:tcPr>
    </w:tblStylePr>
    <w:tblStylePr w:type="lastRow">
      <w:pPr>
        <w:wordWrap/>
        <w:spacing w:beforeLines="0" w:before="0" w:beforeAutospacing="0" w:afterLines="0" w:after="0" w:afterAutospacing="0" w:line="240" w:lineRule="auto"/>
      </w:pPr>
      <w:rPr>
        <w:b/>
      </w:rPr>
      <w:tblPr/>
      <w:tcPr>
        <w:shd w:val="clear" w:color="auto" w:fill="E8E8E8" w:themeFill="background2"/>
      </w:tcPr>
    </w:tblStylePr>
  </w:style>
  <w:style w:type="paragraph" w:styleId="TOC2">
    <w:name w:val="toc 2"/>
    <w:basedOn w:val="Normal"/>
    <w:next w:val="Normal"/>
    <w:autoRedefine/>
    <w:uiPriority w:val="39"/>
    <w:unhideWhenUsed/>
    <w:rsid w:val="009E7235"/>
    <w:pPr>
      <w:tabs>
        <w:tab w:val="right" w:leader="underscore" w:pos="8505"/>
      </w:tabs>
      <w:spacing w:after="100" w:line="240" w:lineRule="auto"/>
      <w:ind w:left="1418" w:right="1134"/>
    </w:pPr>
  </w:style>
  <w:style w:type="paragraph" w:customStyle="1" w:styleId="Graphspacing">
    <w:name w:val="Graph spacing"/>
    <w:basedOn w:val="Normal"/>
    <w:qFormat/>
    <w:rsid w:val="006505B5"/>
    <w:pPr>
      <w:spacing w:before="240" w:after="240"/>
    </w:pPr>
    <w:rPr>
      <w:noProof/>
    </w:rPr>
  </w:style>
  <w:style w:type="character" w:styleId="FootnoteReference">
    <w:name w:val="footnote reference"/>
    <w:basedOn w:val="DefaultParagraphFont"/>
    <w:uiPriority w:val="99"/>
    <w:unhideWhenUsed/>
    <w:rsid w:val="00E44A4D"/>
    <w:rPr>
      <w:vertAlign w:val="superscript"/>
    </w:rPr>
  </w:style>
  <w:style w:type="paragraph" w:styleId="FootnoteText">
    <w:name w:val="footnote text"/>
    <w:basedOn w:val="Normal"/>
    <w:link w:val="FootnoteTextChar"/>
    <w:uiPriority w:val="99"/>
    <w:unhideWhenUsed/>
    <w:rsid w:val="00E44A4D"/>
    <w:pPr>
      <w:spacing w:before="0" w:after="0" w:line="240" w:lineRule="auto"/>
    </w:pPr>
    <w:rPr>
      <w:i/>
      <w:sz w:val="18"/>
      <w:szCs w:val="20"/>
    </w:rPr>
  </w:style>
  <w:style w:type="character" w:customStyle="1" w:styleId="FootnoteTextChar">
    <w:name w:val="Footnote Text Char"/>
    <w:basedOn w:val="DefaultParagraphFont"/>
    <w:link w:val="FootnoteText"/>
    <w:uiPriority w:val="99"/>
    <w:rsid w:val="00E44A4D"/>
    <w:rPr>
      <w:rFonts w:ascii="Arial" w:hAnsi="Arial"/>
      <w:i/>
      <w:sz w:val="18"/>
      <w:szCs w:val="20"/>
    </w:rPr>
  </w:style>
  <w:style w:type="character" w:styleId="Hashtag">
    <w:name w:val="Hashtag"/>
    <w:basedOn w:val="DefaultParagraphFont"/>
    <w:uiPriority w:val="99"/>
    <w:unhideWhenUsed/>
    <w:rsid w:val="00E44A4D"/>
    <w:rPr>
      <w:color w:val="2B579A"/>
      <w:shd w:val="clear" w:color="auto" w:fill="E1DFDD"/>
    </w:rPr>
  </w:style>
  <w:style w:type="paragraph" w:styleId="EndnoteText">
    <w:name w:val="endnote text"/>
    <w:basedOn w:val="Normal"/>
    <w:link w:val="EndnoteTextChar"/>
    <w:uiPriority w:val="99"/>
    <w:unhideWhenUsed/>
    <w:rsid w:val="00E44A4D"/>
    <w:pPr>
      <w:spacing w:before="0" w:after="0" w:line="240" w:lineRule="auto"/>
    </w:pPr>
    <w:rPr>
      <w:sz w:val="20"/>
      <w:szCs w:val="20"/>
    </w:rPr>
  </w:style>
  <w:style w:type="character" w:customStyle="1" w:styleId="EndnoteTextChar">
    <w:name w:val="Endnote Text Char"/>
    <w:basedOn w:val="DefaultParagraphFont"/>
    <w:link w:val="EndnoteText"/>
    <w:uiPriority w:val="99"/>
    <w:rsid w:val="00E44A4D"/>
    <w:rPr>
      <w:rFonts w:ascii="Arial" w:hAnsi="Arial"/>
      <w:sz w:val="20"/>
      <w:szCs w:val="20"/>
    </w:rPr>
  </w:style>
  <w:style w:type="numbering" w:customStyle="1" w:styleId="CurrentList1">
    <w:name w:val="Current List1"/>
    <w:uiPriority w:val="99"/>
    <w:rsid w:val="0077693B"/>
    <w:pPr>
      <w:numPr>
        <w:numId w:val="2"/>
      </w:numPr>
    </w:pPr>
  </w:style>
  <w:style w:type="paragraph" w:customStyle="1" w:styleId="TableListParagraph">
    <w:name w:val="Table List Paragraph"/>
    <w:basedOn w:val="ListParagraph"/>
    <w:qFormat/>
    <w:rsid w:val="006A1028"/>
    <w:pPr>
      <w:numPr>
        <w:numId w:val="4"/>
      </w:numPr>
      <w:spacing w:before="80" w:after="80" w:line="240" w:lineRule="auto"/>
    </w:pPr>
  </w:style>
  <w:style w:type="numbering" w:customStyle="1" w:styleId="CurrentList2">
    <w:name w:val="Current List2"/>
    <w:uiPriority w:val="99"/>
    <w:rsid w:val="00147BE7"/>
    <w:pPr>
      <w:numPr>
        <w:numId w:val="3"/>
      </w:numPr>
    </w:pPr>
  </w:style>
  <w:style w:type="character" w:customStyle="1" w:styleId="apple-converted-space">
    <w:name w:val="apple-converted-space"/>
    <w:basedOn w:val="DefaultParagraphFont"/>
    <w:rsid w:val="006F1D32"/>
  </w:style>
  <w:style w:type="paragraph" w:styleId="Revision">
    <w:name w:val="Revision"/>
    <w:hidden/>
    <w:uiPriority w:val="99"/>
    <w:semiHidden/>
    <w:rsid w:val="00D06225"/>
    <w:pPr>
      <w:spacing w:after="0" w:line="240" w:lineRule="auto"/>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5.jpeg"/><Relationship Id="rId34" Type="http://schemas.openxmlformats.org/officeDocument/2006/relationships/hyperlink" Target="https://assets.csi.edu.au/assets/research/Finding-Australias-Social-Enterprise-Sector-2016-Final-Report.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socialequity.unimelb.edu.au/research/activating-employment-through-work-integration-social-enterprise" TargetMode="External"/><Relationship Id="rId20" Type="http://schemas.openxmlformats.org/officeDocument/2006/relationships/hyperlink" Target="https://socialequity.unimelb.edu.au/research/activating-employment-through-work-integration-social-enterprise"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17.jpeg"/><Relationship Id="rId5" Type="http://schemas.openxmlformats.org/officeDocument/2006/relationships/numbering" Target="numbering.xml"/><Relationship Id="rId15" Type="http://schemas.openxmlformats.org/officeDocument/2006/relationships/hyperlink" Target="mailto:jo.barraket@unimelb.edu.au"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hyperlink" Target="https://assets.socialtraders.com.au/images/Pace-2022_Profile-of-Australias-Certified-Social-Enterprises.pdf" TargetMode="Externa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go.unimelb.edu.au/mx32"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static1.squarespace.com/static/68674e4fb6415463c1b32980/t/68eb368a9ccb023cbb548dd6/1776120005293/2022-FINAL_Business+for+Good+report.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Insights Report">
      <a:dk1>
        <a:srgbClr val="000000"/>
      </a:dk1>
      <a:lt1>
        <a:srgbClr val="FFFFFF"/>
      </a:lt1>
      <a:dk2>
        <a:srgbClr val="000000"/>
      </a:dk2>
      <a:lt2>
        <a:srgbClr val="E8E8E8"/>
      </a:lt2>
      <a:accent1>
        <a:srgbClr val="0F4861"/>
      </a:accent1>
      <a:accent2>
        <a:srgbClr val="4DBEEE"/>
      </a:accent2>
      <a:accent3>
        <a:srgbClr val="542C79"/>
      </a:accent3>
      <a:accent4>
        <a:srgbClr val="496983"/>
      </a:accent4>
      <a:accent5>
        <a:srgbClr val="009ABB"/>
      </a:accent5>
      <a:accent6>
        <a:srgbClr val="F7A6AC"/>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7442b9a-ae62-4743-a6b2-f7ac97f93134">
      <Terms xmlns="http://schemas.microsoft.com/office/infopath/2007/PartnerControls"/>
    </lcf76f155ced4ddcb4097134ff3c332f>
    <TaxCatchAll xmlns="b4d32f19-77ec-4401-9233-a3481bd67f2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FB93D0F9D655F41A99C13989C8505AA" ma:contentTypeVersion="14" ma:contentTypeDescription="Create a new document." ma:contentTypeScope="" ma:versionID="851ba759a04a135b78a99dbebc52dda4">
  <xsd:schema xmlns:xsd="http://www.w3.org/2001/XMLSchema" xmlns:xs="http://www.w3.org/2001/XMLSchema" xmlns:p="http://schemas.microsoft.com/office/2006/metadata/properties" xmlns:ns2="47442b9a-ae62-4743-a6b2-f7ac97f93134" xmlns:ns3="b4d32f19-77ec-4401-9233-a3481bd67f28" targetNamespace="http://schemas.microsoft.com/office/2006/metadata/properties" ma:root="true" ma:fieldsID="ccfc445c06f54c322f08afb6f5141d82" ns2:_="" ns3:_="">
    <xsd:import namespace="47442b9a-ae62-4743-a6b2-f7ac97f93134"/>
    <xsd:import namespace="b4d32f19-77ec-4401-9233-a3481bd67f2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442b9a-ae62-4743-a6b2-f7ac97f931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d32f19-77ec-4401-9233-a3481bd67f2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0f1caf4-2f7e-4cb3-aeee-bf872261322f}" ma:internalName="TaxCatchAll" ma:showField="CatchAllData" ma:web="b4d32f19-77ec-4401-9233-a3481bd67f2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7CEA57-EEAD-5646-9797-F1B532AF12C4}">
  <ds:schemaRefs>
    <ds:schemaRef ds:uri="http://schemas.openxmlformats.org/officeDocument/2006/bibliography"/>
  </ds:schemaRefs>
</ds:datastoreItem>
</file>

<file path=customXml/itemProps2.xml><?xml version="1.0" encoding="utf-8"?>
<ds:datastoreItem xmlns:ds="http://schemas.openxmlformats.org/officeDocument/2006/customXml" ds:itemID="{6362D344-69AA-40A3-823F-C0C0A0EC2A2A}">
  <ds:schemaRefs>
    <ds:schemaRef ds:uri="http://schemas.microsoft.com/sharepoint/v3/contenttype/forms"/>
  </ds:schemaRefs>
</ds:datastoreItem>
</file>

<file path=customXml/itemProps3.xml><?xml version="1.0" encoding="utf-8"?>
<ds:datastoreItem xmlns:ds="http://schemas.openxmlformats.org/officeDocument/2006/customXml" ds:itemID="{333DE1EB-A04A-4C0D-BFF6-DA78DDBF8E10}">
  <ds:schemaRefs>
    <ds:schemaRef ds:uri="http://schemas.microsoft.com/office/2006/metadata/properties"/>
    <ds:schemaRef ds:uri="http://schemas.microsoft.com/office/infopath/2007/PartnerControls"/>
    <ds:schemaRef ds:uri="47442b9a-ae62-4743-a6b2-f7ac97f93134"/>
    <ds:schemaRef ds:uri="b4d32f19-77ec-4401-9233-a3481bd67f28"/>
  </ds:schemaRefs>
</ds:datastoreItem>
</file>

<file path=customXml/itemProps4.xml><?xml version="1.0" encoding="utf-8"?>
<ds:datastoreItem xmlns:ds="http://schemas.openxmlformats.org/officeDocument/2006/customXml" ds:itemID="{34E3D373-2BCE-4D8D-988A-27C1FA0FEB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442b9a-ae62-4743-a6b2-f7ac97f93134"/>
    <ds:schemaRef ds:uri="b4d32f19-77ec-4401-9233-a3481bd67f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3056</Words>
  <Characters>17425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Insights Report - July 2026 - Building a Taxonomy of Jobs-Focused Social Enterprise in Australia</vt:lpstr>
    </vt:vector>
  </TitlesOfParts>
  <Manager/>
  <Company/>
  <LinksUpToDate>false</LinksUpToDate>
  <CharactersWithSpaces>20441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Insights Report - July 2026 - Building a Taxonomy of Jobs-Focused Social Enterprise in Australia</dc:title>
  <dc:subject/>
  <dc:creator>Chabel Khan, Jo Barraket and Michael McGann</dc:creator>
  <cp:keywords/>
  <dc:description/>
  <cp:lastModifiedBy>Claire </cp:lastModifiedBy>
  <cp:revision>2</cp:revision>
  <dcterms:created xsi:type="dcterms:W3CDTF">2026-07-21T23:48:00Z</dcterms:created>
  <dcterms:modified xsi:type="dcterms:W3CDTF">2026-07-21T23:48:00Z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0x010100DFB93D0F9D655F41A99C13989C8505AA</vt:lpwstr>
  </property>
  <property fmtid="{D5CDD505-2E9C-101B-9397-08002B2CF9AE}" pid="3" name="MediaServiceImageTags">
    <vt:lpwstr/>
  </property>
</Properties>
</file>