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A1846" w14:textId="1E8DEE2A" w:rsidR="005A38AC" w:rsidRPr="005A38AC" w:rsidRDefault="0065659F" w:rsidP="0065659F">
      <w:pPr>
        <w:pStyle w:val="Documenttype"/>
      </w:pPr>
      <w:r>
        <w:t xml:space="preserve">Disability Access to Justice </w:t>
      </w:r>
      <w:r w:rsidR="008C36A8">
        <w:t xml:space="preserve">Research </w:t>
      </w:r>
      <w:r>
        <w:t xml:space="preserve">Consortium </w:t>
      </w:r>
      <w:r w:rsidR="005A38AC" w:rsidRPr="005A38AC">
        <w:t xml:space="preserve">Scoping </w:t>
      </w:r>
      <w:r w:rsidR="00E874E6">
        <w:t>Paper:</w:t>
      </w:r>
    </w:p>
    <w:p w14:paraId="3299AD54" w14:textId="24420D94" w:rsidR="00077C4A" w:rsidRPr="0054338A" w:rsidRDefault="0065659F" w:rsidP="00396190">
      <w:pPr>
        <w:pStyle w:val="Title"/>
      </w:pPr>
      <w:r>
        <w:t>Research n</w:t>
      </w:r>
      <w:r w:rsidR="00421020" w:rsidRPr="0054338A">
        <w:t xml:space="preserve">eeds in </w:t>
      </w:r>
      <w:r>
        <w:t xml:space="preserve">access to justice for people with </w:t>
      </w:r>
      <w:r w:rsidRPr="003234FA">
        <w:t>d</w:t>
      </w:r>
      <w:r w:rsidR="00354E0E" w:rsidRPr="003234FA">
        <w:t>isability</w:t>
      </w:r>
      <w:r w:rsidR="00354E0E" w:rsidRPr="0054338A">
        <w:t xml:space="preserve"> in Australia and New Zealand</w:t>
      </w:r>
      <w:r w:rsidR="00077C4A" w:rsidRPr="0054338A">
        <w:t xml:space="preserve"> </w:t>
      </w:r>
    </w:p>
    <w:p w14:paraId="7A09D45E" w14:textId="77777777" w:rsidR="00421020" w:rsidRPr="0054338A" w:rsidRDefault="005F102C" w:rsidP="00396190">
      <w:pPr>
        <w:pStyle w:val="Subtitle"/>
      </w:pPr>
      <w:r w:rsidRPr="0054338A">
        <w:t>Literature Review</w:t>
      </w:r>
      <w:r w:rsidR="00421020" w:rsidRPr="0054338A">
        <w:t>, Consultation,</w:t>
      </w:r>
      <w:r w:rsidRPr="0054338A">
        <w:t xml:space="preserve"> and</w:t>
      </w:r>
      <w:r w:rsidR="00354E0E" w:rsidRPr="0054338A">
        <w:t xml:space="preserve"> Emerging Research </w:t>
      </w:r>
      <w:r w:rsidR="00421020" w:rsidRPr="0054338A">
        <w:t xml:space="preserve">Opportunities </w:t>
      </w:r>
    </w:p>
    <w:p w14:paraId="391D38AF" w14:textId="328824EC" w:rsidR="004453C2" w:rsidRDefault="008B580E" w:rsidP="00396190">
      <w:pPr>
        <w:pStyle w:val="Publicationdate"/>
      </w:pPr>
      <w:r>
        <w:t>February</w:t>
      </w:r>
      <w:r w:rsidR="007872D6">
        <w:t xml:space="preserve"> 2018 </w:t>
      </w:r>
    </w:p>
    <w:p w14:paraId="6ED3F814" w14:textId="77777777" w:rsidR="00421020" w:rsidRPr="00AC4E2D" w:rsidRDefault="00421020" w:rsidP="00AC4E2D">
      <w:pPr>
        <w:pStyle w:val="Authors"/>
      </w:pPr>
      <w:r w:rsidRPr="00AC4E2D">
        <w:t>Dr Anna Arstein-Kerslake</w:t>
      </w:r>
    </w:p>
    <w:p w14:paraId="54E10748" w14:textId="77777777" w:rsidR="00421020" w:rsidRDefault="00E0443E" w:rsidP="00AC4E2D">
      <w:pPr>
        <w:pStyle w:val="Authors"/>
      </w:pPr>
      <w:r>
        <w:t xml:space="preserve">Dr </w:t>
      </w:r>
      <w:r w:rsidR="00421020">
        <w:t>Yvette Maker</w:t>
      </w:r>
    </w:p>
    <w:p w14:paraId="57E14446" w14:textId="77777777" w:rsidR="00421020" w:rsidRDefault="00421020" w:rsidP="00AC4E2D">
      <w:pPr>
        <w:pStyle w:val="Authors"/>
      </w:pPr>
      <w:r>
        <w:t>Maree Ireland</w:t>
      </w:r>
    </w:p>
    <w:p w14:paraId="78051994" w14:textId="77777777" w:rsidR="00421020" w:rsidRDefault="00421020" w:rsidP="00AC4E2D">
      <w:pPr>
        <w:pStyle w:val="Authors"/>
      </w:pPr>
      <w:r>
        <w:t>Rikki Mawad</w:t>
      </w:r>
    </w:p>
    <w:p w14:paraId="5320583E" w14:textId="77777777" w:rsidR="00421020" w:rsidRDefault="00421020" w:rsidP="00396190">
      <w:pPr>
        <w:pStyle w:val="Furthercredits"/>
      </w:pPr>
      <w:r>
        <w:t>Research Assistanc</w:t>
      </w:r>
      <w:r w:rsidR="00DD178E">
        <w:t>e</w:t>
      </w:r>
      <w:r>
        <w:t xml:space="preserve"> provided by:</w:t>
      </w:r>
    </w:p>
    <w:p w14:paraId="1AE612A0" w14:textId="77777777" w:rsidR="00421020" w:rsidRDefault="00421020" w:rsidP="00AC4E2D">
      <w:pPr>
        <w:pStyle w:val="Authors"/>
      </w:pPr>
      <w:r>
        <w:t>Emma Blakey</w:t>
      </w:r>
    </w:p>
    <w:p w14:paraId="07653E46" w14:textId="77777777" w:rsidR="00421020" w:rsidRDefault="00421020" w:rsidP="00AC4E2D">
      <w:pPr>
        <w:pStyle w:val="Authors"/>
      </w:pPr>
      <w:r>
        <w:t>Marlena Raymond</w:t>
      </w:r>
    </w:p>
    <w:p w14:paraId="61808943" w14:textId="77777777" w:rsidR="00421020" w:rsidRDefault="00A97A4B" w:rsidP="00396190">
      <w:pPr>
        <w:pStyle w:val="Logos"/>
      </w:pPr>
      <w:r>
        <w:drawing>
          <wp:inline distT="0" distB="0" distL="0" distR="0" wp14:anchorId="61E10BE4" wp14:editId="7904ADDA">
            <wp:extent cx="2223135" cy="714136"/>
            <wp:effectExtent l="0" t="0" r="0" b="0"/>
            <wp:docPr id="2" name="Picture 2" descr="University of Melbourne Disability Research Hallmakr Research 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hite UOM-Hallmark_Disability-CMYK-POS.jpg"/>
                    <pic:cNvPicPr/>
                  </pic:nvPicPr>
                  <pic:blipFill rotWithShape="1">
                    <a:blip r:embed="rId8">
                      <a:extLst>
                        <a:ext uri="{28A0092B-C50C-407E-A947-70E740481C1C}">
                          <a14:useLocalDpi xmlns:a14="http://schemas.microsoft.com/office/drawing/2010/main" val="0"/>
                        </a:ext>
                      </a:extLst>
                    </a:blip>
                    <a:srcRect r="15567"/>
                    <a:stretch/>
                  </pic:blipFill>
                  <pic:spPr bwMode="auto">
                    <a:xfrm>
                      <a:off x="0" y="0"/>
                      <a:ext cx="2223135" cy="714136"/>
                    </a:xfrm>
                    <a:prstGeom prst="rect">
                      <a:avLst/>
                    </a:prstGeom>
                    <a:ln>
                      <a:noFill/>
                    </a:ln>
                    <a:extLst>
                      <a:ext uri="{53640926-AAD7-44D8-BBD7-CCE9431645EC}">
                        <a14:shadowObscured xmlns:a14="http://schemas.microsoft.com/office/drawing/2010/main"/>
                      </a:ext>
                    </a:extLst>
                  </pic:spPr>
                </pic:pic>
              </a:graphicData>
            </a:graphic>
          </wp:inline>
        </w:drawing>
      </w:r>
      <w:r w:rsidRPr="00FB5666">
        <w:rPr>
          <w:rFonts w:cs="Arial"/>
        </w:rPr>
        <w:drawing>
          <wp:inline distT="0" distB="0" distL="0" distR="0" wp14:anchorId="2D01E1FF" wp14:editId="438E7304">
            <wp:extent cx="3233203" cy="714898"/>
            <wp:effectExtent l="0" t="0" r="0" b="0"/>
            <wp:docPr id="4" name="Picture 2" descr="Melbourne Social Equity Institute logo, university of melbourne http://www.socialequity.unimelb.edu.au/wp-content/themes/msei/images/mse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ocialequity.unimelb.edu.au/wp-content/themes/msei/images/msei-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160" cy="752256"/>
                    </a:xfrm>
                    <a:prstGeom prst="rect">
                      <a:avLst/>
                    </a:prstGeom>
                    <a:noFill/>
                    <a:extLst/>
                  </pic:spPr>
                </pic:pic>
              </a:graphicData>
            </a:graphic>
          </wp:inline>
        </w:drawing>
      </w:r>
    </w:p>
    <w:p w14:paraId="3B3F5939" w14:textId="60A8DDF8" w:rsidR="0054338A" w:rsidRDefault="00421020" w:rsidP="00AC4E2D">
      <w:pPr>
        <w:pStyle w:val="Authors"/>
      </w:pPr>
      <w:r>
        <w:t>Funded jointly at the University of Melbourne by the Hallmark Disability Research Initiative and the Melbourne Social Equity Institute</w:t>
      </w:r>
      <w:r w:rsidR="0054338A">
        <w:br w:type="page"/>
      </w:r>
    </w:p>
    <w:p w14:paraId="5D305ADD" w14:textId="5A6B62DA" w:rsidR="001D06AA" w:rsidRDefault="001D06AA" w:rsidP="004701C0">
      <w:pPr>
        <w:jc w:val="center"/>
        <w:rPr>
          <w:b/>
        </w:rPr>
      </w:pPr>
      <w:r>
        <w:rPr>
          <w:b/>
        </w:rPr>
        <w:lastRenderedPageBreak/>
        <w:t>Disability Access to Justice Research Consortium – Member List</w:t>
      </w:r>
    </w:p>
    <w:p w14:paraId="45C15E98" w14:textId="77777777" w:rsidR="006D445B" w:rsidRDefault="006D445B" w:rsidP="004701C0">
      <w:pPr>
        <w:jc w:val="center"/>
        <w:rPr>
          <w:b/>
        </w:rPr>
      </w:pPr>
    </w:p>
    <w:tbl>
      <w:tblPr>
        <w:tblStyle w:val="TableGrid"/>
        <w:tblW w:w="92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3165"/>
        <w:gridCol w:w="3165"/>
      </w:tblGrid>
      <w:tr w:rsidR="004701C0" w:rsidRPr="00DE614F" w14:paraId="6F76A1B9" w14:textId="1B923D88" w:rsidTr="004701C0">
        <w:trPr>
          <w:trHeight w:val="6400"/>
          <w:jc w:val="center"/>
        </w:trPr>
        <w:tc>
          <w:tcPr>
            <w:tcW w:w="2913" w:type="dxa"/>
          </w:tcPr>
          <w:p w14:paraId="39B29D5B"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Anna</w:t>
            </w:r>
            <w:r w:rsidRPr="004701C0">
              <w:rPr>
                <w:rFonts w:cs="Times New Roman"/>
                <w:b/>
                <w:color w:val="000000"/>
                <w:sz w:val="20"/>
                <w:szCs w:val="20"/>
              </w:rPr>
              <w:t xml:space="preserve"> </w:t>
            </w:r>
            <w:r w:rsidRPr="004701C0">
              <w:rPr>
                <w:rFonts w:eastAsia="Calibri" w:cs="Times New Roman"/>
                <w:b/>
                <w:color w:val="000000"/>
                <w:sz w:val="20"/>
                <w:szCs w:val="20"/>
              </w:rPr>
              <w:t>Arstein</w:t>
            </w:r>
            <w:r w:rsidRPr="004701C0">
              <w:rPr>
                <w:rFonts w:cs="Times New Roman"/>
                <w:b/>
                <w:color w:val="000000"/>
                <w:sz w:val="20"/>
                <w:szCs w:val="20"/>
              </w:rPr>
              <w:t>-</w:t>
            </w:r>
            <w:r w:rsidRPr="004701C0">
              <w:rPr>
                <w:rFonts w:eastAsia="Calibri" w:cs="Times New Roman"/>
                <w:b/>
                <w:color w:val="000000"/>
                <w:sz w:val="20"/>
                <w:szCs w:val="20"/>
              </w:rPr>
              <w:t>Kerslake</w:t>
            </w:r>
          </w:p>
          <w:p w14:paraId="144B7FE8"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Melbourne</w:t>
            </w:r>
            <w:r>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Social</w:t>
            </w:r>
            <w:r w:rsidRPr="001D06AA">
              <w:rPr>
                <w:rFonts w:cs="Times New Roman"/>
                <w:i/>
                <w:color w:val="000000"/>
                <w:sz w:val="20"/>
                <w:szCs w:val="20"/>
              </w:rPr>
              <w:t xml:space="preserve"> </w:t>
            </w:r>
            <w:r w:rsidRPr="001D06AA">
              <w:rPr>
                <w:rFonts w:eastAsia="Calibri" w:cs="Times New Roman"/>
                <w:i/>
                <w:color w:val="000000"/>
                <w:sz w:val="20"/>
                <w:szCs w:val="20"/>
              </w:rPr>
              <w:t>Equity</w:t>
            </w:r>
            <w:r w:rsidRPr="001D06AA">
              <w:rPr>
                <w:rFonts w:cs="Times New Roman"/>
                <w:i/>
                <w:color w:val="000000"/>
                <w:sz w:val="20"/>
                <w:szCs w:val="20"/>
              </w:rPr>
              <w:t xml:space="preserve"> </w:t>
            </w:r>
            <w:r w:rsidRPr="001D06AA">
              <w:rPr>
                <w:rFonts w:eastAsia="Calibri" w:cs="Times New Roman"/>
                <w:i/>
                <w:color w:val="000000"/>
                <w:sz w:val="20"/>
                <w:szCs w:val="20"/>
              </w:rPr>
              <w:t>Institute</w:t>
            </w:r>
          </w:p>
          <w:p w14:paraId="2F76A493" w14:textId="77777777" w:rsidR="006D445B" w:rsidRDefault="006D445B" w:rsidP="006D445B">
            <w:pPr>
              <w:spacing w:after="0"/>
              <w:jc w:val="left"/>
              <w:rPr>
                <w:rFonts w:eastAsia="Calibri" w:cs="Times New Roman"/>
                <w:b/>
                <w:color w:val="000000"/>
                <w:sz w:val="20"/>
                <w:szCs w:val="20"/>
              </w:rPr>
            </w:pPr>
          </w:p>
          <w:p w14:paraId="2308AEE8"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Eileen</w:t>
            </w:r>
            <w:r w:rsidRPr="004701C0">
              <w:rPr>
                <w:rFonts w:cs="Times New Roman"/>
                <w:b/>
                <w:color w:val="000000"/>
                <w:sz w:val="20"/>
                <w:szCs w:val="20"/>
              </w:rPr>
              <w:t xml:space="preserve"> </w:t>
            </w:r>
            <w:r w:rsidRPr="004701C0">
              <w:rPr>
                <w:rFonts w:eastAsia="Calibri" w:cs="Times New Roman"/>
                <w:b/>
                <w:color w:val="000000"/>
                <w:sz w:val="20"/>
                <w:szCs w:val="20"/>
              </w:rPr>
              <w:t>Baldry</w:t>
            </w:r>
          </w:p>
          <w:p w14:paraId="5D53DC6E" w14:textId="45DCA02E" w:rsidR="006D445B" w:rsidRP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New</w:t>
            </w:r>
            <w:r w:rsidRPr="001D06AA">
              <w:rPr>
                <w:rFonts w:cs="Times New Roman"/>
                <w:i/>
                <w:color w:val="000000"/>
                <w:sz w:val="20"/>
                <w:szCs w:val="20"/>
              </w:rPr>
              <w:t xml:space="preserve"> </w:t>
            </w:r>
            <w:r w:rsidRPr="001D06AA">
              <w:rPr>
                <w:rFonts w:eastAsia="Calibri" w:cs="Times New Roman"/>
                <w:i/>
                <w:color w:val="000000"/>
                <w:sz w:val="20"/>
                <w:szCs w:val="20"/>
              </w:rPr>
              <w:t>South</w:t>
            </w:r>
            <w:r w:rsidRPr="001D06AA">
              <w:rPr>
                <w:rFonts w:cs="Times New Roman"/>
                <w:i/>
                <w:color w:val="000000"/>
                <w:sz w:val="20"/>
                <w:szCs w:val="20"/>
              </w:rPr>
              <w:t xml:space="preserve"> </w:t>
            </w:r>
            <w:r w:rsidRPr="001D06AA">
              <w:rPr>
                <w:rFonts w:eastAsia="Calibri" w:cs="Times New Roman"/>
                <w:i/>
                <w:color w:val="000000"/>
                <w:sz w:val="20"/>
                <w:szCs w:val="20"/>
              </w:rPr>
              <w:t>Wales</w:t>
            </w:r>
          </w:p>
          <w:p w14:paraId="753C3D4D" w14:textId="77777777" w:rsidR="006D445B" w:rsidRDefault="006D445B" w:rsidP="006D445B">
            <w:pPr>
              <w:spacing w:after="0"/>
              <w:jc w:val="left"/>
              <w:rPr>
                <w:rFonts w:eastAsia="Calibri" w:cs="Times New Roman"/>
                <w:b/>
                <w:color w:val="000000"/>
                <w:sz w:val="20"/>
                <w:szCs w:val="20"/>
              </w:rPr>
            </w:pPr>
          </w:p>
          <w:p w14:paraId="3F36CB4F"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Robin</w:t>
            </w:r>
            <w:r w:rsidRPr="004701C0">
              <w:rPr>
                <w:rFonts w:cs="Times New Roman"/>
                <w:b/>
                <w:color w:val="000000"/>
                <w:sz w:val="20"/>
                <w:szCs w:val="20"/>
              </w:rPr>
              <w:t xml:space="preserve"> </w:t>
            </w:r>
            <w:r w:rsidRPr="004701C0">
              <w:rPr>
                <w:rFonts w:eastAsia="Calibri" w:cs="Times New Roman"/>
                <w:b/>
                <w:color w:val="000000"/>
                <w:sz w:val="20"/>
                <w:szCs w:val="20"/>
              </w:rPr>
              <w:t>Banks</w:t>
            </w:r>
          </w:p>
          <w:p w14:paraId="34226922"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Former</w:t>
            </w:r>
            <w:r w:rsidRPr="001D06AA">
              <w:rPr>
                <w:rFonts w:cs="Times New Roman"/>
                <w:i/>
                <w:color w:val="000000"/>
                <w:sz w:val="20"/>
                <w:szCs w:val="20"/>
              </w:rPr>
              <w:t xml:space="preserve"> </w:t>
            </w:r>
            <w:r w:rsidRPr="001D06AA">
              <w:rPr>
                <w:rFonts w:eastAsia="Calibri" w:cs="Times New Roman"/>
                <w:i/>
                <w:color w:val="000000"/>
                <w:sz w:val="20"/>
                <w:szCs w:val="20"/>
              </w:rPr>
              <w:t>Anti</w:t>
            </w:r>
            <w:r w:rsidRPr="001D06AA">
              <w:rPr>
                <w:rFonts w:cs="Times New Roman"/>
                <w:i/>
                <w:color w:val="000000"/>
                <w:sz w:val="20"/>
                <w:szCs w:val="20"/>
              </w:rPr>
              <w:t>-</w:t>
            </w:r>
            <w:r w:rsidRPr="001D06AA">
              <w:rPr>
                <w:rFonts w:eastAsia="Calibri" w:cs="Times New Roman"/>
                <w:i/>
                <w:color w:val="000000"/>
                <w:sz w:val="20"/>
                <w:szCs w:val="20"/>
              </w:rPr>
              <w:t>Discrimination</w:t>
            </w:r>
            <w:r w:rsidRPr="001D06AA">
              <w:rPr>
                <w:rFonts w:cs="Times New Roman"/>
                <w:i/>
                <w:color w:val="000000"/>
                <w:sz w:val="20"/>
                <w:szCs w:val="20"/>
              </w:rPr>
              <w:t xml:space="preserve"> </w:t>
            </w:r>
            <w:r w:rsidRPr="001D06AA">
              <w:rPr>
                <w:rFonts w:eastAsia="Calibri" w:cs="Times New Roman"/>
                <w:i/>
                <w:color w:val="000000"/>
                <w:sz w:val="20"/>
                <w:szCs w:val="20"/>
              </w:rPr>
              <w:t>Commissioner</w:t>
            </w:r>
            <w:r w:rsidRPr="001D06AA">
              <w:rPr>
                <w:rFonts w:cs="Times New Roman"/>
                <w:i/>
                <w:color w:val="000000"/>
                <w:sz w:val="20"/>
                <w:szCs w:val="20"/>
              </w:rPr>
              <w:t xml:space="preserve"> (</w:t>
            </w:r>
            <w:r w:rsidRPr="001D06AA">
              <w:rPr>
                <w:rFonts w:eastAsia="Calibri" w:cs="Times New Roman"/>
                <w:i/>
                <w:color w:val="000000"/>
                <w:sz w:val="20"/>
                <w:szCs w:val="20"/>
              </w:rPr>
              <w:t>Tasmania</w:t>
            </w:r>
            <w:r w:rsidRPr="001D06AA">
              <w:rPr>
                <w:rFonts w:cs="Times New Roman"/>
                <w:i/>
                <w:color w:val="000000"/>
                <w:sz w:val="20"/>
                <w:szCs w:val="20"/>
              </w:rPr>
              <w:t xml:space="preserve">)/ </w:t>
            </w: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Tasmania</w:t>
            </w:r>
            <w:r w:rsidRPr="001D06AA">
              <w:rPr>
                <w:rFonts w:cs="Times New Roman"/>
                <w:i/>
                <w:color w:val="000000"/>
                <w:sz w:val="20"/>
                <w:szCs w:val="20"/>
              </w:rPr>
              <w:t xml:space="preserve">/ </w:t>
            </w:r>
            <w:r w:rsidRPr="001D06AA">
              <w:rPr>
                <w:rFonts w:eastAsia="Calibri" w:cs="Times New Roman"/>
                <w:i/>
                <w:color w:val="000000"/>
                <w:sz w:val="20"/>
                <w:szCs w:val="20"/>
              </w:rPr>
              <w:t>MSEI</w:t>
            </w:r>
          </w:p>
          <w:p w14:paraId="179B3B04" w14:textId="77777777" w:rsidR="006D445B" w:rsidRDefault="006D445B" w:rsidP="006D445B">
            <w:pPr>
              <w:spacing w:after="0"/>
              <w:jc w:val="left"/>
              <w:rPr>
                <w:rFonts w:eastAsia="Calibri" w:cs="Times New Roman"/>
                <w:i/>
                <w:color w:val="000000"/>
                <w:sz w:val="20"/>
                <w:szCs w:val="20"/>
              </w:rPr>
            </w:pPr>
          </w:p>
          <w:p w14:paraId="137ACB95"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Harry</w:t>
            </w:r>
            <w:r w:rsidRPr="004701C0">
              <w:rPr>
                <w:rFonts w:cs="Times New Roman"/>
                <w:b/>
                <w:color w:val="000000"/>
                <w:sz w:val="20"/>
                <w:szCs w:val="20"/>
              </w:rPr>
              <w:t xml:space="preserve"> </w:t>
            </w:r>
            <w:r w:rsidRPr="004701C0">
              <w:rPr>
                <w:rFonts w:eastAsia="Calibri" w:cs="Times New Roman"/>
                <w:b/>
                <w:color w:val="000000"/>
                <w:sz w:val="20"/>
                <w:szCs w:val="20"/>
              </w:rPr>
              <w:t>Blagg</w:t>
            </w:r>
          </w:p>
          <w:p w14:paraId="68E0BE10"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Western</w:t>
            </w:r>
            <w:r w:rsidRPr="004701C0">
              <w:rPr>
                <w:rFonts w:cs="Times New Roman"/>
                <w:i/>
                <w:color w:val="000000"/>
                <w:sz w:val="20"/>
                <w:szCs w:val="20"/>
              </w:rPr>
              <w:t xml:space="preserve"> </w:t>
            </w:r>
            <w:r w:rsidRPr="004701C0">
              <w:rPr>
                <w:rFonts w:eastAsia="Calibri" w:cs="Times New Roman"/>
                <w:i/>
                <w:color w:val="000000"/>
                <w:sz w:val="20"/>
                <w:szCs w:val="20"/>
              </w:rPr>
              <w:t>Australia</w:t>
            </w:r>
          </w:p>
          <w:p w14:paraId="7B7F7D82" w14:textId="77777777" w:rsidR="006D445B" w:rsidRDefault="006D445B" w:rsidP="006D445B">
            <w:pPr>
              <w:spacing w:after="0"/>
              <w:jc w:val="left"/>
              <w:rPr>
                <w:rFonts w:eastAsia="Calibri" w:cs="Times New Roman"/>
                <w:i/>
                <w:color w:val="000000"/>
                <w:sz w:val="20"/>
                <w:szCs w:val="20"/>
              </w:rPr>
            </w:pPr>
          </w:p>
          <w:p w14:paraId="221DDB3E"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Robyn</w:t>
            </w:r>
            <w:r w:rsidRPr="004701C0">
              <w:rPr>
                <w:rFonts w:cs="Times New Roman"/>
                <w:b/>
                <w:color w:val="000000"/>
                <w:sz w:val="20"/>
                <w:szCs w:val="20"/>
              </w:rPr>
              <w:t xml:space="preserve"> </w:t>
            </w:r>
            <w:r w:rsidRPr="004701C0">
              <w:rPr>
                <w:rFonts w:eastAsia="Calibri" w:cs="Times New Roman"/>
                <w:b/>
                <w:color w:val="000000"/>
                <w:sz w:val="20"/>
                <w:szCs w:val="20"/>
              </w:rPr>
              <w:t>Blewer</w:t>
            </w:r>
          </w:p>
          <w:p w14:paraId="6E70ABA4"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Griffith</w:t>
            </w:r>
            <w:r w:rsidRPr="004701C0">
              <w:rPr>
                <w:rFonts w:cs="Times New Roman"/>
                <w:i/>
                <w:color w:val="000000"/>
                <w:sz w:val="20"/>
                <w:szCs w:val="20"/>
              </w:rPr>
              <w:t xml:space="preserve"> </w:t>
            </w:r>
            <w:r w:rsidRPr="004701C0">
              <w:rPr>
                <w:rFonts w:eastAsia="Calibri" w:cs="Times New Roman"/>
                <w:i/>
                <w:color w:val="000000"/>
                <w:sz w:val="20"/>
                <w:szCs w:val="20"/>
              </w:rPr>
              <w:t>University</w:t>
            </w:r>
          </w:p>
          <w:p w14:paraId="64FEE82C" w14:textId="77777777" w:rsidR="006D445B" w:rsidRDefault="006D445B" w:rsidP="006D445B">
            <w:pPr>
              <w:spacing w:after="0"/>
              <w:jc w:val="left"/>
              <w:rPr>
                <w:rFonts w:eastAsia="Calibri" w:cs="Times New Roman"/>
                <w:i/>
                <w:color w:val="000000"/>
                <w:sz w:val="20"/>
                <w:szCs w:val="20"/>
              </w:rPr>
            </w:pPr>
          </w:p>
          <w:p w14:paraId="3833CB61"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Kate</w:t>
            </w:r>
            <w:r w:rsidRPr="004701C0">
              <w:rPr>
                <w:rFonts w:cs="Times New Roman"/>
                <w:b/>
                <w:color w:val="000000"/>
                <w:sz w:val="20"/>
                <w:szCs w:val="20"/>
              </w:rPr>
              <w:t xml:space="preserve"> </w:t>
            </w:r>
            <w:r w:rsidRPr="004701C0">
              <w:rPr>
                <w:rFonts w:eastAsia="Calibri" w:cs="Times New Roman"/>
                <w:b/>
                <w:color w:val="000000"/>
                <w:sz w:val="20"/>
                <w:szCs w:val="20"/>
              </w:rPr>
              <w:t>Brown</w:t>
            </w:r>
          </w:p>
          <w:p w14:paraId="360E1CD5"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Office</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the</w:t>
            </w:r>
            <w:r w:rsidRPr="004701C0">
              <w:rPr>
                <w:rFonts w:cs="Times New Roman"/>
                <w:i/>
                <w:color w:val="000000"/>
                <w:sz w:val="20"/>
                <w:szCs w:val="20"/>
              </w:rPr>
              <w:t xml:space="preserve"> </w:t>
            </w:r>
            <w:r w:rsidRPr="004701C0">
              <w:rPr>
                <w:rFonts w:eastAsia="Calibri" w:cs="Times New Roman"/>
                <w:i/>
                <w:color w:val="000000"/>
                <w:sz w:val="20"/>
                <w:szCs w:val="20"/>
              </w:rPr>
              <w:t>DPP</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Law</w:t>
            </w:r>
            <w:r w:rsidRPr="004701C0">
              <w:rPr>
                <w:rFonts w:cs="Times New Roman"/>
                <w:i/>
                <w:color w:val="000000"/>
                <w:sz w:val="20"/>
                <w:szCs w:val="20"/>
              </w:rPr>
              <w:t xml:space="preserve"> </w:t>
            </w:r>
            <w:r w:rsidRPr="004701C0">
              <w:rPr>
                <w:rFonts w:eastAsia="Calibri" w:cs="Times New Roman"/>
                <w:i/>
                <w:color w:val="000000"/>
                <w:sz w:val="20"/>
                <w:szCs w:val="20"/>
              </w:rPr>
              <w:t>Reform</w:t>
            </w:r>
            <w:r w:rsidRPr="004701C0">
              <w:rPr>
                <w:rFonts w:cs="Times New Roman"/>
                <w:i/>
                <w:color w:val="000000"/>
                <w:sz w:val="20"/>
                <w:szCs w:val="20"/>
              </w:rPr>
              <w:t xml:space="preserve"> </w:t>
            </w:r>
            <w:r w:rsidRPr="004701C0">
              <w:rPr>
                <w:rFonts w:eastAsia="Calibri" w:cs="Times New Roman"/>
                <w:i/>
                <w:color w:val="000000"/>
                <w:sz w:val="20"/>
                <w:szCs w:val="20"/>
              </w:rPr>
              <w:t>Institute</w:t>
            </w:r>
          </w:p>
          <w:p w14:paraId="6876FF7A" w14:textId="77777777" w:rsidR="006D445B" w:rsidRDefault="006D445B" w:rsidP="006D445B">
            <w:pPr>
              <w:spacing w:after="0"/>
              <w:jc w:val="left"/>
              <w:rPr>
                <w:rFonts w:eastAsia="Calibri" w:cs="Times New Roman"/>
                <w:i/>
                <w:color w:val="000000"/>
                <w:sz w:val="20"/>
                <w:szCs w:val="20"/>
              </w:rPr>
            </w:pPr>
          </w:p>
          <w:p w14:paraId="1551B5D0"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David</w:t>
            </w:r>
            <w:r w:rsidRPr="004701C0">
              <w:rPr>
                <w:rFonts w:cs="Times New Roman"/>
                <w:b/>
                <w:color w:val="000000"/>
                <w:sz w:val="20"/>
                <w:szCs w:val="20"/>
              </w:rPr>
              <w:t xml:space="preserve"> </w:t>
            </w:r>
            <w:r w:rsidRPr="004701C0">
              <w:rPr>
                <w:rFonts w:eastAsia="Calibri" w:cs="Times New Roman"/>
                <w:b/>
                <w:color w:val="000000"/>
                <w:sz w:val="20"/>
                <w:szCs w:val="20"/>
              </w:rPr>
              <w:t>Caruso</w:t>
            </w:r>
          </w:p>
          <w:p w14:paraId="7AB8BBAF"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Adelaide</w:t>
            </w:r>
            <w:r w:rsidRPr="001D06AA">
              <w:rPr>
                <w:rFonts w:cs="Times New Roman"/>
                <w:i/>
                <w:color w:val="000000"/>
                <w:sz w:val="20"/>
                <w:szCs w:val="20"/>
              </w:rPr>
              <w:t xml:space="preserve">/ </w:t>
            </w:r>
            <w:r w:rsidRPr="001D06AA">
              <w:rPr>
                <w:rFonts w:eastAsia="Calibri" w:cs="Times New Roman"/>
                <w:i/>
                <w:color w:val="000000"/>
                <w:sz w:val="20"/>
                <w:szCs w:val="20"/>
              </w:rPr>
              <w:t>Law</w:t>
            </w:r>
            <w:r w:rsidRPr="001D06AA">
              <w:rPr>
                <w:rFonts w:cs="Times New Roman"/>
                <w:i/>
                <w:color w:val="000000"/>
                <w:sz w:val="20"/>
                <w:szCs w:val="20"/>
              </w:rPr>
              <w:t xml:space="preserve"> </w:t>
            </w:r>
            <w:r w:rsidRPr="001D06AA">
              <w:rPr>
                <w:rFonts w:eastAsia="Calibri" w:cs="Times New Roman"/>
                <w:i/>
                <w:color w:val="000000"/>
                <w:sz w:val="20"/>
                <w:szCs w:val="20"/>
              </w:rPr>
              <w:t>Society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South</w:t>
            </w:r>
            <w:r w:rsidRPr="001D06AA">
              <w:rPr>
                <w:rFonts w:cs="Times New Roman"/>
                <w:i/>
                <w:color w:val="000000"/>
                <w:sz w:val="20"/>
                <w:szCs w:val="20"/>
              </w:rPr>
              <w:t xml:space="preserve"> </w:t>
            </w:r>
            <w:r w:rsidRPr="001D06AA">
              <w:rPr>
                <w:rFonts w:eastAsia="Calibri" w:cs="Times New Roman"/>
                <w:i/>
                <w:color w:val="000000"/>
                <w:sz w:val="20"/>
                <w:szCs w:val="20"/>
              </w:rPr>
              <w:t>Australia</w:t>
            </w:r>
          </w:p>
          <w:p w14:paraId="5B137A8F" w14:textId="77777777" w:rsidR="006D445B" w:rsidRDefault="006D445B" w:rsidP="006D445B">
            <w:pPr>
              <w:spacing w:after="0"/>
              <w:jc w:val="left"/>
              <w:rPr>
                <w:rFonts w:eastAsia="Calibri" w:cs="Times New Roman"/>
                <w:i/>
                <w:color w:val="000000"/>
                <w:sz w:val="20"/>
                <w:szCs w:val="20"/>
              </w:rPr>
            </w:pPr>
          </w:p>
          <w:p w14:paraId="04DE4395"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Helen</w:t>
            </w:r>
            <w:r w:rsidRPr="004701C0">
              <w:rPr>
                <w:rFonts w:cs="Times New Roman"/>
                <w:b/>
                <w:color w:val="000000"/>
                <w:sz w:val="20"/>
                <w:szCs w:val="20"/>
              </w:rPr>
              <w:t xml:space="preserve"> </w:t>
            </w:r>
            <w:r w:rsidRPr="004701C0">
              <w:rPr>
                <w:rFonts w:eastAsia="Calibri" w:cs="Times New Roman"/>
                <w:b/>
                <w:color w:val="000000"/>
                <w:sz w:val="20"/>
                <w:szCs w:val="20"/>
              </w:rPr>
              <w:t>Cockburn</w:t>
            </w:r>
          </w:p>
          <w:p w14:paraId="5DD36DD0"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w:t>
            </w:r>
            <w:r>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Law</w:t>
            </w:r>
            <w:r w:rsidRPr="004701C0">
              <w:rPr>
                <w:rFonts w:cs="Times New Roman"/>
                <w:i/>
                <w:color w:val="000000"/>
                <w:sz w:val="20"/>
                <w:szCs w:val="20"/>
              </w:rPr>
              <w:t xml:space="preserve"> </w:t>
            </w:r>
            <w:r w:rsidRPr="004701C0">
              <w:rPr>
                <w:rFonts w:eastAsia="Calibri" w:cs="Times New Roman"/>
                <w:i/>
                <w:color w:val="000000"/>
                <w:sz w:val="20"/>
                <w:szCs w:val="20"/>
              </w:rPr>
              <w:t>Reform</w:t>
            </w:r>
            <w:r w:rsidRPr="004701C0">
              <w:rPr>
                <w:rFonts w:cs="Times New Roman"/>
                <w:i/>
                <w:color w:val="000000"/>
                <w:sz w:val="20"/>
                <w:szCs w:val="20"/>
              </w:rPr>
              <w:t xml:space="preserve"> </w:t>
            </w:r>
            <w:r w:rsidRPr="004701C0">
              <w:rPr>
                <w:rFonts w:eastAsia="Calibri" w:cs="Times New Roman"/>
                <w:i/>
                <w:color w:val="000000"/>
                <w:sz w:val="20"/>
                <w:szCs w:val="20"/>
              </w:rPr>
              <w:t>Institute</w:t>
            </w:r>
          </w:p>
          <w:p w14:paraId="1328B7BB" w14:textId="77777777" w:rsidR="006D445B" w:rsidRDefault="006D445B" w:rsidP="006D445B">
            <w:pPr>
              <w:spacing w:after="0"/>
              <w:jc w:val="left"/>
              <w:rPr>
                <w:rFonts w:eastAsia="Calibri" w:cs="Times New Roman"/>
                <w:b/>
                <w:color w:val="000000"/>
                <w:sz w:val="20"/>
                <w:szCs w:val="20"/>
              </w:rPr>
            </w:pPr>
          </w:p>
          <w:p w14:paraId="09E78D67"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Elizabeth</w:t>
            </w:r>
            <w:r w:rsidRPr="004701C0">
              <w:rPr>
                <w:rFonts w:cs="Times New Roman"/>
                <w:b/>
                <w:color w:val="000000"/>
                <w:sz w:val="20"/>
                <w:szCs w:val="20"/>
              </w:rPr>
              <w:t xml:space="preserve"> </w:t>
            </w:r>
            <w:r w:rsidRPr="004701C0">
              <w:rPr>
                <w:rFonts w:eastAsia="Calibri" w:cs="Times New Roman"/>
                <w:b/>
                <w:color w:val="000000"/>
                <w:sz w:val="20"/>
                <w:szCs w:val="20"/>
              </w:rPr>
              <w:t>Dearn</w:t>
            </w:r>
          </w:p>
          <w:p w14:paraId="13286018" w14:textId="77777777" w:rsidR="006D445B" w:rsidRDefault="006D445B" w:rsidP="006D445B">
            <w:pPr>
              <w:spacing w:after="0"/>
              <w:jc w:val="left"/>
              <w:rPr>
                <w:rFonts w:cs="Times New Roman"/>
                <w:i/>
                <w:color w:val="000000"/>
                <w:sz w:val="20"/>
                <w:szCs w:val="20"/>
              </w:rPr>
            </w:pPr>
            <w:r w:rsidRPr="006D445B">
              <w:rPr>
                <w:rFonts w:eastAsia="Calibri" w:cs="Times New Roman"/>
                <w:i/>
                <w:color w:val="000000"/>
                <w:sz w:val="20"/>
                <w:szCs w:val="20"/>
              </w:rPr>
              <w:t>RMIT</w:t>
            </w:r>
            <w:r w:rsidRPr="006D445B">
              <w:rPr>
                <w:rFonts w:cs="Times New Roman"/>
                <w:i/>
                <w:color w:val="000000"/>
                <w:sz w:val="20"/>
                <w:szCs w:val="20"/>
              </w:rPr>
              <w:t xml:space="preserve"> University </w:t>
            </w:r>
          </w:p>
          <w:p w14:paraId="75B3B304" w14:textId="77777777" w:rsidR="006D445B" w:rsidRDefault="006D445B" w:rsidP="006D445B">
            <w:pPr>
              <w:spacing w:after="0"/>
              <w:jc w:val="left"/>
              <w:rPr>
                <w:rFonts w:eastAsia="Calibri" w:cs="Times New Roman"/>
                <w:b/>
                <w:color w:val="000000"/>
                <w:sz w:val="20"/>
                <w:szCs w:val="20"/>
              </w:rPr>
            </w:pPr>
          </w:p>
          <w:p w14:paraId="04F56C83"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Kate</w:t>
            </w:r>
            <w:r w:rsidRPr="004701C0">
              <w:rPr>
                <w:rFonts w:cs="Times New Roman"/>
                <w:b/>
                <w:color w:val="000000"/>
                <w:sz w:val="20"/>
                <w:szCs w:val="20"/>
              </w:rPr>
              <w:t xml:space="preserve"> </w:t>
            </w:r>
            <w:r w:rsidRPr="004701C0">
              <w:rPr>
                <w:rFonts w:eastAsia="Calibri" w:cs="Times New Roman"/>
                <w:b/>
                <w:color w:val="000000"/>
                <w:sz w:val="20"/>
                <w:szCs w:val="20"/>
              </w:rPr>
              <w:t>Diesfield</w:t>
            </w:r>
          </w:p>
          <w:p w14:paraId="565094BC"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Auckland</w:t>
            </w:r>
            <w:r w:rsidRPr="004701C0">
              <w:rPr>
                <w:rFonts w:cs="Times New Roman"/>
                <w:i/>
                <w:color w:val="000000"/>
                <w:sz w:val="20"/>
                <w:szCs w:val="20"/>
              </w:rPr>
              <w:t xml:space="preserve"> </w:t>
            </w: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Technology</w:t>
            </w:r>
          </w:p>
          <w:p w14:paraId="2F5FB026" w14:textId="77777777" w:rsidR="006D445B" w:rsidRDefault="006D445B" w:rsidP="006D445B">
            <w:pPr>
              <w:spacing w:after="0"/>
              <w:jc w:val="left"/>
              <w:rPr>
                <w:rFonts w:eastAsia="Calibri" w:cs="Times New Roman"/>
                <w:b/>
                <w:color w:val="000000"/>
                <w:sz w:val="20"/>
                <w:szCs w:val="20"/>
              </w:rPr>
            </w:pPr>
          </w:p>
          <w:p w14:paraId="44CFD4B9"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Angela</w:t>
            </w:r>
            <w:r w:rsidRPr="004701C0">
              <w:rPr>
                <w:rFonts w:cs="Times New Roman"/>
                <w:b/>
                <w:color w:val="000000"/>
                <w:sz w:val="20"/>
                <w:szCs w:val="20"/>
              </w:rPr>
              <w:t xml:space="preserve"> </w:t>
            </w:r>
            <w:r w:rsidRPr="004701C0">
              <w:rPr>
                <w:rFonts w:eastAsia="Calibri" w:cs="Times New Roman"/>
                <w:b/>
                <w:color w:val="000000"/>
                <w:sz w:val="20"/>
                <w:szCs w:val="20"/>
              </w:rPr>
              <w:t>Dwyer</w:t>
            </w:r>
          </w:p>
          <w:p w14:paraId="3933CE36" w14:textId="7420A2A8"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Tasmanian</w:t>
            </w:r>
            <w:r w:rsidRPr="004701C0">
              <w:rPr>
                <w:rFonts w:cs="Times New Roman"/>
                <w:i/>
                <w:color w:val="000000"/>
                <w:sz w:val="20"/>
                <w:szCs w:val="20"/>
              </w:rPr>
              <w:t xml:space="preserve"> </w:t>
            </w:r>
            <w:r w:rsidRPr="004701C0">
              <w:rPr>
                <w:rFonts w:eastAsia="Calibri" w:cs="Times New Roman"/>
                <w:i/>
                <w:color w:val="000000"/>
                <w:sz w:val="20"/>
                <w:szCs w:val="20"/>
              </w:rPr>
              <w:t>Institute</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Law</w:t>
            </w:r>
            <w:r w:rsidRPr="004701C0">
              <w:rPr>
                <w:rFonts w:cs="Times New Roman"/>
                <w:i/>
                <w:color w:val="000000"/>
                <w:sz w:val="20"/>
                <w:szCs w:val="20"/>
              </w:rPr>
              <w:t xml:space="preserve"> </w:t>
            </w:r>
            <w:r w:rsidRPr="004701C0">
              <w:rPr>
                <w:rFonts w:eastAsia="Calibri" w:cs="Times New Roman"/>
                <w:i/>
                <w:color w:val="000000"/>
                <w:sz w:val="20"/>
                <w:szCs w:val="20"/>
              </w:rPr>
              <w:t>Enforcement</w:t>
            </w:r>
            <w:r w:rsidRPr="004701C0">
              <w:rPr>
                <w:rFonts w:cs="Times New Roman"/>
                <w:i/>
                <w:color w:val="000000"/>
                <w:sz w:val="20"/>
                <w:szCs w:val="20"/>
              </w:rPr>
              <w:t xml:space="preserve"> </w:t>
            </w:r>
            <w:r w:rsidRPr="004701C0">
              <w:rPr>
                <w:rFonts w:eastAsia="Calibri" w:cs="Times New Roman"/>
                <w:i/>
                <w:color w:val="000000"/>
                <w:sz w:val="20"/>
                <w:szCs w:val="20"/>
              </w:rPr>
              <w:t>Studies</w:t>
            </w:r>
          </w:p>
          <w:p w14:paraId="00996BAC" w14:textId="77777777" w:rsidR="006D445B" w:rsidRDefault="006D445B" w:rsidP="004701C0">
            <w:pPr>
              <w:spacing w:after="0"/>
              <w:jc w:val="left"/>
              <w:rPr>
                <w:rFonts w:eastAsia="Calibri" w:cs="Times New Roman"/>
                <w:b/>
                <w:color w:val="000000"/>
                <w:sz w:val="20"/>
                <w:szCs w:val="20"/>
              </w:rPr>
            </w:pPr>
          </w:p>
          <w:p w14:paraId="56E00554"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Piers</w:t>
            </w:r>
            <w:r w:rsidRPr="004701C0">
              <w:rPr>
                <w:rFonts w:cs="Times New Roman"/>
                <w:b/>
                <w:color w:val="000000"/>
                <w:sz w:val="20"/>
                <w:szCs w:val="20"/>
              </w:rPr>
              <w:t xml:space="preserve"> </w:t>
            </w:r>
            <w:r w:rsidRPr="004701C0">
              <w:rPr>
                <w:rFonts w:eastAsia="Calibri" w:cs="Times New Roman"/>
                <w:b/>
                <w:color w:val="000000"/>
                <w:sz w:val="20"/>
                <w:szCs w:val="20"/>
              </w:rPr>
              <w:t>Gooding</w:t>
            </w:r>
          </w:p>
          <w:p w14:paraId="6B394D57"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Social</w:t>
            </w:r>
            <w:r w:rsidRPr="001D06AA">
              <w:rPr>
                <w:rFonts w:cs="Times New Roman"/>
                <w:i/>
                <w:color w:val="000000"/>
                <w:sz w:val="20"/>
                <w:szCs w:val="20"/>
              </w:rPr>
              <w:t xml:space="preserve"> </w:t>
            </w:r>
            <w:r w:rsidRPr="001D06AA">
              <w:rPr>
                <w:rFonts w:eastAsia="Calibri" w:cs="Times New Roman"/>
                <w:i/>
                <w:color w:val="000000"/>
                <w:sz w:val="20"/>
                <w:szCs w:val="20"/>
              </w:rPr>
              <w:t>Equity</w:t>
            </w:r>
            <w:r w:rsidRPr="001D06AA">
              <w:rPr>
                <w:rFonts w:cs="Times New Roman"/>
                <w:i/>
                <w:color w:val="000000"/>
                <w:sz w:val="20"/>
                <w:szCs w:val="20"/>
              </w:rPr>
              <w:t xml:space="preserve"> </w:t>
            </w:r>
            <w:r w:rsidRPr="001D06AA">
              <w:rPr>
                <w:rFonts w:eastAsia="Calibri" w:cs="Times New Roman"/>
                <w:i/>
                <w:color w:val="000000"/>
                <w:sz w:val="20"/>
                <w:szCs w:val="20"/>
              </w:rPr>
              <w:t>Institute</w:t>
            </w:r>
          </w:p>
          <w:p w14:paraId="56B9B522" w14:textId="77777777" w:rsidR="006D445B" w:rsidRDefault="006D445B" w:rsidP="006D445B">
            <w:pPr>
              <w:spacing w:after="0"/>
              <w:jc w:val="left"/>
              <w:rPr>
                <w:rFonts w:eastAsia="Calibri" w:cs="Times New Roman"/>
                <w:i/>
                <w:color w:val="000000"/>
                <w:sz w:val="20"/>
                <w:szCs w:val="20"/>
              </w:rPr>
            </w:pPr>
          </w:p>
          <w:p w14:paraId="59FD7910"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Kirsten</w:t>
            </w:r>
            <w:r w:rsidRPr="004701C0">
              <w:rPr>
                <w:rFonts w:cs="Times New Roman"/>
                <w:b/>
                <w:color w:val="000000"/>
                <w:sz w:val="20"/>
                <w:szCs w:val="20"/>
              </w:rPr>
              <w:t xml:space="preserve"> </w:t>
            </w:r>
            <w:r w:rsidRPr="004701C0">
              <w:rPr>
                <w:rFonts w:eastAsia="Calibri" w:cs="Times New Roman"/>
                <w:b/>
                <w:color w:val="000000"/>
                <w:sz w:val="20"/>
                <w:szCs w:val="20"/>
              </w:rPr>
              <w:t>Hanna</w:t>
            </w:r>
          </w:p>
          <w:p w14:paraId="2D66C0C1" w14:textId="4784B842"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Auckland</w:t>
            </w:r>
            <w:r w:rsidRPr="004701C0">
              <w:rPr>
                <w:rFonts w:cs="Times New Roman"/>
                <w:i/>
                <w:color w:val="000000"/>
                <w:sz w:val="20"/>
                <w:szCs w:val="20"/>
              </w:rPr>
              <w:t xml:space="preserve"> </w:t>
            </w: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Technology</w:t>
            </w:r>
          </w:p>
          <w:p w14:paraId="18C4567D" w14:textId="77777777" w:rsidR="006D445B" w:rsidRDefault="006D445B" w:rsidP="004701C0">
            <w:pPr>
              <w:spacing w:after="0"/>
              <w:jc w:val="left"/>
              <w:rPr>
                <w:rFonts w:eastAsia="Calibri" w:cs="Times New Roman"/>
                <w:b/>
                <w:color w:val="000000"/>
                <w:sz w:val="20"/>
                <w:szCs w:val="20"/>
              </w:rPr>
            </w:pPr>
          </w:p>
          <w:p w14:paraId="4FA73F2A" w14:textId="77777777" w:rsidR="004701C0" w:rsidRPr="004701C0" w:rsidRDefault="004701C0" w:rsidP="004701C0">
            <w:pPr>
              <w:spacing w:after="0"/>
              <w:jc w:val="left"/>
              <w:rPr>
                <w:rFonts w:eastAsia="Calibri" w:cs="Times New Roman"/>
                <w:i/>
                <w:color w:val="000000"/>
                <w:sz w:val="20"/>
                <w:szCs w:val="20"/>
              </w:rPr>
            </w:pPr>
          </w:p>
          <w:p w14:paraId="245BE553" w14:textId="51D35FA1" w:rsidR="004701C0" w:rsidRPr="001D06AA" w:rsidRDefault="004701C0" w:rsidP="004701C0">
            <w:pPr>
              <w:spacing w:after="0"/>
              <w:jc w:val="left"/>
              <w:rPr>
                <w:i/>
              </w:rPr>
            </w:pPr>
          </w:p>
        </w:tc>
        <w:tc>
          <w:tcPr>
            <w:tcW w:w="3165" w:type="dxa"/>
          </w:tcPr>
          <w:p w14:paraId="249B1BC0"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Emily</w:t>
            </w:r>
            <w:r w:rsidRPr="004701C0">
              <w:rPr>
                <w:rFonts w:cs="Times New Roman"/>
                <w:b/>
                <w:color w:val="000000"/>
                <w:sz w:val="20"/>
                <w:szCs w:val="20"/>
              </w:rPr>
              <w:t xml:space="preserve"> </w:t>
            </w:r>
            <w:r w:rsidRPr="004701C0">
              <w:rPr>
                <w:rFonts w:eastAsia="Calibri" w:cs="Times New Roman"/>
                <w:b/>
                <w:color w:val="000000"/>
                <w:sz w:val="20"/>
                <w:szCs w:val="20"/>
              </w:rPr>
              <w:t>Henderson</w:t>
            </w:r>
          </w:p>
          <w:p w14:paraId="6D844F6B"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Henderson</w:t>
            </w:r>
            <w:r w:rsidRPr="004701C0">
              <w:rPr>
                <w:rFonts w:cs="Times New Roman"/>
                <w:i/>
                <w:color w:val="000000"/>
                <w:sz w:val="20"/>
                <w:szCs w:val="20"/>
              </w:rPr>
              <w:t xml:space="preserve"> </w:t>
            </w:r>
            <w:r w:rsidRPr="004701C0">
              <w:rPr>
                <w:rFonts w:eastAsia="Calibri" w:cs="Times New Roman"/>
                <w:i/>
                <w:color w:val="000000"/>
                <w:sz w:val="20"/>
                <w:szCs w:val="20"/>
              </w:rPr>
              <w:t>Reeves</w:t>
            </w:r>
          </w:p>
          <w:p w14:paraId="41884A67" w14:textId="77777777" w:rsidR="006D445B" w:rsidRDefault="006D445B" w:rsidP="006D445B">
            <w:pPr>
              <w:spacing w:after="0"/>
              <w:jc w:val="left"/>
              <w:rPr>
                <w:rFonts w:eastAsia="Calibri" w:cs="Times New Roman"/>
                <w:b/>
                <w:color w:val="000000"/>
                <w:sz w:val="20"/>
                <w:szCs w:val="20"/>
              </w:rPr>
            </w:pPr>
          </w:p>
          <w:p w14:paraId="02CF7FF9"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Terese</w:t>
            </w:r>
            <w:r w:rsidRPr="004701C0">
              <w:rPr>
                <w:rFonts w:cs="Times New Roman"/>
                <w:b/>
                <w:color w:val="000000"/>
                <w:sz w:val="20"/>
                <w:szCs w:val="20"/>
              </w:rPr>
              <w:t xml:space="preserve"> </w:t>
            </w:r>
            <w:r w:rsidRPr="004701C0">
              <w:rPr>
                <w:rFonts w:eastAsia="Calibri" w:cs="Times New Roman"/>
                <w:b/>
                <w:color w:val="000000"/>
                <w:sz w:val="20"/>
                <w:szCs w:val="20"/>
              </w:rPr>
              <w:t>Henning</w:t>
            </w:r>
          </w:p>
          <w:p w14:paraId="6D6D2B0D"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Tasmania</w:t>
            </w:r>
            <w:r w:rsidRPr="001D06AA">
              <w:rPr>
                <w:rFonts w:cs="Times New Roman"/>
                <w:i/>
                <w:color w:val="000000"/>
                <w:sz w:val="20"/>
                <w:szCs w:val="20"/>
              </w:rPr>
              <w:t>/</w:t>
            </w:r>
            <w:r>
              <w:rPr>
                <w:rFonts w:cs="Times New Roman"/>
                <w:i/>
                <w:color w:val="000000"/>
                <w:sz w:val="20"/>
                <w:szCs w:val="20"/>
              </w:rPr>
              <w:t xml:space="preserve"> </w:t>
            </w:r>
            <w:r w:rsidRPr="001D06AA">
              <w:rPr>
                <w:rFonts w:eastAsia="Calibri" w:cs="Times New Roman"/>
                <w:i/>
                <w:color w:val="000000"/>
                <w:sz w:val="20"/>
                <w:szCs w:val="20"/>
              </w:rPr>
              <w:t>Tasmania</w:t>
            </w:r>
            <w:r w:rsidRPr="001D06AA">
              <w:rPr>
                <w:rFonts w:cs="Times New Roman"/>
                <w:i/>
                <w:color w:val="000000"/>
                <w:sz w:val="20"/>
                <w:szCs w:val="20"/>
              </w:rPr>
              <w:t xml:space="preserve"> </w:t>
            </w:r>
            <w:r w:rsidRPr="001D06AA">
              <w:rPr>
                <w:rFonts w:eastAsia="Calibri" w:cs="Times New Roman"/>
                <w:i/>
                <w:color w:val="000000"/>
                <w:sz w:val="20"/>
                <w:szCs w:val="20"/>
              </w:rPr>
              <w:t>Law</w:t>
            </w:r>
            <w:r w:rsidRPr="001D06AA">
              <w:rPr>
                <w:rFonts w:cs="Times New Roman"/>
                <w:i/>
                <w:color w:val="000000"/>
                <w:sz w:val="20"/>
                <w:szCs w:val="20"/>
              </w:rPr>
              <w:t xml:space="preserve"> </w:t>
            </w:r>
            <w:r w:rsidRPr="001D06AA">
              <w:rPr>
                <w:rFonts w:eastAsia="Calibri" w:cs="Times New Roman"/>
                <w:i/>
                <w:color w:val="000000"/>
                <w:sz w:val="20"/>
                <w:szCs w:val="20"/>
              </w:rPr>
              <w:t>Reform</w:t>
            </w:r>
            <w:r w:rsidRPr="001D06AA">
              <w:rPr>
                <w:rFonts w:cs="Times New Roman"/>
                <w:i/>
                <w:color w:val="000000"/>
                <w:sz w:val="20"/>
                <w:szCs w:val="20"/>
              </w:rPr>
              <w:t xml:space="preserve"> </w:t>
            </w:r>
            <w:r w:rsidRPr="001D06AA">
              <w:rPr>
                <w:rFonts w:eastAsia="Calibri" w:cs="Times New Roman"/>
                <w:i/>
                <w:color w:val="000000"/>
                <w:sz w:val="20"/>
                <w:szCs w:val="20"/>
              </w:rPr>
              <w:t>Institute</w:t>
            </w:r>
          </w:p>
          <w:p w14:paraId="10198964" w14:textId="77777777" w:rsidR="006D445B" w:rsidRDefault="006D445B" w:rsidP="006D445B">
            <w:pPr>
              <w:spacing w:after="0"/>
              <w:jc w:val="left"/>
              <w:rPr>
                <w:rFonts w:eastAsia="Calibri" w:cs="Times New Roman"/>
                <w:b/>
                <w:color w:val="000000"/>
                <w:sz w:val="20"/>
                <w:szCs w:val="20"/>
              </w:rPr>
            </w:pPr>
          </w:p>
          <w:p w14:paraId="24D99DE1"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Nina</w:t>
            </w:r>
            <w:r w:rsidRPr="004701C0">
              <w:rPr>
                <w:rFonts w:cs="Times New Roman"/>
                <w:b/>
                <w:color w:val="000000"/>
                <w:sz w:val="20"/>
                <w:szCs w:val="20"/>
              </w:rPr>
              <w:t xml:space="preserve"> </w:t>
            </w:r>
            <w:r w:rsidRPr="004701C0">
              <w:rPr>
                <w:rFonts w:eastAsia="Calibri" w:cs="Times New Roman"/>
                <w:b/>
                <w:color w:val="000000"/>
                <w:sz w:val="20"/>
                <w:szCs w:val="20"/>
              </w:rPr>
              <w:t>Hudson</w:t>
            </w:r>
          </w:p>
          <w:p w14:paraId="4B8A92B6" w14:textId="77777777" w:rsidR="006D445B" w:rsidRPr="006D445B" w:rsidRDefault="006D445B" w:rsidP="006D445B">
            <w:pPr>
              <w:spacing w:after="0"/>
              <w:jc w:val="left"/>
              <w:rPr>
                <w:rFonts w:eastAsia="Calibri" w:cs="Times New Roman"/>
                <w:i/>
                <w:color w:val="000000"/>
                <w:sz w:val="20"/>
                <w:szCs w:val="20"/>
              </w:rPr>
            </w:pPr>
            <w:r w:rsidRPr="006D445B">
              <w:rPr>
                <w:rFonts w:eastAsia="Calibri" w:cs="Times New Roman"/>
                <w:i/>
                <w:color w:val="000000"/>
                <w:sz w:val="20"/>
                <w:szCs w:val="20"/>
              </w:rPr>
              <w:t>University</w:t>
            </w:r>
            <w:r w:rsidRPr="006D445B">
              <w:rPr>
                <w:rFonts w:cs="Times New Roman"/>
                <w:i/>
                <w:color w:val="000000"/>
                <w:sz w:val="20"/>
                <w:szCs w:val="20"/>
              </w:rPr>
              <w:t xml:space="preserve"> </w:t>
            </w:r>
            <w:r w:rsidRPr="006D445B">
              <w:rPr>
                <w:rFonts w:eastAsia="Calibri" w:cs="Times New Roman"/>
                <w:i/>
                <w:color w:val="000000"/>
                <w:sz w:val="20"/>
                <w:szCs w:val="20"/>
              </w:rPr>
              <w:t>of</w:t>
            </w:r>
            <w:r w:rsidRPr="006D445B">
              <w:rPr>
                <w:rFonts w:cs="Times New Roman"/>
                <w:i/>
                <w:color w:val="000000"/>
                <w:sz w:val="20"/>
                <w:szCs w:val="20"/>
              </w:rPr>
              <w:t xml:space="preserve"> </w:t>
            </w:r>
            <w:r w:rsidRPr="006D445B">
              <w:rPr>
                <w:rFonts w:eastAsia="Calibri" w:cs="Times New Roman"/>
                <w:i/>
                <w:color w:val="000000"/>
                <w:sz w:val="20"/>
                <w:szCs w:val="20"/>
              </w:rPr>
              <w:t>Tasmania</w:t>
            </w:r>
            <w:r w:rsidRPr="006D445B">
              <w:rPr>
                <w:rFonts w:cs="Times New Roman"/>
                <w:i/>
                <w:color w:val="000000"/>
                <w:sz w:val="20"/>
                <w:szCs w:val="20"/>
              </w:rPr>
              <w:t xml:space="preserve">/ </w:t>
            </w:r>
            <w:r w:rsidRPr="006D445B">
              <w:rPr>
                <w:rFonts w:eastAsia="Calibri" w:cs="Times New Roman"/>
                <w:i/>
                <w:color w:val="000000"/>
                <w:sz w:val="20"/>
                <w:szCs w:val="20"/>
              </w:rPr>
              <w:t>Tasmania</w:t>
            </w:r>
            <w:r w:rsidRPr="006D445B">
              <w:rPr>
                <w:rFonts w:cs="Times New Roman"/>
                <w:i/>
                <w:color w:val="000000"/>
                <w:sz w:val="20"/>
                <w:szCs w:val="20"/>
              </w:rPr>
              <w:t xml:space="preserve"> </w:t>
            </w:r>
            <w:r w:rsidRPr="006D445B">
              <w:rPr>
                <w:rFonts w:eastAsia="Calibri" w:cs="Times New Roman"/>
                <w:i/>
                <w:color w:val="000000"/>
                <w:sz w:val="20"/>
                <w:szCs w:val="20"/>
              </w:rPr>
              <w:t>Law</w:t>
            </w:r>
            <w:r w:rsidRPr="006D445B">
              <w:rPr>
                <w:rFonts w:cs="Times New Roman"/>
                <w:i/>
                <w:color w:val="000000"/>
                <w:sz w:val="20"/>
                <w:szCs w:val="20"/>
              </w:rPr>
              <w:t xml:space="preserve"> </w:t>
            </w:r>
            <w:r w:rsidRPr="006D445B">
              <w:rPr>
                <w:rFonts w:eastAsia="Calibri" w:cs="Times New Roman"/>
                <w:i/>
                <w:color w:val="000000"/>
                <w:sz w:val="20"/>
                <w:szCs w:val="20"/>
              </w:rPr>
              <w:t>Reform</w:t>
            </w:r>
            <w:r w:rsidRPr="006D445B">
              <w:rPr>
                <w:rFonts w:cs="Times New Roman"/>
                <w:i/>
                <w:color w:val="000000"/>
                <w:sz w:val="20"/>
                <w:szCs w:val="20"/>
              </w:rPr>
              <w:t xml:space="preserve"> </w:t>
            </w:r>
            <w:r w:rsidRPr="006D445B">
              <w:rPr>
                <w:rFonts w:eastAsia="Calibri" w:cs="Times New Roman"/>
                <w:i/>
                <w:color w:val="000000"/>
                <w:sz w:val="20"/>
                <w:szCs w:val="20"/>
              </w:rPr>
              <w:t>Institute</w:t>
            </w:r>
          </w:p>
          <w:p w14:paraId="1E2B1F05" w14:textId="77777777" w:rsidR="006D445B" w:rsidRDefault="006D445B" w:rsidP="006D445B">
            <w:pPr>
              <w:spacing w:after="0"/>
              <w:jc w:val="left"/>
              <w:rPr>
                <w:rFonts w:eastAsia="Calibri" w:cs="Times New Roman"/>
                <w:b/>
                <w:color w:val="000000"/>
                <w:sz w:val="20"/>
                <w:szCs w:val="20"/>
              </w:rPr>
            </w:pPr>
          </w:p>
          <w:p w14:paraId="62E57087"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Jill</w:t>
            </w:r>
            <w:r w:rsidRPr="004701C0">
              <w:rPr>
                <w:rFonts w:cs="Times New Roman"/>
                <w:b/>
                <w:color w:val="000000"/>
                <w:sz w:val="20"/>
                <w:szCs w:val="20"/>
              </w:rPr>
              <w:t xml:space="preserve"> </w:t>
            </w:r>
            <w:r w:rsidRPr="004701C0">
              <w:rPr>
                <w:rFonts w:eastAsia="Calibri" w:cs="Times New Roman"/>
                <w:b/>
                <w:color w:val="000000"/>
                <w:sz w:val="20"/>
                <w:szCs w:val="20"/>
              </w:rPr>
              <w:t>Hunter</w:t>
            </w:r>
          </w:p>
          <w:p w14:paraId="171AC4A9"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New</w:t>
            </w:r>
            <w:r w:rsidRPr="001D06AA">
              <w:rPr>
                <w:rFonts w:cs="Times New Roman"/>
                <w:i/>
                <w:color w:val="000000"/>
                <w:sz w:val="20"/>
                <w:szCs w:val="20"/>
              </w:rPr>
              <w:t xml:space="preserve"> </w:t>
            </w:r>
            <w:r w:rsidRPr="001D06AA">
              <w:rPr>
                <w:rFonts w:eastAsia="Calibri" w:cs="Times New Roman"/>
                <w:i/>
                <w:color w:val="000000"/>
                <w:sz w:val="20"/>
                <w:szCs w:val="20"/>
              </w:rPr>
              <w:t>South</w:t>
            </w:r>
            <w:r w:rsidRPr="001D06AA">
              <w:rPr>
                <w:rFonts w:cs="Times New Roman"/>
                <w:i/>
                <w:color w:val="000000"/>
                <w:sz w:val="20"/>
                <w:szCs w:val="20"/>
              </w:rPr>
              <w:t xml:space="preserve"> </w:t>
            </w:r>
            <w:r w:rsidRPr="001D06AA">
              <w:rPr>
                <w:rFonts w:eastAsia="Calibri" w:cs="Times New Roman"/>
                <w:i/>
                <w:color w:val="000000"/>
                <w:sz w:val="20"/>
                <w:szCs w:val="20"/>
              </w:rPr>
              <w:t>Wales</w:t>
            </w:r>
          </w:p>
          <w:p w14:paraId="78F74429" w14:textId="77777777" w:rsidR="006D445B" w:rsidRDefault="006D445B" w:rsidP="006D445B">
            <w:pPr>
              <w:spacing w:after="0"/>
              <w:jc w:val="left"/>
              <w:rPr>
                <w:rFonts w:eastAsia="Calibri" w:cs="Times New Roman"/>
                <w:b/>
                <w:color w:val="000000"/>
                <w:sz w:val="20"/>
                <w:szCs w:val="20"/>
              </w:rPr>
            </w:pPr>
          </w:p>
          <w:p w14:paraId="2DD256E4"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Rosemary</w:t>
            </w:r>
            <w:r w:rsidRPr="004701C0">
              <w:rPr>
                <w:rFonts w:cs="Times New Roman"/>
                <w:b/>
                <w:color w:val="000000"/>
                <w:sz w:val="20"/>
                <w:szCs w:val="20"/>
              </w:rPr>
              <w:t xml:space="preserve"> </w:t>
            </w:r>
            <w:r w:rsidRPr="004701C0">
              <w:rPr>
                <w:rFonts w:eastAsia="Calibri" w:cs="Times New Roman"/>
                <w:b/>
                <w:color w:val="000000"/>
                <w:sz w:val="20"/>
                <w:szCs w:val="20"/>
              </w:rPr>
              <w:t>Kayess</w:t>
            </w:r>
          </w:p>
          <w:p w14:paraId="795C24B1"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New</w:t>
            </w:r>
            <w:r w:rsidRPr="004701C0">
              <w:rPr>
                <w:rFonts w:cs="Times New Roman"/>
                <w:i/>
                <w:color w:val="000000"/>
                <w:sz w:val="20"/>
                <w:szCs w:val="20"/>
              </w:rPr>
              <w:t xml:space="preserve"> </w:t>
            </w:r>
            <w:r w:rsidRPr="004701C0">
              <w:rPr>
                <w:rFonts w:eastAsia="Calibri" w:cs="Times New Roman"/>
                <w:i/>
                <w:color w:val="000000"/>
                <w:sz w:val="20"/>
                <w:szCs w:val="20"/>
              </w:rPr>
              <w:t>South</w:t>
            </w:r>
            <w:r w:rsidRPr="004701C0">
              <w:rPr>
                <w:rFonts w:cs="Times New Roman"/>
                <w:i/>
                <w:color w:val="000000"/>
                <w:sz w:val="20"/>
                <w:szCs w:val="20"/>
              </w:rPr>
              <w:t xml:space="preserve"> </w:t>
            </w:r>
            <w:r w:rsidRPr="004701C0">
              <w:rPr>
                <w:rFonts w:eastAsia="Calibri" w:cs="Times New Roman"/>
                <w:i/>
                <w:color w:val="000000"/>
                <w:sz w:val="20"/>
                <w:szCs w:val="20"/>
              </w:rPr>
              <w:t>Wales</w:t>
            </w:r>
          </w:p>
          <w:p w14:paraId="2FD18F14" w14:textId="77777777" w:rsidR="004701C0" w:rsidRDefault="004701C0" w:rsidP="004701C0">
            <w:pPr>
              <w:spacing w:after="0"/>
              <w:jc w:val="left"/>
              <w:rPr>
                <w:rFonts w:eastAsia="Calibri" w:cs="Times New Roman"/>
                <w:i/>
                <w:color w:val="000000"/>
                <w:sz w:val="20"/>
                <w:szCs w:val="20"/>
              </w:rPr>
            </w:pPr>
          </w:p>
          <w:p w14:paraId="4E7E1213"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Yvette</w:t>
            </w:r>
            <w:r w:rsidRPr="004701C0">
              <w:rPr>
                <w:rFonts w:cs="Times New Roman"/>
                <w:b/>
                <w:color w:val="000000"/>
                <w:sz w:val="20"/>
                <w:szCs w:val="20"/>
              </w:rPr>
              <w:t xml:space="preserve"> </w:t>
            </w:r>
            <w:r w:rsidRPr="004701C0">
              <w:rPr>
                <w:rFonts w:eastAsia="Calibri" w:cs="Times New Roman"/>
                <w:b/>
                <w:color w:val="000000"/>
                <w:sz w:val="20"/>
                <w:szCs w:val="20"/>
              </w:rPr>
              <w:t>Maker</w:t>
            </w:r>
          </w:p>
          <w:p w14:paraId="55884FEC"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Social</w:t>
            </w:r>
            <w:r w:rsidRPr="001D06AA">
              <w:rPr>
                <w:rFonts w:cs="Times New Roman"/>
                <w:i/>
                <w:color w:val="000000"/>
                <w:sz w:val="20"/>
                <w:szCs w:val="20"/>
              </w:rPr>
              <w:t xml:space="preserve"> </w:t>
            </w:r>
            <w:r w:rsidRPr="001D06AA">
              <w:rPr>
                <w:rFonts w:eastAsia="Calibri" w:cs="Times New Roman"/>
                <w:i/>
                <w:color w:val="000000"/>
                <w:sz w:val="20"/>
                <w:szCs w:val="20"/>
              </w:rPr>
              <w:t>Equity</w:t>
            </w:r>
            <w:r w:rsidRPr="001D06AA">
              <w:rPr>
                <w:rFonts w:cs="Times New Roman"/>
                <w:i/>
                <w:color w:val="000000"/>
                <w:sz w:val="20"/>
                <w:szCs w:val="20"/>
              </w:rPr>
              <w:t xml:space="preserve"> </w:t>
            </w:r>
            <w:r w:rsidRPr="001D06AA">
              <w:rPr>
                <w:rFonts w:eastAsia="Calibri" w:cs="Times New Roman"/>
                <w:i/>
                <w:color w:val="000000"/>
                <w:sz w:val="20"/>
                <w:szCs w:val="20"/>
              </w:rPr>
              <w:t>Institute</w:t>
            </w:r>
          </w:p>
          <w:p w14:paraId="7C6F2226" w14:textId="77777777" w:rsidR="006D445B" w:rsidRDefault="006D445B" w:rsidP="004701C0">
            <w:pPr>
              <w:spacing w:after="0"/>
              <w:jc w:val="left"/>
              <w:rPr>
                <w:rFonts w:eastAsia="Calibri" w:cs="Times New Roman"/>
                <w:i/>
                <w:color w:val="000000"/>
                <w:sz w:val="20"/>
                <w:szCs w:val="20"/>
              </w:rPr>
            </w:pPr>
          </w:p>
          <w:p w14:paraId="7A84376A"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Rosalie</w:t>
            </w:r>
            <w:r w:rsidRPr="004701C0">
              <w:rPr>
                <w:rFonts w:cs="Times New Roman"/>
                <w:b/>
                <w:color w:val="000000"/>
                <w:sz w:val="20"/>
                <w:szCs w:val="20"/>
              </w:rPr>
              <w:t xml:space="preserve"> </w:t>
            </w:r>
            <w:r w:rsidRPr="004701C0">
              <w:rPr>
                <w:rFonts w:eastAsia="Calibri" w:cs="Times New Roman"/>
                <w:b/>
                <w:color w:val="000000"/>
                <w:sz w:val="20"/>
                <w:szCs w:val="20"/>
              </w:rPr>
              <w:t>Martin</w:t>
            </w:r>
          </w:p>
          <w:p w14:paraId="15FF3440" w14:textId="5535B7DB" w:rsidR="006D445B" w:rsidRDefault="006D445B" w:rsidP="004701C0">
            <w:pPr>
              <w:spacing w:after="0"/>
              <w:jc w:val="left"/>
              <w:rPr>
                <w:rFonts w:eastAsia="Calibri" w:cs="Times New Roman"/>
                <w:i/>
                <w:color w:val="000000"/>
                <w:sz w:val="20"/>
                <w:szCs w:val="20"/>
              </w:rPr>
            </w:pPr>
            <w:r w:rsidRPr="004701C0">
              <w:rPr>
                <w:rFonts w:eastAsia="Calibri" w:cs="Times New Roman"/>
                <w:i/>
                <w:color w:val="000000"/>
                <w:sz w:val="20"/>
                <w:szCs w:val="20"/>
              </w:rPr>
              <w:t>Speech</w:t>
            </w:r>
            <w:r w:rsidRPr="004701C0">
              <w:rPr>
                <w:rFonts w:cs="Times New Roman"/>
                <w:i/>
                <w:color w:val="000000"/>
                <w:sz w:val="20"/>
                <w:szCs w:val="20"/>
              </w:rPr>
              <w:t xml:space="preserve"> </w:t>
            </w:r>
            <w:r w:rsidRPr="004701C0">
              <w:rPr>
                <w:rFonts w:eastAsia="Calibri" w:cs="Times New Roman"/>
                <w:i/>
                <w:color w:val="000000"/>
                <w:sz w:val="20"/>
                <w:szCs w:val="20"/>
              </w:rPr>
              <w:t>Pathology</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Tasmania</w:t>
            </w:r>
          </w:p>
          <w:p w14:paraId="123B64B2" w14:textId="77777777" w:rsidR="006D445B" w:rsidRDefault="006D445B" w:rsidP="004701C0">
            <w:pPr>
              <w:spacing w:after="0"/>
              <w:jc w:val="left"/>
              <w:rPr>
                <w:rFonts w:eastAsia="Calibri" w:cs="Times New Roman"/>
                <w:i/>
                <w:color w:val="000000"/>
                <w:sz w:val="20"/>
                <w:szCs w:val="20"/>
              </w:rPr>
            </w:pPr>
          </w:p>
          <w:p w14:paraId="1640B8D0"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Rikki</w:t>
            </w:r>
            <w:r w:rsidRPr="00DE614F">
              <w:rPr>
                <w:rFonts w:cs="Times New Roman"/>
                <w:b/>
                <w:color w:val="000000"/>
                <w:sz w:val="20"/>
                <w:szCs w:val="20"/>
              </w:rPr>
              <w:t xml:space="preserve"> </w:t>
            </w:r>
            <w:r w:rsidRPr="00DE614F">
              <w:rPr>
                <w:rFonts w:eastAsia="Calibri" w:cs="Times New Roman"/>
                <w:b/>
                <w:color w:val="000000"/>
                <w:sz w:val="20"/>
                <w:szCs w:val="20"/>
              </w:rPr>
              <w:t>Mawad</w:t>
            </w:r>
          </w:p>
          <w:p w14:paraId="0B92B544" w14:textId="3F4B7339" w:rsidR="006D445B" w:rsidRDefault="006D445B" w:rsidP="004701C0">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Tasmania</w:t>
            </w:r>
          </w:p>
          <w:p w14:paraId="50F999C9" w14:textId="77777777" w:rsidR="006D445B" w:rsidRDefault="006D445B" w:rsidP="004701C0">
            <w:pPr>
              <w:spacing w:after="0"/>
              <w:jc w:val="left"/>
              <w:rPr>
                <w:rFonts w:eastAsia="Calibri" w:cs="Times New Roman"/>
                <w:i/>
                <w:color w:val="000000"/>
                <w:sz w:val="20"/>
                <w:szCs w:val="20"/>
              </w:rPr>
            </w:pPr>
          </w:p>
          <w:p w14:paraId="73C43887"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Ruth</w:t>
            </w:r>
            <w:r w:rsidRPr="004701C0">
              <w:rPr>
                <w:rFonts w:cs="Times New Roman"/>
                <w:b/>
                <w:color w:val="000000"/>
                <w:sz w:val="20"/>
                <w:szCs w:val="20"/>
              </w:rPr>
              <w:t xml:space="preserve"> </w:t>
            </w:r>
            <w:r w:rsidRPr="004701C0">
              <w:rPr>
                <w:rFonts w:eastAsia="Calibri" w:cs="Times New Roman"/>
                <w:b/>
                <w:color w:val="000000"/>
                <w:sz w:val="20"/>
                <w:szCs w:val="20"/>
              </w:rPr>
              <w:t>McCausland</w:t>
            </w:r>
          </w:p>
          <w:p w14:paraId="49B995B8"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New</w:t>
            </w:r>
            <w:r w:rsidRPr="001D06AA">
              <w:rPr>
                <w:rFonts w:cs="Times New Roman"/>
                <w:i/>
                <w:color w:val="000000"/>
                <w:sz w:val="20"/>
                <w:szCs w:val="20"/>
              </w:rPr>
              <w:t xml:space="preserve"> </w:t>
            </w:r>
            <w:r w:rsidRPr="001D06AA">
              <w:rPr>
                <w:rFonts w:eastAsia="Calibri" w:cs="Times New Roman"/>
                <w:i/>
                <w:color w:val="000000"/>
                <w:sz w:val="20"/>
                <w:szCs w:val="20"/>
              </w:rPr>
              <w:t>South</w:t>
            </w:r>
            <w:r w:rsidRPr="001D06AA">
              <w:rPr>
                <w:rFonts w:cs="Times New Roman"/>
                <w:i/>
                <w:color w:val="000000"/>
                <w:sz w:val="20"/>
                <w:szCs w:val="20"/>
              </w:rPr>
              <w:t xml:space="preserve"> </w:t>
            </w:r>
            <w:r w:rsidRPr="001D06AA">
              <w:rPr>
                <w:rFonts w:eastAsia="Calibri" w:cs="Times New Roman"/>
                <w:i/>
                <w:color w:val="000000"/>
                <w:sz w:val="20"/>
                <w:szCs w:val="20"/>
              </w:rPr>
              <w:t>Wales</w:t>
            </w:r>
          </w:p>
          <w:p w14:paraId="521110F4" w14:textId="77777777" w:rsidR="006D445B" w:rsidRDefault="006D445B" w:rsidP="004701C0">
            <w:pPr>
              <w:spacing w:after="0"/>
              <w:jc w:val="left"/>
              <w:rPr>
                <w:rFonts w:eastAsia="Calibri" w:cs="Times New Roman"/>
                <w:i/>
                <w:color w:val="000000"/>
                <w:sz w:val="20"/>
                <w:szCs w:val="20"/>
              </w:rPr>
            </w:pPr>
          </w:p>
          <w:p w14:paraId="4535610D"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Bernadette</w:t>
            </w:r>
            <w:r w:rsidRPr="004701C0">
              <w:rPr>
                <w:rFonts w:cs="Times New Roman"/>
                <w:b/>
                <w:color w:val="000000"/>
                <w:sz w:val="20"/>
                <w:szCs w:val="20"/>
              </w:rPr>
              <w:t xml:space="preserve"> </w:t>
            </w:r>
            <w:r w:rsidRPr="004701C0">
              <w:rPr>
                <w:rFonts w:eastAsia="Calibri" w:cs="Times New Roman"/>
                <w:b/>
                <w:color w:val="000000"/>
                <w:sz w:val="20"/>
                <w:szCs w:val="20"/>
              </w:rPr>
              <w:t>McSherry</w:t>
            </w:r>
          </w:p>
          <w:p w14:paraId="2BD8FE2D"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Melbourne</w:t>
            </w:r>
            <w:r>
              <w:rPr>
                <w:rFonts w:cs="Times New Roman"/>
                <w:i/>
                <w:color w:val="000000"/>
                <w:sz w:val="20"/>
                <w:szCs w:val="20"/>
              </w:rPr>
              <w:t xml:space="preserve">/ </w:t>
            </w:r>
            <w:r w:rsidRPr="001D06AA">
              <w:rPr>
                <w:rFonts w:eastAsia="Calibri" w:cs="Times New Roman"/>
                <w:i/>
                <w:color w:val="000000"/>
                <w:sz w:val="20"/>
                <w:szCs w:val="20"/>
              </w:rPr>
              <w:t>Melbourne</w:t>
            </w:r>
            <w:r w:rsidRPr="001D06AA">
              <w:rPr>
                <w:rFonts w:cs="Times New Roman"/>
                <w:i/>
                <w:color w:val="000000"/>
                <w:sz w:val="20"/>
                <w:szCs w:val="20"/>
              </w:rPr>
              <w:t xml:space="preserve"> </w:t>
            </w:r>
            <w:r w:rsidRPr="001D06AA">
              <w:rPr>
                <w:rFonts w:eastAsia="Calibri" w:cs="Times New Roman"/>
                <w:i/>
                <w:color w:val="000000"/>
                <w:sz w:val="20"/>
                <w:szCs w:val="20"/>
              </w:rPr>
              <w:t>Social</w:t>
            </w:r>
            <w:r w:rsidRPr="001D06AA">
              <w:rPr>
                <w:rFonts w:cs="Times New Roman"/>
                <w:i/>
                <w:color w:val="000000"/>
                <w:sz w:val="20"/>
                <w:szCs w:val="20"/>
              </w:rPr>
              <w:t xml:space="preserve"> </w:t>
            </w:r>
            <w:r w:rsidRPr="001D06AA">
              <w:rPr>
                <w:rFonts w:eastAsia="Calibri" w:cs="Times New Roman"/>
                <w:i/>
                <w:color w:val="000000"/>
                <w:sz w:val="20"/>
                <w:szCs w:val="20"/>
              </w:rPr>
              <w:t>Equity</w:t>
            </w:r>
            <w:r w:rsidRPr="001D06AA">
              <w:rPr>
                <w:rFonts w:cs="Times New Roman"/>
                <w:i/>
                <w:color w:val="000000"/>
                <w:sz w:val="20"/>
                <w:szCs w:val="20"/>
              </w:rPr>
              <w:t xml:space="preserve"> </w:t>
            </w:r>
            <w:r w:rsidRPr="001D06AA">
              <w:rPr>
                <w:rFonts w:eastAsia="Calibri" w:cs="Times New Roman"/>
                <w:i/>
                <w:color w:val="000000"/>
                <w:sz w:val="20"/>
                <w:szCs w:val="20"/>
              </w:rPr>
              <w:t>Institute</w:t>
            </w:r>
          </w:p>
          <w:p w14:paraId="7F99AAAB" w14:textId="77777777" w:rsidR="006D445B" w:rsidRDefault="006D445B" w:rsidP="004701C0">
            <w:pPr>
              <w:spacing w:after="0"/>
              <w:jc w:val="left"/>
              <w:rPr>
                <w:rFonts w:eastAsia="Calibri" w:cs="Times New Roman"/>
                <w:i/>
                <w:color w:val="000000"/>
                <w:sz w:val="20"/>
                <w:szCs w:val="20"/>
              </w:rPr>
            </w:pPr>
          </w:p>
          <w:p w14:paraId="65756FA6"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Keith</w:t>
            </w:r>
            <w:r w:rsidRPr="004701C0">
              <w:rPr>
                <w:rFonts w:cs="Times New Roman"/>
                <w:b/>
                <w:color w:val="000000"/>
                <w:sz w:val="20"/>
                <w:szCs w:val="20"/>
              </w:rPr>
              <w:t xml:space="preserve"> </w:t>
            </w:r>
            <w:r w:rsidRPr="004701C0">
              <w:rPr>
                <w:rFonts w:eastAsia="Calibri" w:cs="Times New Roman"/>
                <w:b/>
                <w:color w:val="000000"/>
                <w:sz w:val="20"/>
                <w:szCs w:val="20"/>
              </w:rPr>
              <w:t>McVilly</w:t>
            </w:r>
          </w:p>
          <w:p w14:paraId="65491935" w14:textId="77777777" w:rsid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Melbourne</w:t>
            </w:r>
            <w:r>
              <w:rPr>
                <w:rFonts w:eastAsia="Calibri" w:cs="Times New Roman"/>
                <w:i/>
                <w:color w:val="000000"/>
                <w:sz w:val="20"/>
                <w:szCs w:val="20"/>
              </w:rPr>
              <w:t xml:space="preserve">/ </w:t>
            </w:r>
            <w:r w:rsidRPr="001D06AA">
              <w:rPr>
                <w:rFonts w:eastAsia="Calibri" w:cs="Times New Roman"/>
                <w:i/>
                <w:color w:val="000000"/>
                <w:sz w:val="20"/>
                <w:szCs w:val="20"/>
              </w:rPr>
              <w:t>SCOPE</w:t>
            </w:r>
          </w:p>
          <w:p w14:paraId="5D962E27" w14:textId="77777777" w:rsidR="006D445B" w:rsidRDefault="006D445B" w:rsidP="004701C0">
            <w:pPr>
              <w:spacing w:after="0"/>
              <w:jc w:val="left"/>
              <w:rPr>
                <w:rFonts w:eastAsia="Calibri" w:cs="Times New Roman"/>
                <w:i/>
                <w:color w:val="000000"/>
                <w:sz w:val="20"/>
                <w:szCs w:val="20"/>
              </w:rPr>
            </w:pPr>
          </w:p>
          <w:p w14:paraId="2A2B4728"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Laura</w:t>
            </w:r>
            <w:r w:rsidRPr="004701C0">
              <w:rPr>
                <w:rFonts w:cs="Times New Roman"/>
                <w:b/>
                <w:color w:val="000000"/>
                <w:sz w:val="20"/>
                <w:szCs w:val="20"/>
              </w:rPr>
              <w:t xml:space="preserve"> </w:t>
            </w:r>
            <w:r w:rsidRPr="004701C0">
              <w:rPr>
                <w:rFonts w:eastAsia="Calibri" w:cs="Times New Roman"/>
                <w:b/>
                <w:color w:val="000000"/>
                <w:sz w:val="20"/>
                <w:szCs w:val="20"/>
              </w:rPr>
              <w:t>Michaelson</w:t>
            </w:r>
          </w:p>
          <w:p w14:paraId="59559056"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University</w:t>
            </w:r>
            <w:r w:rsidRPr="004701C0">
              <w:rPr>
                <w:rFonts w:cs="Times New Roman"/>
                <w:i/>
                <w:color w:val="000000"/>
                <w:sz w:val="20"/>
                <w:szCs w:val="20"/>
              </w:rPr>
              <w:t xml:space="preserve"> </w:t>
            </w:r>
            <w:r w:rsidRPr="004701C0">
              <w:rPr>
                <w:rFonts w:eastAsia="Calibri" w:cs="Times New Roman"/>
                <w:i/>
                <w:color w:val="000000"/>
                <w:sz w:val="20"/>
                <w:szCs w:val="20"/>
              </w:rPr>
              <w:t>of</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Tasmania</w:t>
            </w:r>
            <w:r w:rsidRPr="004701C0">
              <w:rPr>
                <w:rFonts w:cs="Times New Roman"/>
                <w:i/>
                <w:color w:val="000000"/>
                <w:sz w:val="20"/>
                <w:szCs w:val="20"/>
              </w:rPr>
              <w:t xml:space="preserve"> </w:t>
            </w:r>
            <w:r w:rsidRPr="004701C0">
              <w:rPr>
                <w:rFonts w:eastAsia="Calibri" w:cs="Times New Roman"/>
                <w:i/>
                <w:color w:val="000000"/>
                <w:sz w:val="20"/>
                <w:szCs w:val="20"/>
              </w:rPr>
              <w:t>Law</w:t>
            </w:r>
            <w:r w:rsidRPr="004701C0">
              <w:rPr>
                <w:rFonts w:cs="Times New Roman"/>
                <w:i/>
                <w:color w:val="000000"/>
                <w:sz w:val="20"/>
                <w:szCs w:val="20"/>
              </w:rPr>
              <w:t xml:space="preserve"> </w:t>
            </w:r>
            <w:r w:rsidRPr="004701C0">
              <w:rPr>
                <w:rFonts w:eastAsia="Calibri" w:cs="Times New Roman"/>
                <w:i/>
                <w:color w:val="000000"/>
                <w:sz w:val="20"/>
                <w:szCs w:val="20"/>
              </w:rPr>
              <w:t>Reform</w:t>
            </w:r>
            <w:r w:rsidRPr="004701C0">
              <w:rPr>
                <w:rFonts w:cs="Times New Roman"/>
                <w:i/>
                <w:color w:val="000000"/>
                <w:sz w:val="20"/>
                <w:szCs w:val="20"/>
              </w:rPr>
              <w:t xml:space="preserve"> </w:t>
            </w:r>
            <w:r w:rsidRPr="004701C0">
              <w:rPr>
                <w:rFonts w:eastAsia="Calibri" w:cs="Times New Roman"/>
                <w:i/>
                <w:color w:val="000000"/>
                <w:sz w:val="20"/>
                <w:szCs w:val="20"/>
              </w:rPr>
              <w:t>Institute</w:t>
            </w:r>
          </w:p>
          <w:p w14:paraId="28ED142A" w14:textId="77777777" w:rsidR="006D445B" w:rsidRDefault="006D445B" w:rsidP="004701C0">
            <w:pPr>
              <w:spacing w:after="0"/>
              <w:jc w:val="left"/>
              <w:rPr>
                <w:rFonts w:eastAsia="Calibri" w:cs="Times New Roman"/>
                <w:i/>
                <w:color w:val="000000"/>
                <w:sz w:val="20"/>
                <w:szCs w:val="20"/>
              </w:rPr>
            </w:pPr>
          </w:p>
          <w:p w14:paraId="0B4B6E13" w14:textId="77777777" w:rsidR="006D445B"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Brigit</w:t>
            </w:r>
            <w:r w:rsidRPr="004701C0">
              <w:rPr>
                <w:rFonts w:cs="Times New Roman"/>
                <w:b/>
                <w:color w:val="000000"/>
                <w:sz w:val="20"/>
                <w:szCs w:val="20"/>
              </w:rPr>
              <w:t xml:space="preserve"> </w:t>
            </w:r>
            <w:r w:rsidRPr="004701C0">
              <w:rPr>
                <w:rFonts w:eastAsia="Calibri" w:cs="Times New Roman"/>
                <w:b/>
                <w:color w:val="000000"/>
                <w:sz w:val="20"/>
                <w:szCs w:val="20"/>
              </w:rPr>
              <w:t>Mirfin</w:t>
            </w:r>
            <w:r w:rsidRPr="004701C0">
              <w:rPr>
                <w:rFonts w:cs="Times New Roman"/>
                <w:b/>
                <w:color w:val="000000"/>
                <w:sz w:val="20"/>
                <w:szCs w:val="20"/>
              </w:rPr>
              <w:t>-</w:t>
            </w:r>
            <w:r w:rsidRPr="004701C0">
              <w:rPr>
                <w:rFonts w:eastAsia="Calibri" w:cs="Times New Roman"/>
                <w:b/>
                <w:color w:val="000000"/>
                <w:sz w:val="20"/>
                <w:szCs w:val="20"/>
              </w:rPr>
              <w:t>Veitch</w:t>
            </w:r>
          </w:p>
          <w:p w14:paraId="67CA951C" w14:textId="77777777" w:rsidR="006D445B" w:rsidRDefault="006D445B" w:rsidP="006D445B">
            <w:pPr>
              <w:spacing w:after="0"/>
              <w:jc w:val="left"/>
              <w:rPr>
                <w:rFonts w:eastAsia="Calibri" w:cs="Times New Roman"/>
                <w:i/>
                <w:color w:val="000000"/>
                <w:sz w:val="20"/>
                <w:szCs w:val="20"/>
              </w:rPr>
            </w:pPr>
            <w:r w:rsidRPr="004701C0">
              <w:rPr>
                <w:rFonts w:eastAsia="Calibri" w:cs="Times New Roman"/>
                <w:i/>
                <w:color w:val="000000"/>
                <w:sz w:val="20"/>
                <w:szCs w:val="20"/>
              </w:rPr>
              <w:t>Donald</w:t>
            </w:r>
            <w:r w:rsidRPr="004701C0">
              <w:rPr>
                <w:rFonts w:cs="Times New Roman"/>
                <w:i/>
                <w:color w:val="000000"/>
                <w:sz w:val="20"/>
                <w:szCs w:val="20"/>
              </w:rPr>
              <w:t xml:space="preserve"> </w:t>
            </w:r>
            <w:r w:rsidRPr="004701C0">
              <w:rPr>
                <w:rFonts w:eastAsia="Calibri" w:cs="Times New Roman"/>
                <w:i/>
                <w:color w:val="000000"/>
                <w:sz w:val="20"/>
                <w:szCs w:val="20"/>
              </w:rPr>
              <w:t>Beasley</w:t>
            </w:r>
            <w:r w:rsidRPr="004701C0">
              <w:rPr>
                <w:rFonts w:cs="Times New Roman"/>
                <w:i/>
                <w:color w:val="000000"/>
                <w:sz w:val="20"/>
                <w:szCs w:val="20"/>
              </w:rPr>
              <w:t xml:space="preserve"> </w:t>
            </w:r>
            <w:r w:rsidRPr="004701C0">
              <w:rPr>
                <w:rFonts w:eastAsia="Calibri" w:cs="Times New Roman"/>
                <w:i/>
                <w:color w:val="000000"/>
                <w:sz w:val="20"/>
                <w:szCs w:val="20"/>
              </w:rPr>
              <w:t>Foundation</w:t>
            </w:r>
          </w:p>
          <w:p w14:paraId="7A534890" w14:textId="77777777" w:rsidR="006D445B" w:rsidRDefault="006D445B" w:rsidP="006D445B">
            <w:pPr>
              <w:spacing w:after="0"/>
              <w:jc w:val="left"/>
              <w:rPr>
                <w:rFonts w:eastAsia="Calibri" w:cs="Times New Roman"/>
                <w:i/>
                <w:color w:val="000000"/>
                <w:sz w:val="20"/>
                <w:szCs w:val="20"/>
              </w:rPr>
            </w:pPr>
          </w:p>
          <w:p w14:paraId="772F13ED" w14:textId="77777777" w:rsidR="006D445B" w:rsidRDefault="006D445B" w:rsidP="006D445B">
            <w:pPr>
              <w:spacing w:after="0"/>
              <w:jc w:val="left"/>
              <w:rPr>
                <w:rFonts w:eastAsia="Calibri" w:cs="Times New Roman"/>
                <w:b/>
                <w:color w:val="000000"/>
                <w:sz w:val="20"/>
                <w:szCs w:val="20"/>
              </w:rPr>
            </w:pPr>
            <w:r w:rsidRPr="006D445B">
              <w:rPr>
                <w:rFonts w:eastAsia="Calibri" w:cs="Times New Roman"/>
                <w:b/>
                <w:color w:val="000000"/>
                <w:sz w:val="20"/>
                <w:szCs w:val="20"/>
              </w:rPr>
              <w:t>Susan Peukert</w:t>
            </w:r>
          </w:p>
          <w:p w14:paraId="641C6C0C" w14:textId="77777777" w:rsidR="006D445B" w:rsidRDefault="006D445B" w:rsidP="006D445B">
            <w:pPr>
              <w:spacing w:after="0"/>
              <w:jc w:val="left"/>
              <w:rPr>
                <w:rFonts w:eastAsia="Calibri" w:cs="Times New Roman"/>
                <w:i/>
                <w:color w:val="000000"/>
                <w:sz w:val="20"/>
                <w:szCs w:val="20"/>
              </w:rPr>
            </w:pPr>
            <w:r w:rsidRPr="006D445B">
              <w:rPr>
                <w:rFonts w:eastAsia="Calibri" w:cs="Times New Roman"/>
                <w:i/>
                <w:color w:val="000000"/>
                <w:sz w:val="20"/>
                <w:szCs w:val="20"/>
              </w:rPr>
              <w:t>Adelaide University</w:t>
            </w:r>
          </w:p>
          <w:p w14:paraId="3169F96D" w14:textId="77777777" w:rsidR="006D445B" w:rsidRDefault="006D445B" w:rsidP="006D445B">
            <w:pPr>
              <w:spacing w:after="0"/>
              <w:jc w:val="left"/>
              <w:rPr>
                <w:rFonts w:eastAsia="Calibri" w:cs="Times New Roman"/>
                <w:b/>
                <w:color w:val="000000"/>
                <w:sz w:val="20"/>
                <w:szCs w:val="20"/>
              </w:rPr>
            </w:pPr>
          </w:p>
          <w:p w14:paraId="52BAAAF4" w14:textId="77777777" w:rsidR="006D445B" w:rsidRPr="004701C0" w:rsidRDefault="006D445B" w:rsidP="006D445B">
            <w:pPr>
              <w:spacing w:after="0"/>
              <w:jc w:val="left"/>
              <w:rPr>
                <w:rFonts w:eastAsia="Calibri" w:cs="Times New Roman"/>
                <w:b/>
                <w:color w:val="000000"/>
                <w:sz w:val="20"/>
                <w:szCs w:val="20"/>
              </w:rPr>
            </w:pPr>
            <w:r w:rsidRPr="004701C0">
              <w:rPr>
                <w:rFonts w:eastAsia="Calibri" w:cs="Times New Roman"/>
                <w:b/>
                <w:color w:val="000000"/>
                <w:sz w:val="20"/>
                <w:szCs w:val="20"/>
              </w:rPr>
              <w:t>David</w:t>
            </w:r>
            <w:r w:rsidRPr="004701C0">
              <w:rPr>
                <w:rFonts w:cs="Times New Roman"/>
                <w:b/>
                <w:color w:val="000000"/>
                <w:sz w:val="20"/>
                <w:szCs w:val="20"/>
              </w:rPr>
              <w:t xml:space="preserve"> </w:t>
            </w:r>
            <w:r w:rsidRPr="004701C0">
              <w:rPr>
                <w:rFonts w:eastAsia="Calibri" w:cs="Times New Roman"/>
                <w:b/>
                <w:color w:val="000000"/>
                <w:sz w:val="20"/>
                <w:szCs w:val="20"/>
              </w:rPr>
              <w:t>Plater</w:t>
            </w:r>
          </w:p>
          <w:p w14:paraId="74796077" w14:textId="4B98F37A" w:rsidR="004701C0" w:rsidRPr="006D445B" w:rsidRDefault="006D445B" w:rsidP="006D445B">
            <w:pPr>
              <w:spacing w:after="0"/>
              <w:jc w:val="left"/>
              <w:rPr>
                <w:rFonts w:eastAsia="Calibri" w:cs="Times New Roman"/>
                <w:i/>
                <w:color w:val="000000"/>
                <w:sz w:val="20"/>
                <w:szCs w:val="20"/>
              </w:rPr>
            </w:pPr>
            <w:r w:rsidRPr="001D06AA">
              <w:rPr>
                <w:rFonts w:eastAsia="Calibri" w:cs="Times New Roman"/>
                <w:i/>
                <w:color w:val="000000"/>
                <w:sz w:val="20"/>
                <w:szCs w:val="20"/>
              </w:rPr>
              <w:t>University</w:t>
            </w:r>
            <w:r w:rsidRPr="001D06AA">
              <w:rPr>
                <w:rFonts w:cs="Times New Roman"/>
                <w:i/>
                <w:color w:val="000000"/>
                <w:sz w:val="20"/>
                <w:szCs w:val="20"/>
              </w:rPr>
              <w:t xml:space="preserve"> </w:t>
            </w:r>
            <w:r w:rsidRPr="001D06AA">
              <w:rPr>
                <w:rFonts w:eastAsia="Calibri" w:cs="Times New Roman"/>
                <w:i/>
                <w:color w:val="000000"/>
                <w:sz w:val="20"/>
                <w:szCs w:val="20"/>
              </w:rPr>
              <w:t>of</w:t>
            </w:r>
            <w:r w:rsidRPr="001D06AA">
              <w:rPr>
                <w:rFonts w:cs="Times New Roman"/>
                <w:i/>
                <w:color w:val="000000"/>
                <w:sz w:val="20"/>
                <w:szCs w:val="20"/>
              </w:rPr>
              <w:t xml:space="preserve"> </w:t>
            </w:r>
            <w:r w:rsidRPr="001D06AA">
              <w:rPr>
                <w:rFonts w:eastAsia="Calibri" w:cs="Times New Roman"/>
                <w:i/>
                <w:color w:val="000000"/>
                <w:sz w:val="20"/>
                <w:szCs w:val="20"/>
              </w:rPr>
              <w:t>Adelaide</w:t>
            </w:r>
            <w:r w:rsidRPr="001D06AA">
              <w:rPr>
                <w:rFonts w:cs="Times New Roman"/>
                <w:i/>
                <w:color w:val="000000"/>
                <w:sz w:val="20"/>
                <w:szCs w:val="20"/>
              </w:rPr>
              <w:t xml:space="preserve">/ </w:t>
            </w:r>
            <w:r w:rsidRPr="001D06AA">
              <w:rPr>
                <w:rFonts w:eastAsia="Calibri" w:cs="Times New Roman"/>
                <w:i/>
                <w:color w:val="000000"/>
                <w:sz w:val="20"/>
                <w:szCs w:val="20"/>
              </w:rPr>
              <w:t>South</w:t>
            </w:r>
            <w:r w:rsidRPr="001D06AA">
              <w:rPr>
                <w:rFonts w:cs="Times New Roman"/>
                <w:i/>
                <w:color w:val="000000"/>
                <w:sz w:val="20"/>
                <w:szCs w:val="20"/>
              </w:rPr>
              <w:t xml:space="preserve"> </w:t>
            </w:r>
            <w:r w:rsidRPr="001D06AA">
              <w:rPr>
                <w:rFonts w:eastAsia="Calibri" w:cs="Times New Roman"/>
                <w:i/>
                <w:color w:val="000000"/>
                <w:sz w:val="20"/>
                <w:szCs w:val="20"/>
              </w:rPr>
              <w:t>Australia</w:t>
            </w:r>
            <w:r w:rsidRPr="001D06AA">
              <w:rPr>
                <w:rFonts w:cs="Times New Roman"/>
                <w:i/>
                <w:color w:val="000000"/>
                <w:sz w:val="20"/>
                <w:szCs w:val="20"/>
              </w:rPr>
              <w:t xml:space="preserve"> </w:t>
            </w:r>
            <w:r w:rsidRPr="001D06AA">
              <w:rPr>
                <w:rFonts w:eastAsia="Calibri" w:cs="Times New Roman"/>
                <w:i/>
                <w:color w:val="000000"/>
                <w:sz w:val="20"/>
                <w:szCs w:val="20"/>
              </w:rPr>
              <w:t>Law</w:t>
            </w:r>
            <w:r w:rsidRPr="001D06AA">
              <w:rPr>
                <w:rFonts w:cs="Times New Roman"/>
                <w:i/>
                <w:color w:val="000000"/>
                <w:sz w:val="20"/>
                <w:szCs w:val="20"/>
              </w:rPr>
              <w:t xml:space="preserve"> </w:t>
            </w:r>
            <w:r w:rsidRPr="001D06AA">
              <w:rPr>
                <w:rFonts w:eastAsia="Calibri" w:cs="Times New Roman"/>
                <w:i/>
                <w:color w:val="000000"/>
                <w:sz w:val="20"/>
                <w:szCs w:val="20"/>
              </w:rPr>
              <w:t>Reform</w:t>
            </w:r>
            <w:r w:rsidRPr="001D06AA">
              <w:rPr>
                <w:rFonts w:cs="Times New Roman"/>
                <w:i/>
                <w:color w:val="000000"/>
                <w:sz w:val="20"/>
                <w:szCs w:val="20"/>
              </w:rPr>
              <w:t xml:space="preserve"> </w:t>
            </w:r>
            <w:r w:rsidRPr="001D06AA">
              <w:rPr>
                <w:rFonts w:eastAsia="Calibri" w:cs="Times New Roman"/>
                <w:i/>
                <w:color w:val="000000"/>
                <w:sz w:val="20"/>
                <w:szCs w:val="20"/>
              </w:rPr>
              <w:t>Institute</w:t>
            </w:r>
          </w:p>
        </w:tc>
        <w:tc>
          <w:tcPr>
            <w:tcW w:w="3165" w:type="dxa"/>
          </w:tcPr>
          <w:p w14:paraId="4EA1C7F0"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Martine</w:t>
            </w:r>
            <w:r w:rsidRPr="00DE614F">
              <w:rPr>
                <w:rFonts w:cs="Times New Roman"/>
                <w:b/>
                <w:color w:val="000000"/>
                <w:sz w:val="20"/>
                <w:szCs w:val="20"/>
              </w:rPr>
              <w:t xml:space="preserve"> </w:t>
            </w:r>
            <w:r w:rsidRPr="00DE614F">
              <w:rPr>
                <w:rFonts w:eastAsia="Calibri" w:cs="Times New Roman"/>
                <w:b/>
                <w:color w:val="000000"/>
                <w:sz w:val="20"/>
                <w:szCs w:val="20"/>
              </w:rPr>
              <w:t>Powell</w:t>
            </w:r>
          </w:p>
          <w:p w14:paraId="2F803341"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Griffith University</w:t>
            </w:r>
          </w:p>
          <w:p w14:paraId="643B221F" w14:textId="77777777" w:rsidR="006D445B" w:rsidRPr="00DE614F" w:rsidRDefault="006D445B" w:rsidP="006D445B">
            <w:pPr>
              <w:spacing w:after="0"/>
              <w:jc w:val="left"/>
              <w:rPr>
                <w:rFonts w:eastAsia="Calibri" w:cs="Times New Roman"/>
                <w:b/>
                <w:color w:val="000000"/>
                <w:sz w:val="20"/>
                <w:szCs w:val="20"/>
              </w:rPr>
            </w:pPr>
          </w:p>
          <w:p w14:paraId="21A7FCF7"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Frances</w:t>
            </w:r>
            <w:r w:rsidRPr="00DE614F">
              <w:rPr>
                <w:rFonts w:cs="Times New Roman"/>
                <w:b/>
                <w:color w:val="000000"/>
                <w:sz w:val="20"/>
                <w:szCs w:val="20"/>
              </w:rPr>
              <w:t xml:space="preserve"> </w:t>
            </w:r>
            <w:r w:rsidRPr="00DE614F">
              <w:rPr>
                <w:rFonts w:eastAsia="Calibri" w:cs="Times New Roman"/>
                <w:b/>
                <w:color w:val="000000"/>
                <w:sz w:val="20"/>
                <w:szCs w:val="20"/>
              </w:rPr>
              <w:t>Quan</w:t>
            </w:r>
            <w:r w:rsidRPr="00DE614F">
              <w:rPr>
                <w:rFonts w:cs="Times New Roman"/>
                <w:b/>
                <w:color w:val="000000"/>
                <w:sz w:val="20"/>
                <w:szCs w:val="20"/>
              </w:rPr>
              <w:t xml:space="preserve"> </w:t>
            </w:r>
            <w:r w:rsidRPr="00DE614F">
              <w:rPr>
                <w:rFonts w:eastAsia="Calibri" w:cs="Times New Roman"/>
                <w:b/>
                <w:color w:val="000000"/>
                <w:sz w:val="20"/>
                <w:szCs w:val="20"/>
              </w:rPr>
              <w:t>Farrant</w:t>
            </w:r>
          </w:p>
          <w:p w14:paraId="44A05D5B" w14:textId="77777777" w:rsidR="006D445B" w:rsidRPr="00DE614F" w:rsidRDefault="006D445B" w:rsidP="006D445B">
            <w:pPr>
              <w:spacing w:after="0"/>
              <w:jc w:val="left"/>
              <w:rPr>
                <w:rFonts w:cs="Times New Roman"/>
                <w:i/>
                <w:color w:val="000000"/>
                <w:sz w:val="20"/>
                <w:szCs w:val="20"/>
              </w:rPr>
            </w:pPr>
            <w:r w:rsidRPr="00DE614F">
              <w:rPr>
                <w:rFonts w:eastAsia="Calibri" w:cs="Times New Roman"/>
                <w:i/>
                <w:color w:val="000000"/>
                <w:sz w:val="20"/>
                <w:szCs w:val="20"/>
              </w:rPr>
              <w:t>People</w:t>
            </w:r>
            <w:r w:rsidRPr="00DE614F">
              <w:rPr>
                <w:rFonts w:cs="Times New Roman"/>
                <w:i/>
                <w:color w:val="000000"/>
                <w:sz w:val="20"/>
                <w:szCs w:val="20"/>
              </w:rPr>
              <w:t xml:space="preserve"> </w:t>
            </w:r>
            <w:r w:rsidRPr="00DE614F">
              <w:rPr>
                <w:rFonts w:eastAsia="Calibri" w:cs="Times New Roman"/>
                <w:i/>
                <w:color w:val="000000"/>
                <w:sz w:val="20"/>
                <w:szCs w:val="20"/>
              </w:rPr>
              <w:t>with</w:t>
            </w:r>
            <w:r w:rsidRPr="00DE614F">
              <w:rPr>
                <w:rFonts w:cs="Times New Roman"/>
                <w:i/>
                <w:color w:val="000000"/>
                <w:sz w:val="20"/>
                <w:szCs w:val="20"/>
              </w:rPr>
              <w:t xml:space="preserve"> </w:t>
            </w:r>
            <w:r w:rsidRPr="00DE614F">
              <w:rPr>
                <w:rFonts w:eastAsia="Calibri" w:cs="Times New Roman"/>
                <w:i/>
                <w:color w:val="000000"/>
                <w:sz w:val="20"/>
                <w:szCs w:val="20"/>
              </w:rPr>
              <w:t>Disability</w:t>
            </w:r>
            <w:r w:rsidRPr="00DE614F">
              <w:rPr>
                <w:rFonts w:cs="Times New Roman"/>
                <w:i/>
                <w:color w:val="000000"/>
                <w:sz w:val="20"/>
                <w:szCs w:val="20"/>
              </w:rPr>
              <w:t xml:space="preserve"> </w:t>
            </w:r>
            <w:r w:rsidRPr="00DE614F">
              <w:rPr>
                <w:rFonts w:eastAsia="Calibri" w:cs="Times New Roman"/>
                <w:i/>
                <w:color w:val="000000"/>
                <w:sz w:val="20"/>
                <w:szCs w:val="20"/>
              </w:rPr>
              <w:t>Australia</w:t>
            </w:r>
            <w:r w:rsidRPr="00DE614F">
              <w:rPr>
                <w:rFonts w:cs="Times New Roman"/>
                <w:i/>
                <w:color w:val="000000"/>
                <w:sz w:val="20"/>
                <w:szCs w:val="20"/>
              </w:rPr>
              <w:t xml:space="preserve"> (</w:t>
            </w:r>
            <w:r w:rsidRPr="00DE614F">
              <w:rPr>
                <w:rFonts w:eastAsia="Calibri" w:cs="Times New Roman"/>
                <w:i/>
                <w:color w:val="000000"/>
                <w:sz w:val="20"/>
                <w:szCs w:val="20"/>
              </w:rPr>
              <w:t>PWDA</w:t>
            </w:r>
            <w:r w:rsidRPr="00DE614F">
              <w:rPr>
                <w:rFonts w:cs="Times New Roman"/>
                <w:i/>
                <w:color w:val="000000"/>
                <w:sz w:val="20"/>
                <w:szCs w:val="20"/>
              </w:rPr>
              <w:t>)</w:t>
            </w:r>
          </w:p>
          <w:p w14:paraId="68C67CA0" w14:textId="77777777" w:rsidR="006D445B" w:rsidRPr="00DE614F" w:rsidRDefault="006D445B" w:rsidP="006D445B">
            <w:pPr>
              <w:spacing w:after="0"/>
              <w:jc w:val="left"/>
              <w:rPr>
                <w:rFonts w:eastAsia="Calibri" w:cs="Times New Roman"/>
                <w:b/>
                <w:color w:val="000000"/>
                <w:sz w:val="20"/>
                <w:szCs w:val="20"/>
              </w:rPr>
            </w:pPr>
          </w:p>
          <w:p w14:paraId="5EB586A9"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Paul</w:t>
            </w:r>
            <w:r w:rsidRPr="00DE614F">
              <w:rPr>
                <w:rFonts w:cs="Times New Roman"/>
                <w:b/>
                <w:color w:val="000000"/>
                <w:sz w:val="20"/>
                <w:szCs w:val="20"/>
              </w:rPr>
              <w:t xml:space="preserve"> </w:t>
            </w:r>
            <w:r w:rsidRPr="00DE614F">
              <w:rPr>
                <w:rFonts w:eastAsia="Calibri" w:cs="Times New Roman"/>
                <w:b/>
                <w:color w:val="000000"/>
                <w:sz w:val="20"/>
                <w:szCs w:val="20"/>
              </w:rPr>
              <w:t>Ramcharan</w:t>
            </w:r>
          </w:p>
          <w:p w14:paraId="74FBFB4D"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RMIT University</w:t>
            </w:r>
          </w:p>
          <w:p w14:paraId="01E4A71F" w14:textId="77777777" w:rsidR="006D445B" w:rsidRPr="00DE614F" w:rsidRDefault="006D445B" w:rsidP="006D445B">
            <w:pPr>
              <w:spacing w:after="0"/>
              <w:jc w:val="left"/>
              <w:rPr>
                <w:rFonts w:eastAsia="Calibri" w:cs="Times New Roman"/>
                <w:b/>
                <w:color w:val="000000"/>
                <w:sz w:val="20"/>
                <w:szCs w:val="20"/>
              </w:rPr>
            </w:pPr>
          </w:p>
          <w:p w14:paraId="3BEC0456"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Simon</w:t>
            </w:r>
            <w:r w:rsidRPr="00DE614F">
              <w:rPr>
                <w:rFonts w:cs="Times New Roman"/>
                <w:b/>
                <w:color w:val="000000"/>
                <w:sz w:val="20"/>
                <w:szCs w:val="20"/>
              </w:rPr>
              <w:t xml:space="preserve"> </w:t>
            </w:r>
            <w:r w:rsidRPr="00DE614F">
              <w:rPr>
                <w:rFonts w:eastAsia="Calibri" w:cs="Times New Roman"/>
                <w:b/>
                <w:color w:val="000000"/>
                <w:sz w:val="20"/>
                <w:szCs w:val="20"/>
              </w:rPr>
              <w:t>Rice</w:t>
            </w:r>
          </w:p>
          <w:p w14:paraId="686F3A4C" w14:textId="77777777" w:rsidR="006D445B" w:rsidRPr="00DE614F" w:rsidRDefault="006D445B" w:rsidP="006D445B">
            <w:pPr>
              <w:spacing w:after="0"/>
              <w:jc w:val="left"/>
              <w:rPr>
                <w:rFonts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Sydney</w:t>
            </w:r>
            <w:r w:rsidRPr="00DE614F">
              <w:rPr>
                <w:rFonts w:cs="Times New Roman"/>
                <w:i/>
                <w:color w:val="000000"/>
                <w:sz w:val="20"/>
                <w:szCs w:val="20"/>
              </w:rPr>
              <w:t xml:space="preserve">  </w:t>
            </w:r>
          </w:p>
          <w:p w14:paraId="0E1C6B66" w14:textId="77777777" w:rsidR="006D445B" w:rsidRPr="00DE614F" w:rsidRDefault="006D445B" w:rsidP="006D445B">
            <w:pPr>
              <w:spacing w:after="0"/>
              <w:jc w:val="left"/>
              <w:rPr>
                <w:rFonts w:eastAsia="Calibri" w:cs="Times New Roman"/>
                <w:b/>
                <w:color w:val="000000"/>
                <w:sz w:val="20"/>
                <w:szCs w:val="20"/>
              </w:rPr>
            </w:pPr>
          </w:p>
          <w:p w14:paraId="6573D143"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Therese</w:t>
            </w:r>
            <w:r w:rsidRPr="00DE614F">
              <w:rPr>
                <w:rFonts w:cs="Times New Roman"/>
                <w:b/>
                <w:color w:val="000000"/>
                <w:sz w:val="20"/>
                <w:szCs w:val="20"/>
              </w:rPr>
              <w:t xml:space="preserve"> </w:t>
            </w:r>
            <w:r w:rsidRPr="00DE614F">
              <w:rPr>
                <w:rFonts w:eastAsia="Calibri" w:cs="Times New Roman"/>
                <w:b/>
                <w:color w:val="000000"/>
                <w:sz w:val="20"/>
                <w:szCs w:val="20"/>
              </w:rPr>
              <w:t>Sands</w:t>
            </w:r>
          </w:p>
          <w:p w14:paraId="272FEE2E" w14:textId="5C57CCC7" w:rsidR="006D445B" w:rsidRPr="00DE614F" w:rsidRDefault="006D445B" w:rsidP="006D445B">
            <w:pPr>
              <w:spacing w:after="0"/>
              <w:jc w:val="left"/>
              <w:rPr>
                <w:rFonts w:cs="Times New Roman"/>
                <w:i/>
                <w:color w:val="000000"/>
                <w:sz w:val="20"/>
                <w:szCs w:val="20"/>
              </w:rPr>
            </w:pPr>
            <w:r w:rsidRPr="00DE614F">
              <w:rPr>
                <w:rFonts w:eastAsia="Calibri" w:cs="Times New Roman"/>
                <w:i/>
                <w:color w:val="000000"/>
                <w:sz w:val="20"/>
                <w:szCs w:val="20"/>
              </w:rPr>
              <w:t>Disabled</w:t>
            </w:r>
            <w:r w:rsidRPr="00DE614F">
              <w:rPr>
                <w:rFonts w:cs="Times New Roman"/>
                <w:i/>
                <w:color w:val="000000"/>
                <w:sz w:val="20"/>
                <w:szCs w:val="20"/>
              </w:rPr>
              <w:t xml:space="preserve"> </w:t>
            </w:r>
            <w:r w:rsidRPr="00DE614F">
              <w:rPr>
                <w:rFonts w:eastAsia="Calibri" w:cs="Times New Roman"/>
                <w:i/>
                <w:color w:val="000000"/>
                <w:sz w:val="20"/>
                <w:szCs w:val="20"/>
              </w:rPr>
              <w:t>People</w:t>
            </w:r>
            <w:r w:rsidR="00DE614F" w:rsidRPr="00DE614F">
              <w:rPr>
                <w:rFonts w:eastAsia="Calibri" w:cs="Times New Roman"/>
                <w:i/>
                <w:color w:val="000000"/>
                <w:sz w:val="20"/>
                <w:szCs w:val="20"/>
              </w:rPr>
              <w:t>’</w:t>
            </w:r>
            <w:r w:rsidRPr="00DE614F">
              <w:rPr>
                <w:rFonts w:eastAsia="Calibri" w:cs="Times New Roman"/>
                <w:i/>
                <w:color w:val="000000"/>
                <w:sz w:val="20"/>
                <w:szCs w:val="20"/>
              </w:rPr>
              <w:t>s</w:t>
            </w:r>
            <w:r w:rsidRPr="00DE614F">
              <w:rPr>
                <w:rFonts w:cs="Times New Roman"/>
                <w:i/>
                <w:color w:val="000000"/>
                <w:sz w:val="20"/>
                <w:szCs w:val="20"/>
              </w:rPr>
              <w:t xml:space="preserve"> </w:t>
            </w:r>
            <w:r w:rsidRPr="00DE614F">
              <w:rPr>
                <w:rFonts w:eastAsia="Calibri" w:cs="Times New Roman"/>
                <w:i/>
                <w:color w:val="000000"/>
                <w:sz w:val="20"/>
                <w:szCs w:val="20"/>
              </w:rPr>
              <w:t>Organisations</w:t>
            </w:r>
            <w:r w:rsidR="00DE614F" w:rsidRPr="00DE614F">
              <w:rPr>
                <w:rFonts w:cs="Times New Roman"/>
                <w:i/>
                <w:color w:val="000000"/>
                <w:sz w:val="20"/>
                <w:szCs w:val="20"/>
              </w:rPr>
              <w:t xml:space="preserve"> </w:t>
            </w:r>
            <w:r w:rsidRPr="00DE614F">
              <w:rPr>
                <w:rFonts w:eastAsia="Calibri" w:cs="Times New Roman"/>
                <w:i/>
                <w:color w:val="000000"/>
                <w:sz w:val="20"/>
                <w:szCs w:val="20"/>
              </w:rPr>
              <w:t>Australia</w:t>
            </w:r>
          </w:p>
          <w:p w14:paraId="3351D562" w14:textId="77777777" w:rsidR="006D445B" w:rsidRPr="00DE614F" w:rsidRDefault="006D445B" w:rsidP="006D445B">
            <w:pPr>
              <w:spacing w:after="0"/>
              <w:jc w:val="left"/>
              <w:rPr>
                <w:rFonts w:eastAsia="Calibri" w:cs="Times New Roman"/>
                <w:b/>
                <w:color w:val="000000"/>
                <w:sz w:val="20"/>
                <w:szCs w:val="20"/>
              </w:rPr>
            </w:pPr>
          </w:p>
          <w:p w14:paraId="3A2EDAB5"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Karen</w:t>
            </w:r>
            <w:r w:rsidRPr="00DE614F">
              <w:rPr>
                <w:rFonts w:cs="Times New Roman"/>
                <w:b/>
                <w:color w:val="000000"/>
                <w:sz w:val="20"/>
                <w:szCs w:val="20"/>
              </w:rPr>
              <w:t xml:space="preserve"> </w:t>
            </w:r>
            <w:r w:rsidRPr="00DE614F">
              <w:rPr>
                <w:rFonts w:eastAsia="Calibri" w:cs="Times New Roman"/>
                <w:b/>
                <w:color w:val="000000"/>
                <w:sz w:val="20"/>
                <w:szCs w:val="20"/>
              </w:rPr>
              <w:t>Schultz</w:t>
            </w:r>
          </w:p>
          <w:p w14:paraId="3289180A"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Griffith</w:t>
            </w:r>
            <w:r w:rsidRPr="00DE614F">
              <w:rPr>
                <w:rFonts w:cs="Times New Roman"/>
                <w:i/>
                <w:color w:val="000000"/>
                <w:sz w:val="20"/>
                <w:szCs w:val="20"/>
              </w:rPr>
              <w:t xml:space="preserve"> </w:t>
            </w:r>
            <w:r w:rsidRPr="00DE614F">
              <w:rPr>
                <w:rFonts w:eastAsia="Calibri" w:cs="Times New Roman"/>
                <w:i/>
                <w:color w:val="000000"/>
                <w:sz w:val="20"/>
                <w:szCs w:val="20"/>
              </w:rPr>
              <w:t>University</w:t>
            </w:r>
          </w:p>
          <w:p w14:paraId="02816C92" w14:textId="77777777" w:rsidR="006D445B" w:rsidRPr="00DE614F" w:rsidRDefault="006D445B" w:rsidP="006D445B">
            <w:pPr>
              <w:spacing w:after="0"/>
              <w:jc w:val="left"/>
              <w:rPr>
                <w:rFonts w:eastAsia="Calibri" w:cs="Times New Roman"/>
                <w:b/>
                <w:color w:val="000000"/>
                <w:sz w:val="20"/>
                <w:szCs w:val="20"/>
              </w:rPr>
            </w:pPr>
          </w:p>
          <w:p w14:paraId="6CD50D14"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Karen</w:t>
            </w:r>
            <w:r w:rsidRPr="00DE614F">
              <w:rPr>
                <w:rFonts w:cs="Times New Roman"/>
                <w:b/>
                <w:color w:val="000000"/>
                <w:sz w:val="20"/>
                <w:szCs w:val="20"/>
              </w:rPr>
              <w:t xml:space="preserve"> </w:t>
            </w:r>
            <w:r w:rsidRPr="00DE614F">
              <w:rPr>
                <w:rFonts w:eastAsia="Calibri" w:cs="Times New Roman"/>
                <w:b/>
                <w:color w:val="000000"/>
                <w:sz w:val="20"/>
                <w:szCs w:val="20"/>
              </w:rPr>
              <w:t>Soldatic</w:t>
            </w:r>
          </w:p>
          <w:p w14:paraId="4463A8BC"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Western</w:t>
            </w:r>
            <w:r w:rsidRPr="00DE614F">
              <w:rPr>
                <w:rFonts w:cs="Times New Roman"/>
                <w:i/>
                <w:color w:val="000000"/>
                <w:sz w:val="20"/>
                <w:szCs w:val="20"/>
              </w:rPr>
              <w:t xml:space="preserve"> </w:t>
            </w:r>
            <w:r w:rsidRPr="00DE614F">
              <w:rPr>
                <w:rFonts w:eastAsia="Calibri" w:cs="Times New Roman"/>
                <w:i/>
                <w:color w:val="000000"/>
                <w:sz w:val="20"/>
                <w:szCs w:val="20"/>
              </w:rPr>
              <w:t>Sydney</w:t>
            </w:r>
          </w:p>
          <w:p w14:paraId="3E4D0080" w14:textId="77777777" w:rsidR="006D445B" w:rsidRPr="00DE614F" w:rsidRDefault="006D445B" w:rsidP="006D445B">
            <w:pPr>
              <w:spacing w:after="0"/>
              <w:jc w:val="left"/>
              <w:rPr>
                <w:rFonts w:eastAsia="Calibri" w:cs="Times New Roman"/>
                <w:b/>
                <w:color w:val="000000"/>
                <w:sz w:val="20"/>
                <w:szCs w:val="20"/>
              </w:rPr>
            </w:pPr>
          </w:p>
          <w:p w14:paraId="235CC625"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Claire</w:t>
            </w:r>
            <w:r w:rsidRPr="00DE614F">
              <w:rPr>
                <w:rFonts w:cs="Times New Roman"/>
                <w:b/>
                <w:color w:val="000000"/>
                <w:sz w:val="20"/>
                <w:szCs w:val="20"/>
              </w:rPr>
              <w:t xml:space="preserve"> </w:t>
            </w:r>
            <w:r w:rsidRPr="00DE614F">
              <w:rPr>
                <w:rFonts w:eastAsia="Calibri" w:cs="Times New Roman"/>
                <w:b/>
                <w:color w:val="000000"/>
                <w:sz w:val="20"/>
                <w:szCs w:val="20"/>
              </w:rPr>
              <w:t>Spivakovsky</w:t>
            </w:r>
          </w:p>
          <w:p w14:paraId="392A5049"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Monash</w:t>
            </w:r>
            <w:r w:rsidRPr="00DE614F">
              <w:rPr>
                <w:rFonts w:cs="Times New Roman"/>
                <w:i/>
                <w:color w:val="000000"/>
                <w:sz w:val="20"/>
                <w:szCs w:val="20"/>
              </w:rPr>
              <w:t xml:space="preserve"> </w:t>
            </w:r>
            <w:r w:rsidRPr="00DE614F">
              <w:rPr>
                <w:rFonts w:eastAsia="Calibri" w:cs="Times New Roman"/>
                <w:i/>
                <w:color w:val="000000"/>
                <w:sz w:val="20"/>
                <w:szCs w:val="20"/>
              </w:rPr>
              <w:t>University</w:t>
            </w:r>
          </w:p>
          <w:p w14:paraId="70CC61A4" w14:textId="77777777" w:rsidR="006D445B" w:rsidRPr="00DE614F" w:rsidRDefault="006D445B" w:rsidP="004701C0">
            <w:pPr>
              <w:spacing w:after="0"/>
              <w:jc w:val="left"/>
              <w:rPr>
                <w:rFonts w:eastAsia="Calibri" w:cs="Times New Roman"/>
                <w:i/>
                <w:color w:val="000000"/>
                <w:sz w:val="20"/>
                <w:szCs w:val="20"/>
              </w:rPr>
            </w:pPr>
          </w:p>
          <w:p w14:paraId="73036AF5" w14:textId="77777777" w:rsidR="004701C0" w:rsidRPr="00DE614F" w:rsidRDefault="004701C0" w:rsidP="004701C0">
            <w:pPr>
              <w:spacing w:after="0"/>
              <w:jc w:val="left"/>
              <w:rPr>
                <w:rFonts w:eastAsia="Calibri" w:cs="Times New Roman"/>
                <w:b/>
                <w:color w:val="000000"/>
                <w:sz w:val="20"/>
                <w:szCs w:val="20"/>
              </w:rPr>
            </w:pPr>
            <w:r w:rsidRPr="00DE614F">
              <w:rPr>
                <w:rFonts w:eastAsia="Calibri" w:cs="Times New Roman"/>
                <w:b/>
                <w:color w:val="000000"/>
                <w:sz w:val="20"/>
                <w:szCs w:val="20"/>
              </w:rPr>
              <w:t>Linda</w:t>
            </w:r>
            <w:r w:rsidRPr="00DE614F">
              <w:rPr>
                <w:rFonts w:cs="Times New Roman"/>
                <w:b/>
                <w:color w:val="000000"/>
                <w:sz w:val="20"/>
                <w:szCs w:val="20"/>
              </w:rPr>
              <w:t xml:space="preserve"> </w:t>
            </w:r>
            <w:r w:rsidRPr="00DE614F">
              <w:rPr>
                <w:rFonts w:eastAsia="Calibri" w:cs="Times New Roman"/>
                <w:b/>
                <w:color w:val="000000"/>
                <w:sz w:val="20"/>
                <w:szCs w:val="20"/>
              </w:rPr>
              <w:t>Steele</w:t>
            </w:r>
          </w:p>
          <w:p w14:paraId="6ACB124B" w14:textId="77777777" w:rsidR="004701C0" w:rsidRPr="00DE614F" w:rsidRDefault="004701C0" w:rsidP="004701C0">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Technology</w:t>
            </w:r>
            <w:r w:rsidRPr="00DE614F">
              <w:rPr>
                <w:rFonts w:cs="Times New Roman"/>
                <w:i/>
                <w:color w:val="000000"/>
                <w:sz w:val="20"/>
                <w:szCs w:val="20"/>
              </w:rPr>
              <w:t xml:space="preserve"> </w:t>
            </w:r>
            <w:r w:rsidRPr="00DE614F">
              <w:rPr>
                <w:rFonts w:eastAsia="Calibri" w:cs="Times New Roman"/>
                <w:i/>
                <w:color w:val="000000"/>
                <w:sz w:val="20"/>
                <w:szCs w:val="20"/>
              </w:rPr>
              <w:t>Sydney</w:t>
            </w:r>
          </w:p>
          <w:p w14:paraId="570B03BE" w14:textId="77777777" w:rsidR="004701C0" w:rsidRPr="00DE614F" w:rsidRDefault="004701C0" w:rsidP="004701C0">
            <w:pPr>
              <w:spacing w:after="0"/>
              <w:jc w:val="left"/>
              <w:rPr>
                <w:rFonts w:cs="Times New Roman"/>
                <w:i/>
                <w:color w:val="000000"/>
                <w:sz w:val="20"/>
                <w:szCs w:val="20"/>
              </w:rPr>
            </w:pPr>
          </w:p>
          <w:p w14:paraId="64E101B4"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Katey</w:t>
            </w:r>
            <w:r w:rsidRPr="00DE614F">
              <w:rPr>
                <w:rFonts w:cs="Times New Roman"/>
                <w:b/>
                <w:color w:val="000000"/>
                <w:sz w:val="20"/>
                <w:szCs w:val="20"/>
              </w:rPr>
              <w:t xml:space="preserve"> </w:t>
            </w:r>
            <w:r w:rsidRPr="00DE614F">
              <w:rPr>
                <w:rFonts w:eastAsia="Calibri" w:cs="Times New Roman"/>
                <w:b/>
                <w:color w:val="000000"/>
                <w:sz w:val="20"/>
                <w:szCs w:val="20"/>
              </w:rPr>
              <w:t>Thom</w:t>
            </w:r>
          </w:p>
          <w:p w14:paraId="48FE7526" w14:textId="74CFE763" w:rsidR="006D445B" w:rsidRPr="00DE614F" w:rsidRDefault="006D445B" w:rsidP="004701C0">
            <w:pPr>
              <w:spacing w:after="0"/>
              <w:jc w:val="left"/>
              <w:rPr>
                <w:rFonts w:eastAsia="Calibri" w:cs="Times New Roman"/>
                <w:i/>
                <w:color w:val="000000"/>
                <w:sz w:val="20"/>
                <w:szCs w:val="20"/>
              </w:rPr>
            </w:pPr>
            <w:r w:rsidRPr="00DE614F">
              <w:rPr>
                <w:rFonts w:eastAsia="Calibri" w:cs="Times New Roman"/>
                <w:i/>
                <w:color w:val="000000"/>
                <w:sz w:val="20"/>
                <w:szCs w:val="20"/>
              </w:rPr>
              <w:t>AUT Law</w:t>
            </w:r>
          </w:p>
          <w:p w14:paraId="1EA5CC2F" w14:textId="77777777" w:rsidR="004701C0" w:rsidRPr="00DE614F" w:rsidRDefault="004701C0" w:rsidP="004701C0">
            <w:pPr>
              <w:spacing w:after="0"/>
              <w:jc w:val="left"/>
              <w:rPr>
                <w:rFonts w:cs="Times New Roman"/>
                <w:i/>
                <w:color w:val="000000"/>
                <w:sz w:val="20"/>
                <w:szCs w:val="20"/>
              </w:rPr>
            </w:pPr>
          </w:p>
          <w:p w14:paraId="5DA7B74E"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Rebecca</w:t>
            </w:r>
            <w:r w:rsidRPr="00DE614F">
              <w:rPr>
                <w:rFonts w:cs="Times New Roman"/>
                <w:b/>
                <w:color w:val="000000"/>
                <w:sz w:val="20"/>
                <w:szCs w:val="20"/>
              </w:rPr>
              <w:t xml:space="preserve"> </w:t>
            </w:r>
            <w:r w:rsidRPr="00DE614F">
              <w:rPr>
                <w:rFonts w:eastAsia="Calibri" w:cs="Times New Roman"/>
                <w:b/>
                <w:color w:val="000000"/>
                <w:sz w:val="20"/>
                <w:szCs w:val="20"/>
              </w:rPr>
              <w:t>Tooher</w:t>
            </w:r>
          </w:p>
          <w:p w14:paraId="661F7D48" w14:textId="063010B8" w:rsidR="004701C0"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Adelaide</w:t>
            </w:r>
          </w:p>
          <w:p w14:paraId="284253B9" w14:textId="77777777" w:rsidR="004701C0" w:rsidRPr="00DE614F" w:rsidRDefault="004701C0" w:rsidP="004701C0">
            <w:pPr>
              <w:spacing w:after="0"/>
              <w:jc w:val="left"/>
              <w:rPr>
                <w:rFonts w:eastAsia="Calibri" w:cs="Times New Roman"/>
                <w:i/>
                <w:color w:val="000000"/>
                <w:sz w:val="20"/>
                <w:szCs w:val="20"/>
              </w:rPr>
            </w:pPr>
          </w:p>
          <w:p w14:paraId="28030855"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Tamara</w:t>
            </w:r>
            <w:r w:rsidRPr="00DE614F">
              <w:rPr>
                <w:rFonts w:cs="Times New Roman"/>
                <w:b/>
                <w:color w:val="000000"/>
                <w:sz w:val="20"/>
                <w:szCs w:val="20"/>
              </w:rPr>
              <w:t xml:space="preserve"> </w:t>
            </w:r>
            <w:r w:rsidRPr="00DE614F">
              <w:rPr>
                <w:rFonts w:eastAsia="Calibri" w:cs="Times New Roman"/>
                <w:b/>
                <w:color w:val="000000"/>
                <w:sz w:val="20"/>
                <w:szCs w:val="20"/>
              </w:rPr>
              <w:t>Tulich</w:t>
            </w:r>
          </w:p>
          <w:p w14:paraId="176360AD"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Western</w:t>
            </w:r>
            <w:r w:rsidRPr="00DE614F">
              <w:rPr>
                <w:rFonts w:cs="Times New Roman"/>
                <w:i/>
                <w:color w:val="000000"/>
                <w:sz w:val="20"/>
                <w:szCs w:val="20"/>
              </w:rPr>
              <w:t xml:space="preserve"> </w:t>
            </w:r>
            <w:r w:rsidRPr="00DE614F">
              <w:rPr>
                <w:rFonts w:eastAsia="Calibri" w:cs="Times New Roman"/>
                <w:i/>
                <w:color w:val="000000"/>
                <w:sz w:val="20"/>
                <w:szCs w:val="20"/>
              </w:rPr>
              <w:t>Australia</w:t>
            </w:r>
          </w:p>
          <w:p w14:paraId="31633767" w14:textId="77777777" w:rsidR="006D445B" w:rsidRPr="00DE614F" w:rsidRDefault="006D445B" w:rsidP="004701C0">
            <w:pPr>
              <w:spacing w:after="0"/>
              <w:jc w:val="left"/>
              <w:rPr>
                <w:rFonts w:eastAsia="Calibri" w:cs="Times New Roman"/>
                <w:i/>
                <w:color w:val="000000"/>
                <w:sz w:val="20"/>
                <w:szCs w:val="20"/>
              </w:rPr>
            </w:pPr>
          </w:p>
          <w:p w14:paraId="465146A8" w14:textId="37106583" w:rsidR="006D445B" w:rsidRPr="00DE614F" w:rsidRDefault="006D445B" w:rsidP="004701C0">
            <w:pPr>
              <w:spacing w:after="0"/>
              <w:jc w:val="left"/>
              <w:rPr>
                <w:rFonts w:eastAsia="Calibri" w:cs="Times New Roman"/>
                <w:b/>
                <w:color w:val="000000"/>
                <w:sz w:val="20"/>
                <w:szCs w:val="20"/>
              </w:rPr>
            </w:pPr>
            <w:r w:rsidRPr="00DE614F">
              <w:rPr>
                <w:rFonts w:eastAsia="Calibri" w:cs="Times New Roman"/>
                <w:b/>
                <w:color w:val="000000"/>
                <w:sz w:val="20"/>
                <w:szCs w:val="20"/>
              </w:rPr>
              <w:t>Natalie Wade</w:t>
            </w:r>
          </w:p>
          <w:p w14:paraId="0B131B33" w14:textId="05EDE494" w:rsidR="006D445B" w:rsidRPr="00DE614F" w:rsidRDefault="008E58FE" w:rsidP="004701C0">
            <w:pPr>
              <w:spacing w:after="0"/>
              <w:jc w:val="left"/>
              <w:rPr>
                <w:rFonts w:eastAsia="Calibri" w:cs="Times New Roman"/>
                <w:i/>
                <w:color w:val="000000"/>
                <w:sz w:val="20"/>
                <w:szCs w:val="20"/>
              </w:rPr>
            </w:pPr>
            <w:r>
              <w:rPr>
                <w:rFonts w:eastAsia="Calibri" w:cs="Times New Roman"/>
                <w:i/>
                <w:color w:val="000000"/>
                <w:sz w:val="20"/>
                <w:szCs w:val="20"/>
              </w:rPr>
              <w:t>Australian Lawyers for Human Rights</w:t>
            </w:r>
            <w:bookmarkStart w:id="0" w:name="_GoBack"/>
            <w:bookmarkEnd w:id="0"/>
          </w:p>
          <w:p w14:paraId="0BA93577" w14:textId="77777777" w:rsidR="006D445B" w:rsidRPr="00DE614F" w:rsidRDefault="006D445B" w:rsidP="004701C0">
            <w:pPr>
              <w:spacing w:after="0"/>
              <w:jc w:val="left"/>
              <w:rPr>
                <w:rFonts w:eastAsia="Calibri" w:cs="Times New Roman"/>
                <w:i/>
                <w:color w:val="000000"/>
                <w:sz w:val="20"/>
                <w:szCs w:val="20"/>
              </w:rPr>
            </w:pPr>
          </w:p>
          <w:p w14:paraId="71A97A67"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Dinesh</w:t>
            </w:r>
            <w:r w:rsidRPr="00DE614F">
              <w:rPr>
                <w:rFonts w:cs="Times New Roman"/>
                <w:b/>
                <w:color w:val="000000"/>
                <w:sz w:val="20"/>
                <w:szCs w:val="20"/>
              </w:rPr>
              <w:t xml:space="preserve"> </w:t>
            </w:r>
            <w:r w:rsidRPr="00DE614F">
              <w:rPr>
                <w:rFonts w:eastAsia="Calibri" w:cs="Times New Roman"/>
                <w:b/>
                <w:color w:val="000000"/>
                <w:sz w:val="20"/>
                <w:szCs w:val="20"/>
              </w:rPr>
              <w:t>Wadiwel</w:t>
            </w:r>
          </w:p>
          <w:p w14:paraId="0DC9A41A"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University</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Sydney</w:t>
            </w:r>
          </w:p>
          <w:p w14:paraId="4258DBF4" w14:textId="77777777" w:rsidR="006D445B" w:rsidRPr="00DE614F" w:rsidRDefault="006D445B" w:rsidP="004701C0">
            <w:pPr>
              <w:spacing w:after="0"/>
              <w:jc w:val="left"/>
              <w:rPr>
                <w:rFonts w:eastAsia="Calibri" w:cs="Times New Roman"/>
                <w:i/>
                <w:color w:val="000000"/>
                <w:sz w:val="20"/>
                <w:szCs w:val="20"/>
              </w:rPr>
            </w:pPr>
          </w:p>
          <w:p w14:paraId="65FFEF59" w14:textId="77777777" w:rsidR="006D445B" w:rsidRPr="00DE614F" w:rsidRDefault="006D445B" w:rsidP="006D445B">
            <w:pPr>
              <w:spacing w:after="0"/>
              <w:jc w:val="left"/>
              <w:rPr>
                <w:rFonts w:eastAsia="Calibri" w:cs="Times New Roman"/>
                <w:b/>
                <w:color w:val="000000"/>
                <w:sz w:val="20"/>
                <w:szCs w:val="20"/>
              </w:rPr>
            </w:pPr>
            <w:r w:rsidRPr="00DE614F">
              <w:rPr>
                <w:rFonts w:eastAsia="Calibri" w:cs="Times New Roman"/>
                <w:b/>
                <w:color w:val="000000"/>
                <w:sz w:val="20"/>
                <w:szCs w:val="20"/>
              </w:rPr>
              <w:t>Penelope</w:t>
            </w:r>
            <w:r w:rsidRPr="00DE614F">
              <w:rPr>
                <w:rFonts w:cs="Times New Roman"/>
                <w:b/>
                <w:color w:val="000000"/>
                <w:sz w:val="20"/>
                <w:szCs w:val="20"/>
              </w:rPr>
              <w:t xml:space="preserve"> </w:t>
            </w:r>
            <w:r w:rsidRPr="00DE614F">
              <w:rPr>
                <w:rFonts w:eastAsia="Calibri" w:cs="Times New Roman"/>
                <w:b/>
                <w:color w:val="000000"/>
                <w:sz w:val="20"/>
                <w:szCs w:val="20"/>
              </w:rPr>
              <w:t>Weller</w:t>
            </w:r>
          </w:p>
          <w:p w14:paraId="268E196D" w14:textId="77777777" w:rsidR="006D445B" w:rsidRPr="00DE614F" w:rsidRDefault="006D445B" w:rsidP="006D445B">
            <w:pPr>
              <w:spacing w:after="0"/>
              <w:jc w:val="left"/>
              <w:rPr>
                <w:rFonts w:eastAsia="Calibri" w:cs="Times New Roman"/>
                <w:i/>
                <w:color w:val="000000"/>
                <w:sz w:val="20"/>
                <w:szCs w:val="20"/>
              </w:rPr>
            </w:pPr>
            <w:r w:rsidRPr="00DE614F">
              <w:rPr>
                <w:rFonts w:eastAsia="Calibri" w:cs="Times New Roman"/>
                <w:i/>
                <w:color w:val="000000"/>
                <w:sz w:val="20"/>
                <w:szCs w:val="20"/>
              </w:rPr>
              <w:t>RMIT</w:t>
            </w:r>
            <w:r w:rsidRPr="00DE614F">
              <w:rPr>
                <w:rFonts w:cs="Times New Roman"/>
                <w:i/>
                <w:color w:val="000000"/>
                <w:sz w:val="20"/>
                <w:szCs w:val="20"/>
              </w:rPr>
              <w:t xml:space="preserve"> </w:t>
            </w:r>
            <w:r w:rsidRPr="00DE614F">
              <w:rPr>
                <w:rFonts w:eastAsia="Calibri" w:cs="Times New Roman"/>
                <w:i/>
                <w:color w:val="000000"/>
                <w:sz w:val="20"/>
                <w:szCs w:val="20"/>
              </w:rPr>
              <w:t>Graduate</w:t>
            </w:r>
            <w:r w:rsidRPr="00DE614F">
              <w:rPr>
                <w:rFonts w:cs="Times New Roman"/>
                <w:i/>
                <w:color w:val="000000"/>
                <w:sz w:val="20"/>
                <w:szCs w:val="20"/>
              </w:rPr>
              <w:t xml:space="preserve"> </w:t>
            </w:r>
            <w:r w:rsidRPr="00DE614F">
              <w:rPr>
                <w:rFonts w:eastAsia="Calibri" w:cs="Times New Roman"/>
                <w:i/>
                <w:color w:val="000000"/>
                <w:sz w:val="20"/>
                <w:szCs w:val="20"/>
              </w:rPr>
              <w:t>School</w:t>
            </w:r>
            <w:r w:rsidRPr="00DE614F">
              <w:rPr>
                <w:rFonts w:cs="Times New Roman"/>
                <w:i/>
                <w:color w:val="000000"/>
                <w:sz w:val="20"/>
                <w:szCs w:val="20"/>
              </w:rPr>
              <w:t xml:space="preserve"> </w:t>
            </w:r>
            <w:r w:rsidRPr="00DE614F">
              <w:rPr>
                <w:rFonts w:eastAsia="Calibri" w:cs="Times New Roman"/>
                <w:i/>
                <w:color w:val="000000"/>
                <w:sz w:val="20"/>
                <w:szCs w:val="20"/>
              </w:rPr>
              <w:t>of</w:t>
            </w:r>
            <w:r w:rsidRPr="00DE614F">
              <w:rPr>
                <w:rFonts w:cs="Times New Roman"/>
                <w:i/>
                <w:color w:val="000000"/>
                <w:sz w:val="20"/>
                <w:szCs w:val="20"/>
              </w:rPr>
              <w:t xml:space="preserve"> </w:t>
            </w:r>
            <w:r w:rsidRPr="00DE614F">
              <w:rPr>
                <w:rFonts w:eastAsia="Calibri" w:cs="Times New Roman"/>
                <w:i/>
                <w:color w:val="000000"/>
                <w:sz w:val="20"/>
                <w:szCs w:val="20"/>
              </w:rPr>
              <w:t>Business</w:t>
            </w:r>
            <w:r w:rsidRPr="00DE614F">
              <w:rPr>
                <w:rFonts w:cs="Times New Roman"/>
                <w:i/>
                <w:color w:val="000000"/>
                <w:sz w:val="20"/>
                <w:szCs w:val="20"/>
              </w:rPr>
              <w:t xml:space="preserve"> </w:t>
            </w:r>
            <w:r w:rsidRPr="00DE614F">
              <w:rPr>
                <w:rFonts w:eastAsia="Calibri" w:cs="Times New Roman"/>
                <w:i/>
                <w:color w:val="000000"/>
                <w:sz w:val="20"/>
                <w:szCs w:val="20"/>
              </w:rPr>
              <w:t>and</w:t>
            </w:r>
            <w:r w:rsidRPr="00DE614F">
              <w:rPr>
                <w:rFonts w:cs="Times New Roman"/>
                <w:i/>
                <w:color w:val="000000"/>
                <w:sz w:val="20"/>
                <w:szCs w:val="20"/>
              </w:rPr>
              <w:t xml:space="preserve"> </w:t>
            </w:r>
            <w:r w:rsidRPr="00DE614F">
              <w:rPr>
                <w:rFonts w:eastAsia="Calibri" w:cs="Times New Roman"/>
                <w:i/>
                <w:color w:val="000000"/>
                <w:sz w:val="20"/>
                <w:szCs w:val="20"/>
              </w:rPr>
              <w:t>Law</w:t>
            </w:r>
          </w:p>
          <w:p w14:paraId="65FAEA6B" w14:textId="77777777" w:rsidR="006D445B" w:rsidRPr="00DE614F" w:rsidRDefault="006D445B" w:rsidP="004701C0">
            <w:pPr>
              <w:spacing w:after="0"/>
              <w:jc w:val="left"/>
              <w:rPr>
                <w:rFonts w:eastAsia="Calibri" w:cs="Times New Roman"/>
                <w:i/>
                <w:color w:val="000000"/>
                <w:sz w:val="20"/>
                <w:szCs w:val="20"/>
              </w:rPr>
            </w:pPr>
          </w:p>
          <w:p w14:paraId="50F49F11" w14:textId="77777777" w:rsidR="006D445B" w:rsidRPr="00DE614F" w:rsidRDefault="006D445B" w:rsidP="006D445B">
            <w:pPr>
              <w:spacing w:after="0"/>
              <w:jc w:val="left"/>
              <w:rPr>
                <w:rFonts w:eastAsia="Calibri" w:cs="Times New Roman"/>
                <w:i/>
                <w:color w:val="000000"/>
                <w:sz w:val="20"/>
                <w:szCs w:val="20"/>
              </w:rPr>
            </w:pPr>
          </w:p>
          <w:p w14:paraId="5387409E" w14:textId="77777777" w:rsidR="006D445B" w:rsidRPr="00DE614F" w:rsidRDefault="006D445B" w:rsidP="006D445B">
            <w:pPr>
              <w:spacing w:after="0"/>
              <w:jc w:val="left"/>
              <w:rPr>
                <w:rFonts w:eastAsia="Calibri" w:cs="Times New Roman"/>
                <w:i/>
                <w:color w:val="000000"/>
                <w:sz w:val="20"/>
                <w:szCs w:val="20"/>
              </w:rPr>
            </w:pPr>
          </w:p>
          <w:p w14:paraId="544F551C" w14:textId="4A133366" w:rsidR="004701C0" w:rsidRPr="00DE614F" w:rsidRDefault="004701C0" w:rsidP="006D445B">
            <w:pPr>
              <w:spacing w:after="0"/>
              <w:jc w:val="left"/>
              <w:rPr>
                <w:b/>
                <w:i/>
              </w:rPr>
            </w:pPr>
          </w:p>
        </w:tc>
      </w:tr>
    </w:tbl>
    <w:p w14:paraId="231AA76E" w14:textId="77777777" w:rsidR="001D06AA" w:rsidRPr="001D06AA" w:rsidRDefault="001D06AA" w:rsidP="001D06AA">
      <w:pPr>
        <w:spacing w:after="0"/>
        <w:rPr>
          <w:b/>
        </w:rPr>
        <w:sectPr w:rsidR="001D06AA" w:rsidRPr="001D06AA" w:rsidSect="00242015">
          <w:headerReference w:type="even" r:id="rId10"/>
          <w:headerReference w:type="default" r:id="rId11"/>
          <w:footerReference w:type="even" r:id="rId12"/>
          <w:footerReference w:type="default" r:id="rId13"/>
          <w:headerReference w:type="first" r:id="rId14"/>
          <w:footerReference w:type="first" r:id="rId15"/>
          <w:pgSz w:w="11900" w:h="16840"/>
          <w:pgMar w:top="1361" w:right="1474" w:bottom="1361" w:left="1474" w:header="709" w:footer="709" w:gutter="0"/>
          <w:cols w:space="708"/>
          <w:docGrid w:linePitch="360"/>
        </w:sectPr>
      </w:pPr>
    </w:p>
    <w:sdt>
      <w:sdtPr>
        <w:rPr>
          <w:b w:val="0"/>
          <w:sz w:val="24"/>
          <w:szCs w:val="24"/>
        </w:rPr>
        <w:id w:val="1059601369"/>
        <w:docPartObj>
          <w:docPartGallery w:val="Table of Contents"/>
          <w:docPartUnique/>
        </w:docPartObj>
      </w:sdtPr>
      <w:sdtEndPr>
        <w:rPr>
          <w:noProof/>
        </w:rPr>
      </w:sdtEndPr>
      <w:sdtContent>
        <w:p w14:paraId="6E729048" w14:textId="77777777" w:rsidR="007C7A34" w:rsidRPr="005E46DE" w:rsidRDefault="007C7A34" w:rsidP="005E46DE">
          <w:pPr>
            <w:pStyle w:val="TOCHeading"/>
          </w:pPr>
          <w:r w:rsidRPr="005E46DE">
            <w:t>Contents</w:t>
          </w:r>
        </w:p>
        <w:p w14:paraId="76E14353" w14:textId="6B531F2B" w:rsidR="009A7D10" w:rsidRDefault="007C7A34">
          <w:pPr>
            <w:pStyle w:val="TOC1"/>
            <w:rPr>
              <w:rFonts w:asciiTheme="minorHAnsi" w:hAnsiTheme="minorHAnsi" w:cstheme="minorBidi"/>
              <w:b w:val="0"/>
              <w:smallCaps w:val="0"/>
              <w:color w:val="auto"/>
              <w:sz w:val="24"/>
              <w:szCs w:val="24"/>
              <w:shd w:val="clear" w:color="auto" w:fill="auto"/>
              <w:lang w:eastAsia="en-US"/>
            </w:rPr>
          </w:pPr>
          <w:r w:rsidRPr="00846E5C">
            <w:fldChar w:fldCharType="begin"/>
          </w:r>
          <w:r w:rsidRPr="00AC4E2D">
            <w:instrText xml:space="preserve"> TOC \o "1-3" \h \z \u </w:instrText>
          </w:r>
          <w:r w:rsidRPr="00846E5C">
            <w:fldChar w:fldCharType="separate"/>
          </w:r>
          <w:hyperlink w:anchor="_Toc514751823" w:history="1">
            <w:r w:rsidR="009A7D10" w:rsidRPr="00AD6479">
              <w:rPr>
                <w:rStyle w:val="Hyperlink"/>
              </w:rPr>
              <w:t>Foreword</w:t>
            </w:r>
            <w:r w:rsidR="009A7D10">
              <w:rPr>
                <w:webHidden/>
              </w:rPr>
              <w:tab/>
            </w:r>
            <w:r w:rsidR="009A7D10">
              <w:rPr>
                <w:webHidden/>
              </w:rPr>
              <w:fldChar w:fldCharType="begin"/>
            </w:r>
            <w:r w:rsidR="009A7D10">
              <w:rPr>
                <w:webHidden/>
              </w:rPr>
              <w:instrText xml:space="preserve"> PAGEREF _Toc514751823 \h </w:instrText>
            </w:r>
            <w:r w:rsidR="009A7D10">
              <w:rPr>
                <w:webHidden/>
              </w:rPr>
            </w:r>
            <w:r w:rsidR="009A7D10">
              <w:rPr>
                <w:webHidden/>
              </w:rPr>
              <w:fldChar w:fldCharType="separate"/>
            </w:r>
            <w:r w:rsidR="00DE614F">
              <w:rPr>
                <w:webHidden/>
              </w:rPr>
              <w:t>1</w:t>
            </w:r>
            <w:r w:rsidR="009A7D10">
              <w:rPr>
                <w:webHidden/>
              </w:rPr>
              <w:fldChar w:fldCharType="end"/>
            </w:r>
          </w:hyperlink>
        </w:p>
        <w:p w14:paraId="3AE0CFE6" w14:textId="3EC25C36" w:rsidR="009A7D10" w:rsidRDefault="002A6807">
          <w:pPr>
            <w:pStyle w:val="TOC2"/>
            <w:rPr>
              <w:rFonts w:asciiTheme="minorHAnsi" w:hAnsiTheme="minorHAnsi" w:cstheme="minorBidi"/>
              <w:color w:val="auto"/>
              <w:shd w:val="clear" w:color="auto" w:fill="auto"/>
              <w:lang w:eastAsia="en-US"/>
            </w:rPr>
          </w:pPr>
          <w:hyperlink w:anchor="_Toc514751824" w:history="1">
            <w:r w:rsidR="009A7D10" w:rsidRPr="00AD6479">
              <w:rPr>
                <w:rStyle w:val="Hyperlink"/>
              </w:rPr>
              <w:t>Transforming access to justice</w:t>
            </w:r>
            <w:r w:rsidR="009A7D10">
              <w:rPr>
                <w:webHidden/>
              </w:rPr>
              <w:tab/>
            </w:r>
            <w:r w:rsidR="009A7D10">
              <w:rPr>
                <w:webHidden/>
              </w:rPr>
              <w:fldChar w:fldCharType="begin"/>
            </w:r>
            <w:r w:rsidR="009A7D10">
              <w:rPr>
                <w:webHidden/>
              </w:rPr>
              <w:instrText xml:space="preserve"> PAGEREF _Toc514751824 \h </w:instrText>
            </w:r>
            <w:r w:rsidR="009A7D10">
              <w:rPr>
                <w:webHidden/>
              </w:rPr>
            </w:r>
            <w:r w:rsidR="009A7D10">
              <w:rPr>
                <w:webHidden/>
              </w:rPr>
              <w:fldChar w:fldCharType="separate"/>
            </w:r>
            <w:r w:rsidR="00DE614F">
              <w:rPr>
                <w:webHidden/>
              </w:rPr>
              <w:t>1</w:t>
            </w:r>
            <w:r w:rsidR="009A7D10">
              <w:rPr>
                <w:webHidden/>
              </w:rPr>
              <w:fldChar w:fldCharType="end"/>
            </w:r>
          </w:hyperlink>
        </w:p>
        <w:p w14:paraId="5D947110" w14:textId="3D81C6F4"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25" w:history="1">
            <w:r w:rsidR="009A7D10" w:rsidRPr="00AD6479">
              <w:rPr>
                <w:rStyle w:val="Hyperlink"/>
              </w:rPr>
              <w:t>Introduction</w:t>
            </w:r>
            <w:r w:rsidR="009A7D10">
              <w:rPr>
                <w:webHidden/>
              </w:rPr>
              <w:tab/>
            </w:r>
            <w:r w:rsidR="009A7D10">
              <w:rPr>
                <w:webHidden/>
              </w:rPr>
              <w:fldChar w:fldCharType="begin"/>
            </w:r>
            <w:r w:rsidR="009A7D10">
              <w:rPr>
                <w:webHidden/>
              </w:rPr>
              <w:instrText xml:space="preserve"> PAGEREF _Toc514751825 \h </w:instrText>
            </w:r>
            <w:r w:rsidR="009A7D10">
              <w:rPr>
                <w:webHidden/>
              </w:rPr>
            </w:r>
            <w:r w:rsidR="009A7D10">
              <w:rPr>
                <w:webHidden/>
              </w:rPr>
              <w:fldChar w:fldCharType="separate"/>
            </w:r>
            <w:r w:rsidR="00DE614F">
              <w:rPr>
                <w:webHidden/>
              </w:rPr>
              <w:t>2</w:t>
            </w:r>
            <w:r w:rsidR="009A7D10">
              <w:rPr>
                <w:webHidden/>
              </w:rPr>
              <w:fldChar w:fldCharType="end"/>
            </w:r>
          </w:hyperlink>
        </w:p>
        <w:p w14:paraId="22C249BB" w14:textId="3F42AA26"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26" w:history="1">
            <w:r w:rsidR="009A7D10" w:rsidRPr="00AD6479">
              <w:rPr>
                <w:rStyle w:val="Hyperlink"/>
              </w:rPr>
              <w:t>Defining ‘people with disability’ and ‘access to justice’</w:t>
            </w:r>
            <w:r w:rsidR="009A7D10">
              <w:rPr>
                <w:webHidden/>
              </w:rPr>
              <w:tab/>
            </w:r>
            <w:r w:rsidR="009A7D10">
              <w:rPr>
                <w:webHidden/>
              </w:rPr>
              <w:fldChar w:fldCharType="begin"/>
            </w:r>
            <w:r w:rsidR="009A7D10">
              <w:rPr>
                <w:webHidden/>
              </w:rPr>
              <w:instrText xml:space="preserve"> PAGEREF _Toc514751826 \h </w:instrText>
            </w:r>
            <w:r w:rsidR="009A7D10">
              <w:rPr>
                <w:webHidden/>
              </w:rPr>
            </w:r>
            <w:r w:rsidR="009A7D10">
              <w:rPr>
                <w:webHidden/>
              </w:rPr>
              <w:fldChar w:fldCharType="separate"/>
            </w:r>
            <w:r w:rsidR="00DE614F">
              <w:rPr>
                <w:webHidden/>
              </w:rPr>
              <w:t>3</w:t>
            </w:r>
            <w:r w:rsidR="009A7D10">
              <w:rPr>
                <w:webHidden/>
              </w:rPr>
              <w:fldChar w:fldCharType="end"/>
            </w:r>
          </w:hyperlink>
        </w:p>
        <w:p w14:paraId="12935963" w14:textId="5B2BA9F4"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27" w:history="1">
            <w:r w:rsidR="009A7D10" w:rsidRPr="00AD6479">
              <w:rPr>
                <w:rStyle w:val="Hyperlink"/>
              </w:rPr>
              <w:t>Disability research in Australia and New Zealand: review of recent literature</w:t>
            </w:r>
            <w:r w:rsidR="009A7D10">
              <w:rPr>
                <w:webHidden/>
              </w:rPr>
              <w:tab/>
            </w:r>
            <w:r w:rsidR="009A7D10">
              <w:rPr>
                <w:webHidden/>
              </w:rPr>
              <w:fldChar w:fldCharType="begin"/>
            </w:r>
            <w:r w:rsidR="009A7D10">
              <w:rPr>
                <w:webHidden/>
              </w:rPr>
              <w:instrText xml:space="preserve"> PAGEREF _Toc514751827 \h </w:instrText>
            </w:r>
            <w:r w:rsidR="009A7D10">
              <w:rPr>
                <w:webHidden/>
              </w:rPr>
            </w:r>
            <w:r w:rsidR="009A7D10">
              <w:rPr>
                <w:webHidden/>
              </w:rPr>
              <w:fldChar w:fldCharType="separate"/>
            </w:r>
            <w:r w:rsidR="00DE614F">
              <w:rPr>
                <w:webHidden/>
              </w:rPr>
              <w:t>4</w:t>
            </w:r>
            <w:r w:rsidR="009A7D10">
              <w:rPr>
                <w:webHidden/>
              </w:rPr>
              <w:fldChar w:fldCharType="end"/>
            </w:r>
          </w:hyperlink>
        </w:p>
        <w:p w14:paraId="39D8E542" w14:textId="160BE693" w:rsidR="009A7D10" w:rsidRDefault="002A6807">
          <w:pPr>
            <w:pStyle w:val="TOC2"/>
            <w:rPr>
              <w:rFonts w:asciiTheme="minorHAnsi" w:hAnsiTheme="minorHAnsi" w:cstheme="minorBidi"/>
              <w:color w:val="auto"/>
              <w:shd w:val="clear" w:color="auto" w:fill="auto"/>
              <w:lang w:eastAsia="en-US"/>
            </w:rPr>
          </w:pPr>
          <w:hyperlink w:anchor="_Toc514751828" w:history="1">
            <w:r w:rsidR="009A7D10" w:rsidRPr="00AD6479">
              <w:rPr>
                <w:rStyle w:val="Hyperlink"/>
              </w:rPr>
              <w:t>Access to justice: Intersecting themes</w:t>
            </w:r>
            <w:r w:rsidR="009A7D10">
              <w:rPr>
                <w:webHidden/>
              </w:rPr>
              <w:tab/>
            </w:r>
            <w:r w:rsidR="009A7D10">
              <w:rPr>
                <w:webHidden/>
              </w:rPr>
              <w:fldChar w:fldCharType="begin"/>
            </w:r>
            <w:r w:rsidR="009A7D10">
              <w:rPr>
                <w:webHidden/>
              </w:rPr>
              <w:instrText xml:space="preserve"> PAGEREF _Toc514751828 \h </w:instrText>
            </w:r>
            <w:r w:rsidR="009A7D10">
              <w:rPr>
                <w:webHidden/>
              </w:rPr>
            </w:r>
            <w:r w:rsidR="009A7D10">
              <w:rPr>
                <w:webHidden/>
              </w:rPr>
              <w:fldChar w:fldCharType="separate"/>
            </w:r>
            <w:r w:rsidR="00DE614F">
              <w:rPr>
                <w:webHidden/>
              </w:rPr>
              <w:t>6</w:t>
            </w:r>
            <w:r w:rsidR="009A7D10">
              <w:rPr>
                <w:webHidden/>
              </w:rPr>
              <w:fldChar w:fldCharType="end"/>
            </w:r>
          </w:hyperlink>
        </w:p>
        <w:p w14:paraId="50DFFAF4" w14:textId="3BB1E079" w:rsidR="009A7D10" w:rsidRDefault="002A6807">
          <w:pPr>
            <w:pStyle w:val="TOC3"/>
            <w:rPr>
              <w:noProof/>
              <w:color w:val="auto"/>
              <w:shd w:val="clear" w:color="auto" w:fill="auto"/>
              <w:lang w:eastAsia="en-US"/>
            </w:rPr>
          </w:pPr>
          <w:hyperlink w:anchor="_Toc514751829" w:history="1">
            <w:r w:rsidR="009A7D10" w:rsidRPr="00AD6479">
              <w:rPr>
                <w:rStyle w:val="Hyperlink"/>
                <w:noProof/>
              </w:rPr>
              <w:t>Theme 1: Equal recognition before the law and legal capacity</w:t>
            </w:r>
            <w:r w:rsidR="009A7D10">
              <w:rPr>
                <w:noProof/>
                <w:webHidden/>
              </w:rPr>
              <w:tab/>
            </w:r>
            <w:r w:rsidR="009A7D10">
              <w:rPr>
                <w:noProof/>
                <w:webHidden/>
              </w:rPr>
              <w:fldChar w:fldCharType="begin"/>
            </w:r>
            <w:r w:rsidR="009A7D10">
              <w:rPr>
                <w:noProof/>
                <w:webHidden/>
              </w:rPr>
              <w:instrText xml:space="preserve"> PAGEREF _Toc514751829 \h </w:instrText>
            </w:r>
            <w:r w:rsidR="009A7D10">
              <w:rPr>
                <w:noProof/>
                <w:webHidden/>
              </w:rPr>
            </w:r>
            <w:r w:rsidR="009A7D10">
              <w:rPr>
                <w:noProof/>
                <w:webHidden/>
              </w:rPr>
              <w:fldChar w:fldCharType="separate"/>
            </w:r>
            <w:r w:rsidR="00DE614F">
              <w:rPr>
                <w:noProof/>
                <w:webHidden/>
              </w:rPr>
              <w:t>6</w:t>
            </w:r>
            <w:r w:rsidR="009A7D10">
              <w:rPr>
                <w:noProof/>
                <w:webHidden/>
              </w:rPr>
              <w:fldChar w:fldCharType="end"/>
            </w:r>
          </w:hyperlink>
        </w:p>
        <w:p w14:paraId="3BAB44A6" w14:textId="4B4802BC" w:rsidR="009A7D10" w:rsidRDefault="002A6807">
          <w:pPr>
            <w:pStyle w:val="TOC3"/>
            <w:rPr>
              <w:noProof/>
              <w:color w:val="auto"/>
              <w:shd w:val="clear" w:color="auto" w:fill="auto"/>
              <w:lang w:eastAsia="en-US"/>
            </w:rPr>
          </w:pPr>
          <w:hyperlink w:anchor="_Toc514751830" w:history="1">
            <w:r w:rsidR="009A7D10" w:rsidRPr="00AD6479">
              <w:rPr>
                <w:rStyle w:val="Hyperlink"/>
                <w:noProof/>
              </w:rPr>
              <w:t>Theme 2: Inclusion in criminal justice processes and procedures</w:t>
            </w:r>
            <w:r w:rsidR="009A7D10">
              <w:rPr>
                <w:noProof/>
                <w:webHidden/>
              </w:rPr>
              <w:tab/>
            </w:r>
            <w:r w:rsidR="009A7D10">
              <w:rPr>
                <w:noProof/>
                <w:webHidden/>
              </w:rPr>
              <w:fldChar w:fldCharType="begin"/>
            </w:r>
            <w:r w:rsidR="009A7D10">
              <w:rPr>
                <w:noProof/>
                <w:webHidden/>
              </w:rPr>
              <w:instrText xml:space="preserve"> PAGEREF _Toc514751830 \h </w:instrText>
            </w:r>
            <w:r w:rsidR="009A7D10">
              <w:rPr>
                <w:noProof/>
                <w:webHidden/>
              </w:rPr>
            </w:r>
            <w:r w:rsidR="009A7D10">
              <w:rPr>
                <w:noProof/>
                <w:webHidden/>
              </w:rPr>
              <w:fldChar w:fldCharType="separate"/>
            </w:r>
            <w:r w:rsidR="00DE614F">
              <w:rPr>
                <w:noProof/>
                <w:webHidden/>
              </w:rPr>
              <w:t>10</w:t>
            </w:r>
            <w:r w:rsidR="009A7D10">
              <w:rPr>
                <w:noProof/>
                <w:webHidden/>
              </w:rPr>
              <w:fldChar w:fldCharType="end"/>
            </w:r>
          </w:hyperlink>
        </w:p>
        <w:p w14:paraId="34755E43" w14:textId="30B98E49" w:rsidR="009A7D10" w:rsidRDefault="002A6807">
          <w:pPr>
            <w:pStyle w:val="TOC3"/>
            <w:rPr>
              <w:noProof/>
              <w:color w:val="auto"/>
              <w:shd w:val="clear" w:color="auto" w:fill="auto"/>
              <w:lang w:eastAsia="en-US"/>
            </w:rPr>
          </w:pPr>
          <w:hyperlink w:anchor="_Toc514751831" w:history="1">
            <w:r w:rsidR="009A7D10" w:rsidRPr="00AD6479">
              <w:rPr>
                <w:rStyle w:val="Hyperlink"/>
                <w:noProof/>
              </w:rPr>
              <w:t>Theme 3: Inclusion in civil, administrative and tribunal justice processes</w:t>
            </w:r>
            <w:r w:rsidR="009A7D10">
              <w:rPr>
                <w:noProof/>
                <w:webHidden/>
              </w:rPr>
              <w:tab/>
            </w:r>
            <w:r w:rsidR="009A7D10">
              <w:rPr>
                <w:noProof/>
                <w:webHidden/>
              </w:rPr>
              <w:fldChar w:fldCharType="begin"/>
            </w:r>
            <w:r w:rsidR="009A7D10">
              <w:rPr>
                <w:noProof/>
                <w:webHidden/>
              </w:rPr>
              <w:instrText xml:space="preserve"> PAGEREF _Toc514751831 \h </w:instrText>
            </w:r>
            <w:r w:rsidR="009A7D10">
              <w:rPr>
                <w:noProof/>
                <w:webHidden/>
              </w:rPr>
            </w:r>
            <w:r w:rsidR="009A7D10">
              <w:rPr>
                <w:noProof/>
                <w:webHidden/>
              </w:rPr>
              <w:fldChar w:fldCharType="separate"/>
            </w:r>
            <w:r w:rsidR="00DE614F">
              <w:rPr>
                <w:noProof/>
                <w:webHidden/>
              </w:rPr>
              <w:t>13</w:t>
            </w:r>
            <w:r w:rsidR="009A7D10">
              <w:rPr>
                <w:noProof/>
                <w:webHidden/>
              </w:rPr>
              <w:fldChar w:fldCharType="end"/>
            </w:r>
          </w:hyperlink>
        </w:p>
        <w:p w14:paraId="15ADEE89" w14:textId="417A4F12" w:rsidR="009A7D10" w:rsidRDefault="002A6807">
          <w:pPr>
            <w:pStyle w:val="TOC3"/>
            <w:rPr>
              <w:noProof/>
              <w:color w:val="auto"/>
              <w:shd w:val="clear" w:color="auto" w:fill="auto"/>
              <w:lang w:eastAsia="en-US"/>
            </w:rPr>
          </w:pPr>
          <w:hyperlink w:anchor="_Toc514751832" w:history="1">
            <w:r w:rsidR="009A7D10" w:rsidRPr="00AD6479">
              <w:rPr>
                <w:rStyle w:val="Hyperlink"/>
                <w:noProof/>
              </w:rPr>
              <w:t>Theme 4: Mental health and justice processes</w:t>
            </w:r>
            <w:r w:rsidR="009A7D10">
              <w:rPr>
                <w:noProof/>
                <w:webHidden/>
              </w:rPr>
              <w:tab/>
            </w:r>
            <w:r w:rsidR="009A7D10">
              <w:rPr>
                <w:noProof/>
                <w:webHidden/>
              </w:rPr>
              <w:fldChar w:fldCharType="begin"/>
            </w:r>
            <w:r w:rsidR="009A7D10">
              <w:rPr>
                <w:noProof/>
                <w:webHidden/>
              </w:rPr>
              <w:instrText xml:space="preserve"> PAGEREF _Toc514751832 \h </w:instrText>
            </w:r>
            <w:r w:rsidR="009A7D10">
              <w:rPr>
                <w:noProof/>
                <w:webHidden/>
              </w:rPr>
            </w:r>
            <w:r w:rsidR="009A7D10">
              <w:rPr>
                <w:noProof/>
                <w:webHidden/>
              </w:rPr>
              <w:fldChar w:fldCharType="separate"/>
            </w:r>
            <w:r w:rsidR="00DE614F">
              <w:rPr>
                <w:noProof/>
                <w:webHidden/>
              </w:rPr>
              <w:t>15</w:t>
            </w:r>
            <w:r w:rsidR="009A7D10">
              <w:rPr>
                <w:noProof/>
                <w:webHidden/>
              </w:rPr>
              <w:fldChar w:fldCharType="end"/>
            </w:r>
          </w:hyperlink>
        </w:p>
        <w:p w14:paraId="4CA4A81B" w14:textId="220468A6" w:rsidR="009A7D10" w:rsidRDefault="002A6807">
          <w:pPr>
            <w:pStyle w:val="TOC3"/>
            <w:rPr>
              <w:noProof/>
              <w:color w:val="auto"/>
              <w:shd w:val="clear" w:color="auto" w:fill="auto"/>
              <w:lang w:eastAsia="en-US"/>
            </w:rPr>
          </w:pPr>
          <w:hyperlink w:anchor="_Toc514751833" w:history="1">
            <w:r w:rsidR="009A7D10" w:rsidRPr="00AD6479">
              <w:rPr>
                <w:rStyle w:val="Hyperlink"/>
                <w:noProof/>
              </w:rPr>
              <w:t>Theme 5: Child protection, marriage, partnerships, intimate relationships, parenthood and family law</w:t>
            </w:r>
            <w:r w:rsidR="009A7D10">
              <w:rPr>
                <w:noProof/>
                <w:webHidden/>
              </w:rPr>
              <w:tab/>
            </w:r>
            <w:r w:rsidR="009A7D10">
              <w:rPr>
                <w:noProof/>
                <w:webHidden/>
              </w:rPr>
              <w:fldChar w:fldCharType="begin"/>
            </w:r>
            <w:r w:rsidR="009A7D10">
              <w:rPr>
                <w:noProof/>
                <w:webHidden/>
              </w:rPr>
              <w:instrText xml:space="preserve"> PAGEREF _Toc514751833 \h </w:instrText>
            </w:r>
            <w:r w:rsidR="009A7D10">
              <w:rPr>
                <w:noProof/>
                <w:webHidden/>
              </w:rPr>
            </w:r>
            <w:r w:rsidR="009A7D10">
              <w:rPr>
                <w:noProof/>
                <w:webHidden/>
              </w:rPr>
              <w:fldChar w:fldCharType="separate"/>
            </w:r>
            <w:r w:rsidR="00DE614F">
              <w:rPr>
                <w:noProof/>
                <w:webHidden/>
              </w:rPr>
              <w:t>17</w:t>
            </w:r>
            <w:r w:rsidR="009A7D10">
              <w:rPr>
                <w:noProof/>
                <w:webHidden/>
              </w:rPr>
              <w:fldChar w:fldCharType="end"/>
            </w:r>
          </w:hyperlink>
        </w:p>
        <w:p w14:paraId="63D1DF56" w14:textId="4EEB7527" w:rsidR="009A7D10" w:rsidRDefault="002A6807">
          <w:pPr>
            <w:pStyle w:val="TOC3"/>
            <w:rPr>
              <w:noProof/>
              <w:color w:val="auto"/>
              <w:shd w:val="clear" w:color="auto" w:fill="auto"/>
              <w:lang w:eastAsia="en-US"/>
            </w:rPr>
          </w:pPr>
          <w:hyperlink w:anchor="_Toc514751834" w:history="1">
            <w:r w:rsidR="009A7D10" w:rsidRPr="00AD6479">
              <w:rPr>
                <w:rStyle w:val="Hyperlink"/>
                <w:noProof/>
              </w:rPr>
              <w:t>Theme 6: Aboriginal people, Torres Strait Islanders and Maori people</w:t>
            </w:r>
            <w:r w:rsidR="009A7D10">
              <w:rPr>
                <w:noProof/>
                <w:webHidden/>
              </w:rPr>
              <w:tab/>
            </w:r>
            <w:r w:rsidR="009A7D10">
              <w:rPr>
                <w:noProof/>
                <w:webHidden/>
              </w:rPr>
              <w:fldChar w:fldCharType="begin"/>
            </w:r>
            <w:r w:rsidR="009A7D10">
              <w:rPr>
                <w:noProof/>
                <w:webHidden/>
              </w:rPr>
              <w:instrText xml:space="preserve"> PAGEREF _Toc514751834 \h </w:instrText>
            </w:r>
            <w:r w:rsidR="009A7D10">
              <w:rPr>
                <w:noProof/>
                <w:webHidden/>
              </w:rPr>
            </w:r>
            <w:r w:rsidR="009A7D10">
              <w:rPr>
                <w:noProof/>
                <w:webHidden/>
              </w:rPr>
              <w:fldChar w:fldCharType="separate"/>
            </w:r>
            <w:r w:rsidR="00DE614F">
              <w:rPr>
                <w:noProof/>
                <w:webHidden/>
              </w:rPr>
              <w:t>19</w:t>
            </w:r>
            <w:r w:rsidR="009A7D10">
              <w:rPr>
                <w:noProof/>
                <w:webHidden/>
              </w:rPr>
              <w:fldChar w:fldCharType="end"/>
            </w:r>
          </w:hyperlink>
        </w:p>
        <w:p w14:paraId="0571C3AF" w14:textId="6E57B5EE" w:rsidR="009A7D10" w:rsidRDefault="002A6807">
          <w:pPr>
            <w:pStyle w:val="TOC3"/>
            <w:rPr>
              <w:noProof/>
              <w:color w:val="auto"/>
              <w:shd w:val="clear" w:color="auto" w:fill="auto"/>
              <w:lang w:eastAsia="en-US"/>
            </w:rPr>
          </w:pPr>
          <w:hyperlink w:anchor="_Toc514751835" w:history="1">
            <w:r w:rsidR="009A7D10" w:rsidRPr="00AD6479">
              <w:rPr>
                <w:rStyle w:val="Hyperlink"/>
                <w:noProof/>
              </w:rPr>
              <w:t>Theme 7: Immigration, migration and culturally and linguistically diverse communities</w:t>
            </w:r>
            <w:r w:rsidR="009A7D10">
              <w:rPr>
                <w:noProof/>
                <w:webHidden/>
              </w:rPr>
              <w:tab/>
            </w:r>
            <w:r w:rsidR="009A7D10">
              <w:rPr>
                <w:noProof/>
                <w:webHidden/>
              </w:rPr>
              <w:fldChar w:fldCharType="begin"/>
            </w:r>
            <w:r w:rsidR="009A7D10">
              <w:rPr>
                <w:noProof/>
                <w:webHidden/>
              </w:rPr>
              <w:instrText xml:space="preserve"> PAGEREF _Toc514751835 \h </w:instrText>
            </w:r>
            <w:r w:rsidR="009A7D10">
              <w:rPr>
                <w:noProof/>
                <w:webHidden/>
              </w:rPr>
            </w:r>
            <w:r w:rsidR="009A7D10">
              <w:rPr>
                <w:noProof/>
                <w:webHidden/>
              </w:rPr>
              <w:fldChar w:fldCharType="separate"/>
            </w:r>
            <w:r w:rsidR="00DE614F">
              <w:rPr>
                <w:noProof/>
                <w:webHidden/>
              </w:rPr>
              <w:t>20</w:t>
            </w:r>
            <w:r w:rsidR="009A7D10">
              <w:rPr>
                <w:noProof/>
                <w:webHidden/>
              </w:rPr>
              <w:fldChar w:fldCharType="end"/>
            </w:r>
          </w:hyperlink>
        </w:p>
        <w:p w14:paraId="786CB117" w14:textId="649B0221" w:rsidR="009A7D10" w:rsidRDefault="002A6807">
          <w:pPr>
            <w:pStyle w:val="TOC3"/>
            <w:rPr>
              <w:noProof/>
              <w:color w:val="auto"/>
              <w:shd w:val="clear" w:color="auto" w:fill="auto"/>
              <w:lang w:eastAsia="en-US"/>
            </w:rPr>
          </w:pPr>
          <w:hyperlink w:anchor="_Toc514751836" w:history="1">
            <w:r w:rsidR="009A7D10" w:rsidRPr="00AD6479">
              <w:rPr>
                <w:rStyle w:val="Hyperlink"/>
                <w:noProof/>
              </w:rPr>
              <w:t>Theme 8: Women</w:t>
            </w:r>
            <w:r w:rsidR="009A7D10">
              <w:rPr>
                <w:noProof/>
                <w:webHidden/>
              </w:rPr>
              <w:tab/>
            </w:r>
            <w:r w:rsidR="009A7D10">
              <w:rPr>
                <w:noProof/>
                <w:webHidden/>
              </w:rPr>
              <w:fldChar w:fldCharType="begin"/>
            </w:r>
            <w:r w:rsidR="009A7D10">
              <w:rPr>
                <w:noProof/>
                <w:webHidden/>
              </w:rPr>
              <w:instrText xml:space="preserve"> PAGEREF _Toc514751836 \h </w:instrText>
            </w:r>
            <w:r w:rsidR="009A7D10">
              <w:rPr>
                <w:noProof/>
                <w:webHidden/>
              </w:rPr>
            </w:r>
            <w:r w:rsidR="009A7D10">
              <w:rPr>
                <w:noProof/>
                <w:webHidden/>
              </w:rPr>
              <w:fldChar w:fldCharType="separate"/>
            </w:r>
            <w:r w:rsidR="00DE614F">
              <w:rPr>
                <w:noProof/>
                <w:webHidden/>
              </w:rPr>
              <w:t>20</w:t>
            </w:r>
            <w:r w:rsidR="009A7D10">
              <w:rPr>
                <w:noProof/>
                <w:webHidden/>
              </w:rPr>
              <w:fldChar w:fldCharType="end"/>
            </w:r>
          </w:hyperlink>
        </w:p>
        <w:p w14:paraId="7CD2B91C" w14:textId="7E1A0A61" w:rsidR="009A7D10" w:rsidRDefault="002A6807">
          <w:pPr>
            <w:pStyle w:val="TOC3"/>
            <w:rPr>
              <w:noProof/>
              <w:color w:val="auto"/>
              <w:shd w:val="clear" w:color="auto" w:fill="auto"/>
              <w:lang w:eastAsia="en-US"/>
            </w:rPr>
          </w:pPr>
          <w:hyperlink w:anchor="_Toc514751837" w:history="1">
            <w:r w:rsidR="009A7D10" w:rsidRPr="00AD6479">
              <w:rPr>
                <w:rStyle w:val="Hyperlink"/>
                <w:noProof/>
              </w:rPr>
              <w:t>Theme 9: Rural and regional justice issues</w:t>
            </w:r>
            <w:r w:rsidR="009A7D10">
              <w:rPr>
                <w:noProof/>
                <w:webHidden/>
              </w:rPr>
              <w:tab/>
            </w:r>
            <w:r w:rsidR="009A7D10">
              <w:rPr>
                <w:noProof/>
                <w:webHidden/>
              </w:rPr>
              <w:fldChar w:fldCharType="begin"/>
            </w:r>
            <w:r w:rsidR="009A7D10">
              <w:rPr>
                <w:noProof/>
                <w:webHidden/>
              </w:rPr>
              <w:instrText xml:space="preserve"> PAGEREF _Toc514751837 \h </w:instrText>
            </w:r>
            <w:r w:rsidR="009A7D10">
              <w:rPr>
                <w:noProof/>
                <w:webHidden/>
              </w:rPr>
            </w:r>
            <w:r w:rsidR="009A7D10">
              <w:rPr>
                <w:noProof/>
                <w:webHidden/>
              </w:rPr>
              <w:fldChar w:fldCharType="separate"/>
            </w:r>
            <w:r w:rsidR="00DE614F">
              <w:rPr>
                <w:noProof/>
                <w:webHidden/>
              </w:rPr>
              <w:t>22</w:t>
            </w:r>
            <w:r w:rsidR="009A7D10">
              <w:rPr>
                <w:noProof/>
                <w:webHidden/>
              </w:rPr>
              <w:fldChar w:fldCharType="end"/>
            </w:r>
          </w:hyperlink>
        </w:p>
        <w:p w14:paraId="3B146DD2" w14:textId="6B89030E" w:rsidR="009A7D10" w:rsidRDefault="002A6807">
          <w:pPr>
            <w:pStyle w:val="TOC2"/>
            <w:rPr>
              <w:rFonts w:asciiTheme="minorHAnsi" w:hAnsiTheme="minorHAnsi" w:cstheme="minorBidi"/>
              <w:color w:val="auto"/>
              <w:shd w:val="clear" w:color="auto" w:fill="auto"/>
              <w:lang w:eastAsia="en-US"/>
            </w:rPr>
          </w:pPr>
          <w:hyperlink w:anchor="_Toc514751838" w:history="1">
            <w:r w:rsidR="009A7D10" w:rsidRPr="00AD6479">
              <w:rPr>
                <w:rStyle w:val="Hyperlink"/>
              </w:rPr>
              <w:t>Research gaps and future research opportunities in Australia and New Zealand</w:t>
            </w:r>
            <w:r w:rsidR="009A7D10">
              <w:rPr>
                <w:webHidden/>
              </w:rPr>
              <w:tab/>
            </w:r>
            <w:r w:rsidR="009A7D10">
              <w:rPr>
                <w:webHidden/>
              </w:rPr>
              <w:fldChar w:fldCharType="begin"/>
            </w:r>
            <w:r w:rsidR="009A7D10">
              <w:rPr>
                <w:webHidden/>
              </w:rPr>
              <w:instrText xml:space="preserve"> PAGEREF _Toc514751838 \h </w:instrText>
            </w:r>
            <w:r w:rsidR="009A7D10">
              <w:rPr>
                <w:webHidden/>
              </w:rPr>
            </w:r>
            <w:r w:rsidR="009A7D10">
              <w:rPr>
                <w:webHidden/>
              </w:rPr>
              <w:fldChar w:fldCharType="separate"/>
            </w:r>
            <w:r w:rsidR="00DE614F">
              <w:rPr>
                <w:webHidden/>
              </w:rPr>
              <w:t>22</w:t>
            </w:r>
            <w:r w:rsidR="009A7D10">
              <w:rPr>
                <w:webHidden/>
              </w:rPr>
              <w:fldChar w:fldCharType="end"/>
            </w:r>
          </w:hyperlink>
        </w:p>
        <w:p w14:paraId="19C5D481" w14:textId="26CDF8A1"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39" w:history="1">
            <w:r w:rsidR="009A7D10" w:rsidRPr="00AD6479">
              <w:rPr>
                <w:rStyle w:val="Hyperlink"/>
              </w:rPr>
              <w:t>DPO consultation: Research gaps and issues identified by the disability community</w:t>
            </w:r>
            <w:r w:rsidR="009A7D10">
              <w:rPr>
                <w:webHidden/>
              </w:rPr>
              <w:tab/>
            </w:r>
            <w:r w:rsidR="009A7D10">
              <w:rPr>
                <w:webHidden/>
              </w:rPr>
              <w:fldChar w:fldCharType="begin"/>
            </w:r>
            <w:r w:rsidR="009A7D10">
              <w:rPr>
                <w:webHidden/>
              </w:rPr>
              <w:instrText xml:space="preserve"> PAGEREF _Toc514751839 \h </w:instrText>
            </w:r>
            <w:r w:rsidR="009A7D10">
              <w:rPr>
                <w:webHidden/>
              </w:rPr>
            </w:r>
            <w:r w:rsidR="009A7D10">
              <w:rPr>
                <w:webHidden/>
              </w:rPr>
              <w:fldChar w:fldCharType="separate"/>
            </w:r>
            <w:r w:rsidR="00DE614F">
              <w:rPr>
                <w:webHidden/>
              </w:rPr>
              <w:t>24</w:t>
            </w:r>
            <w:r w:rsidR="009A7D10">
              <w:rPr>
                <w:webHidden/>
              </w:rPr>
              <w:fldChar w:fldCharType="end"/>
            </w:r>
          </w:hyperlink>
        </w:p>
        <w:p w14:paraId="557609B7" w14:textId="24F3CE4F" w:rsidR="009A7D10" w:rsidRDefault="002A6807">
          <w:pPr>
            <w:pStyle w:val="TOC2"/>
            <w:rPr>
              <w:rFonts w:asciiTheme="minorHAnsi" w:hAnsiTheme="minorHAnsi" w:cstheme="minorBidi"/>
              <w:color w:val="auto"/>
              <w:shd w:val="clear" w:color="auto" w:fill="auto"/>
              <w:lang w:eastAsia="en-US"/>
            </w:rPr>
          </w:pPr>
          <w:hyperlink w:anchor="_Toc514751840" w:history="1">
            <w:r w:rsidR="009A7D10" w:rsidRPr="00AD6479">
              <w:rPr>
                <w:rStyle w:val="Hyperlink"/>
              </w:rPr>
              <w:t>Research methodology</w:t>
            </w:r>
            <w:r w:rsidR="009A7D10">
              <w:rPr>
                <w:webHidden/>
              </w:rPr>
              <w:tab/>
            </w:r>
            <w:r w:rsidR="009A7D10">
              <w:rPr>
                <w:webHidden/>
              </w:rPr>
              <w:fldChar w:fldCharType="begin"/>
            </w:r>
            <w:r w:rsidR="009A7D10">
              <w:rPr>
                <w:webHidden/>
              </w:rPr>
              <w:instrText xml:space="preserve"> PAGEREF _Toc514751840 \h </w:instrText>
            </w:r>
            <w:r w:rsidR="009A7D10">
              <w:rPr>
                <w:webHidden/>
              </w:rPr>
            </w:r>
            <w:r w:rsidR="009A7D10">
              <w:rPr>
                <w:webHidden/>
              </w:rPr>
              <w:fldChar w:fldCharType="separate"/>
            </w:r>
            <w:r w:rsidR="00DE614F">
              <w:rPr>
                <w:webHidden/>
              </w:rPr>
              <w:t>24</w:t>
            </w:r>
            <w:r w:rsidR="009A7D10">
              <w:rPr>
                <w:webHidden/>
              </w:rPr>
              <w:fldChar w:fldCharType="end"/>
            </w:r>
          </w:hyperlink>
        </w:p>
        <w:p w14:paraId="2C5F9BCE" w14:textId="51C43972" w:rsidR="009A7D10" w:rsidRDefault="002A6807">
          <w:pPr>
            <w:pStyle w:val="TOC2"/>
            <w:rPr>
              <w:rFonts w:asciiTheme="minorHAnsi" w:hAnsiTheme="minorHAnsi" w:cstheme="minorBidi"/>
              <w:color w:val="auto"/>
              <w:shd w:val="clear" w:color="auto" w:fill="auto"/>
              <w:lang w:eastAsia="en-US"/>
            </w:rPr>
          </w:pPr>
          <w:hyperlink w:anchor="_Toc514751841" w:history="1">
            <w:r w:rsidR="009A7D10" w:rsidRPr="00AD6479">
              <w:rPr>
                <w:rStyle w:val="Hyperlink"/>
              </w:rPr>
              <w:t>Overview of findings</w:t>
            </w:r>
            <w:r w:rsidR="009A7D10">
              <w:rPr>
                <w:webHidden/>
              </w:rPr>
              <w:tab/>
            </w:r>
            <w:r w:rsidR="009A7D10">
              <w:rPr>
                <w:webHidden/>
              </w:rPr>
              <w:fldChar w:fldCharType="begin"/>
            </w:r>
            <w:r w:rsidR="009A7D10">
              <w:rPr>
                <w:webHidden/>
              </w:rPr>
              <w:instrText xml:space="preserve"> PAGEREF _Toc514751841 \h </w:instrText>
            </w:r>
            <w:r w:rsidR="009A7D10">
              <w:rPr>
                <w:webHidden/>
              </w:rPr>
            </w:r>
            <w:r w:rsidR="009A7D10">
              <w:rPr>
                <w:webHidden/>
              </w:rPr>
              <w:fldChar w:fldCharType="separate"/>
            </w:r>
            <w:r w:rsidR="00DE614F">
              <w:rPr>
                <w:webHidden/>
              </w:rPr>
              <w:t>25</w:t>
            </w:r>
            <w:r w:rsidR="009A7D10">
              <w:rPr>
                <w:webHidden/>
              </w:rPr>
              <w:fldChar w:fldCharType="end"/>
            </w:r>
          </w:hyperlink>
        </w:p>
        <w:p w14:paraId="6AE8FE02" w14:textId="2375E0AB" w:rsidR="009A7D10" w:rsidRDefault="002A6807">
          <w:pPr>
            <w:pStyle w:val="TOC2"/>
            <w:rPr>
              <w:rFonts w:asciiTheme="minorHAnsi" w:hAnsiTheme="minorHAnsi" w:cstheme="minorBidi"/>
              <w:color w:val="auto"/>
              <w:shd w:val="clear" w:color="auto" w:fill="auto"/>
              <w:lang w:eastAsia="en-US"/>
            </w:rPr>
          </w:pPr>
          <w:hyperlink w:anchor="_Toc514751842" w:history="1">
            <w:r w:rsidR="009A7D10" w:rsidRPr="00AD6479">
              <w:rPr>
                <w:rStyle w:val="Hyperlink"/>
              </w:rPr>
              <w:t>Barriers to access to justice faced by people with disability</w:t>
            </w:r>
            <w:r w:rsidR="009A7D10">
              <w:rPr>
                <w:webHidden/>
              </w:rPr>
              <w:tab/>
            </w:r>
            <w:r w:rsidR="009A7D10">
              <w:rPr>
                <w:webHidden/>
              </w:rPr>
              <w:fldChar w:fldCharType="begin"/>
            </w:r>
            <w:r w:rsidR="009A7D10">
              <w:rPr>
                <w:webHidden/>
              </w:rPr>
              <w:instrText xml:space="preserve"> PAGEREF _Toc514751842 \h </w:instrText>
            </w:r>
            <w:r w:rsidR="009A7D10">
              <w:rPr>
                <w:webHidden/>
              </w:rPr>
            </w:r>
            <w:r w:rsidR="009A7D10">
              <w:rPr>
                <w:webHidden/>
              </w:rPr>
              <w:fldChar w:fldCharType="separate"/>
            </w:r>
            <w:r w:rsidR="00DE614F">
              <w:rPr>
                <w:webHidden/>
              </w:rPr>
              <w:t>25</w:t>
            </w:r>
            <w:r w:rsidR="009A7D10">
              <w:rPr>
                <w:webHidden/>
              </w:rPr>
              <w:fldChar w:fldCharType="end"/>
            </w:r>
          </w:hyperlink>
        </w:p>
        <w:p w14:paraId="07657A35" w14:textId="427C6170" w:rsidR="009A7D10" w:rsidRDefault="002A6807">
          <w:pPr>
            <w:pStyle w:val="TOC3"/>
            <w:rPr>
              <w:noProof/>
              <w:color w:val="auto"/>
              <w:shd w:val="clear" w:color="auto" w:fill="auto"/>
              <w:lang w:eastAsia="en-US"/>
            </w:rPr>
          </w:pPr>
          <w:hyperlink w:anchor="_Toc514751843" w:history="1">
            <w:r w:rsidR="009A7D10" w:rsidRPr="00AD6479">
              <w:rPr>
                <w:rStyle w:val="Hyperlink"/>
                <w:noProof/>
              </w:rPr>
              <w:t>The status of people with disability in society</w:t>
            </w:r>
            <w:r w:rsidR="009A7D10">
              <w:rPr>
                <w:noProof/>
                <w:webHidden/>
              </w:rPr>
              <w:tab/>
            </w:r>
            <w:r w:rsidR="009A7D10">
              <w:rPr>
                <w:noProof/>
                <w:webHidden/>
              </w:rPr>
              <w:fldChar w:fldCharType="begin"/>
            </w:r>
            <w:r w:rsidR="009A7D10">
              <w:rPr>
                <w:noProof/>
                <w:webHidden/>
              </w:rPr>
              <w:instrText xml:space="preserve"> PAGEREF _Toc514751843 \h </w:instrText>
            </w:r>
            <w:r w:rsidR="009A7D10">
              <w:rPr>
                <w:noProof/>
                <w:webHidden/>
              </w:rPr>
            </w:r>
            <w:r w:rsidR="009A7D10">
              <w:rPr>
                <w:noProof/>
                <w:webHidden/>
              </w:rPr>
              <w:fldChar w:fldCharType="separate"/>
            </w:r>
            <w:r w:rsidR="00DE614F">
              <w:rPr>
                <w:noProof/>
                <w:webHidden/>
              </w:rPr>
              <w:t>25</w:t>
            </w:r>
            <w:r w:rsidR="009A7D10">
              <w:rPr>
                <w:noProof/>
                <w:webHidden/>
              </w:rPr>
              <w:fldChar w:fldCharType="end"/>
            </w:r>
          </w:hyperlink>
        </w:p>
        <w:p w14:paraId="5B0DF0E2" w14:textId="49DDC7A9" w:rsidR="009A7D10" w:rsidRDefault="002A6807">
          <w:pPr>
            <w:pStyle w:val="TOC2"/>
            <w:rPr>
              <w:rFonts w:asciiTheme="minorHAnsi" w:hAnsiTheme="minorHAnsi" w:cstheme="minorBidi"/>
              <w:color w:val="auto"/>
              <w:shd w:val="clear" w:color="auto" w:fill="auto"/>
              <w:lang w:eastAsia="en-US"/>
            </w:rPr>
          </w:pPr>
          <w:hyperlink w:anchor="_Toc514751844" w:history="1">
            <w:r w:rsidR="009A7D10" w:rsidRPr="00AD6479">
              <w:rPr>
                <w:rStyle w:val="Hyperlink"/>
              </w:rPr>
              <w:t>Barriers caused by poor processes among disability service providers</w:t>
            </w:r>
            <w:r w:rsidR="009A7D10">
              <w:rPr>
                <w:webHidden/>
              </w:rPr>
              <w:tab/>
            </w:r>
            <w:r w:rsidR="009A7D10">
              <w:rPr>
                <w:webHidden/>
              </w:rPr>
              <w:fldChar w:fldCharType="begin"/>
            </w:r>
            <w:r w:rsidR="009A7D10">
              <w:rPr>
                <w:webHidden/>
              </w:rPr>
              <w:instrText xml:space="preserve"> PAGEREF _Toc514751844 \h </w:instrText>
            </w:r>
            <w:r w:rsidR="009A7D10">
              <w:rPr>
                <w:webHidden/>
              </w:rPr>
            </w:r>
            <w:r w:rsidR="009A7D10">
              <w:rPr>
                <w:webHidden/>
              </w:rPr>
              <w:fldChar w:fldCharType="separate"/>
            </w:r>
            <w:r w:rsidR="00DE614F">
              <w:rPr>
                <w:webHidden/>
              </w:rPr>
              <w:t>26</w:t>
            </w:r>
            <w:r w:rsidR="009A7D10">
              <w:rPr>
                <w:webHidden/>
              </w:rPr>
              <w:fldChar w:fldCharType="end"/>
            </w:r>
          </w:hyperlink>
        </w:p>
        <w:p w14:paraId="40DEFFB1" w14:textId="52426794" w:rsidR="009A7D10" w:rsidRDefault="002A6807">
          <w:pPr>
            <w:pStyle w:val="TOC3"/>
            <w:rPr>
              <w:noProof/>
              <w:color w:val="auto"/>
              <w:shd w:val="clear" w:color="auto" w:fill="auto"/>
              <w:lang w:eastAsia="en-US"/>
            </w:rPr>
          </w:pPr>
          <w:hyperlink w:anchor="_Toc514751845" w:history="1">
            <w:r w:rsidR="009A7D10" w:rsidRPr="00AD6479">
              <w:rPr>
                <w:rStyle w:val="Hyperlink"/>
                <w:noProof/>
              </w:rPr>
              <w:t>Communication, access and attitudinal barriers in dealing with police</w:t>
            </w:r>
            <w:r w:rsidR="009A7D10">
              <w:rPr>
                <w:noProof/>
                <w:webHidden/>
              </w:rPr>
              <w:tab/>
            </w:r>
            <w:r w:rsidR="009A7D10">
              <w:rPr>
                <w:noProof/>
                <w:webHidden/>
              </w:rPr>
              <w:fldChar w:fldCharType="begin"/>
            </w:r>
            <w:r w:rsidR="009A7D10">
              <w:rPr>
                <w:noProof/>
                <w:webHidden/>
              </w:rPr>
              <w:instrText xml:space="preserve"> PAGEREF _Toc514751845 \h </w:instrText>
            </w:r>
            <w:r w:rsidR="009A7D10">
              <w:rPr>
                <w:noProof/>
                <w:webHidden/>
              </w:rPr>
            </w:r>
            <w:r w:rsidR="009A7D10">
              <w:rPr>
                <w:noProof/>
                <w:webHidden/>
              </w:rPr>
              <w:fldChar w:fldCharType="separate"/>
            </w:r>
            <w:r w:rsidR="00DE614F">
              <w:rPr>
                <w:noProof/>
                <w:webHidden/>
              </w:rPr>
              <w:t>27</w:t>
            </w:r>
            <w:r w:rsidR="009A7D10">
              <w:rPr>
                <w:noProof/>
                <w:webHidden/>
              </w:rPr>
              <w:fldChar w:fldCharType="end"/>
            </w:r>
          </w:hyperlink>
        </w:p>
        <w:p w14:paraId="4604113A" w14:textId="1308A174" w:rsidR="009A7D10" w:rsidRDefault="002A6807">
          <w:pPr>
            <w:pStyle w:val="TOC3"/>
            <w:rPr>
              <w:noProof/>
              <w:color w:val="auto"/>
              <w:shd w:val="clear" w:color="auto" w:fill="auto"/>
              <w:lang w:eastAsia="en-US"/>
            </w:rPr>
          </w:pPr>
          <w:hyperlink w:anchor="_Toc514751846" w:history="1">
            <w:r w:rsidR="009A7D10" w:rsidRPr="00AD6479">
              <w:rPr>
                <w:rStyle w:val="Hyperlink"/>
                <w:noProof/>
              </w:rPr>
              <w:t>Barriers facing Aboriginal and Torres Strait Islander people with disability</w:t>
            </w:r>
            <w:r w:rsidR="009A7D10">
              <w:rPr>
                <w:noProof/>
                <w:webHidden/>
              </w:rPr>
              <w:tab/>
            </w:r>
            <w:r w:rsidR="009A7D10">
              <w:rPr>
                <w:noProof/>
                <w:webHidden/>
              </w:rPr>
              <w:fldChar w:fldCharType="begin"/>
            </w:r>
            <w:r w:rsidR="009A7D10">
              <w:rPr>
                <w:noProof/>
                <w:webHidden/>
              </w:rPr>
              <w:instrText xml:space="preserve"> PAGEREF _Toc514751846 \h </w:instrText>
            </w:r>
            <w:r w:rsidR="009A7D10">
              <w:rPr>
                <w:noProof/>
                <w:webHidden/>
              </w:rPr>
            </w:r>
            <w:r w:rsidR="009A7D10">
              <w:rPr>
                <w:noProof/>
                <w:webHidden/>
              </w:rPr>
              <w:fldChar w:fldCharType="separate"/>
            </w:r>
            <w:r w:rsidR="00DE614F">
              <w:rPr>
                <w:noProof/>
                <w:webHidden/>
              </w:rPr>
              <w:t>28</w:t>
            </w:r>
            <w:r w:rsidR="009A7D10">
              <w:rPr>
                <w:noProof/>
                <w:webHidden/>
              </w:rPr>
              <w:fldChar w:fldCharType="end"/>
            </w:r>
          </w:hyperlink>
        </w:p>
        <w:p w14:paraId="2515B570" w14:textId="1C5ED83F" w:rsidR="009A7D10" w:rsidRDefault="002A6807">
          <w:pPr>
            <w:pStyle w:val="TOC3"/>
            <w:rPr>
              <w:noProof/>
              <w:color w:val="auto"/>
              <w:shd w:val="clear" w:color="auto" w:fill="auto"/>
              <w:lang w:eastAsia="en-US"/>
            </w:rPr>
          </w:pPr>
          <w:hyperlink w:anchor="_Toc514751847" w:history="1">
            <w:r w:rsidR="009A7D10" w:rsidRPr="00AD6479">
              <w:rPr>
                <w:rStyle w:val="Hyperlink"/>
                <w:noProof/>
              </w:rPr>
              <w:t>Lack of recognition of legal capacity</w:t>
            </w:r>
            <w:r w:rsidR="009A7D10">
              <w:rPr>
                <w:noProof/>
                <w:webHidden/>
              </w:rPr>
              <w:tab/>
            </w:r>
            <w:r w:rsidR="009A7D10">
              <w:rPr>
                <w:noProof/>
                <w:webHidden/>
              </w:rPr>
              <w:fldChar w:fldCharType="begin"/>
            </w:r>
            <w:r w:rsidR="009A7D10">
              <w:rPr>
                <w:noProof/>
                <w:webHidden/>
              </w:rPr>
              <w:instrText xml:space="preserve"> PAGEREF _Toc514751847 \h </w:instrText>
            </w:r>
            <w:r w:rsidR="009A7D10">
              <w:rPr>
                <w:noProof/>
                <w:webHidden/>
              </w:rPr>
            </w:r>
            <w:r w:rsidR="009A7D10">
              <w:rPr>
                <w:noProof/>
                <w:webHidden/>
              </w:rPr>
              <w:fldChar w:fldCharType="separate"/>
            </w:r>
            <w:r w:rsidR="00DE614F">
              <w:rPr>
                <w:noProof/>
                <w:webHidden/>
              </w:rPr>
              <w:t>28</w:t>
            </w:r>
            <w:r w:rsidR="009A7D10">
              <w:rPr>
                <w:noProof/>
                <w:webHidden/>
              </w:rPr>
              <w:fldChar w:fldCharType="end"/>
            </w:r>
          </w:hyperlink>
        </w:p>
        <w:p w14:paraId="4CDE5B95" w14:textId="4CEA6A14" w:rsidR="009A7D10" w:rsidRDefault="002A6807">
          <w:pPr>
            <w:pStyle w:val="TOC3"/>
            <w:rPr>
              <w:noProof/>
              <w:color w:val="auto"/>
              <w:shd w:val="clear" w:color="auto" w:fill="auto"/>
              <w:lang w:eastAsia="en-US"/>
            </w:rPr>
          </w:pPr>
          <w:hyperlink w:anchor="_Toc514751848" w:history="1">
            <w:r w:rsidR="009A7D10" w:rsidRPr="00AD6479">
              <w:rPr>
                <w:rStyle w:val="Hyperlink"/>
                <w:noProof/>
              </w:rPr>
              <w:t>Inaccessibility of courts</w:t>
            </w:r>
            <w:r w:rsidR="009A7D10">
              <w:rPr>
                <w:noProof/>
                <w:webHidden/>
              </w:rPr>
              <w:tab/>
            </w:r>
            <w:r w:rsidR="009A7D10">
              <w:rPr>
                <w:noProof/>
                <w:webHidden/>
              </w:rPr>
              <w:fldChar w:fldCharType="begin"/>
            </w:r>
            <w:r w:rsidR="009A7D10">
              <w:rPr>
                <w:noProof/>
                <w:webHidden/>
              </w:rPr>
              <w:instrText xml:space="preserve"> PAGEREF _Toc514751848 \h </w:instrText>
            </w:r>
            <w:r w:rsidR="009A7D10">
              <w:rPr>
                <w:noProof/>
                <w:webHidden/>
              </w:rPr>
            </w:r>
            <w:r w:rsidR="009A7D10">
              <w:rPr>
                <w:noProof/>
                <w:webHidden/>
              </w:rPr>
              <w:fldChar w:fldCharType="separate"/>
            </w:r>
            <w:r w:rsidR="00DE614F">
              <w:rPr>
                <w:noProof/>
                <w:webHidden/>
              </w:rPr>
              <w:t>29</w:t>
            </w:r>
            <w:r w:rsidR="009A7D10">
              <w:rPr>
                <w:noProof/>
                <w:webHidden/>
              </w:rPr>
              <w:fldChar w:fldCharType="end"/>
            </w:r>
          </w:hyperlink>
        </w:p>
        <w:p w14:paraId="096C516D" w14:textId="2CDC0B9C" w:rsidR="009A7D10" w:rsidRDefault="002A6807">
          <w:pPr>
            <w:pStyle w:val="TOC2"/>
            <w:rPr>
              <w:rFonts w:asciiTheme="minorHAnsi" w:hAnsiTheme="minorHAnsi" w:cstheme="minorBidi"/>
              <w:color w:val="auto"/>
              <w:shd w:val="clear" w:color="auto" w:fill="auto"/>
              <w:lang w:eastAsia="en-US"/>
            </w:rPr>
          </w:pPr>
          <w:hyperlink w:anchor="_Toc514751849" w:history="1">
            <w:r w:rsidR="009A7D10" w:rsidRPr="00AD6479">
              <w:rPr>
                <w:rStyle w:val="Hyperlink"/>
              </w:rPr>
              <w:t>Recommendations for research and reform</w:t>
            </w:r>
            <w:r w:rsidR="009A7D10">
              <w:rPr>
                <w:webHidden/>
              </w:rPr>
              <w:tab/>
            </w:r>
            <w:r w:rsidR="009A7D10">
              <w:rPr>
                <w:webHidden/>
              </w:rPr>
              <w:fldChar w:fldCharType="begin"/>
            </w:r>
            <w:r w:rsidR="009A7D10">
              <w:rPr>
                <w:webHidden/>
              </w:rPr>
              <w:instrText xml:space="preserve"> PAGEREF _Toc514751849 \h </w:instrText>
            </w:r>
            <w:r w:rsidR="009A7D10">
              <w:rPr>
                <w:webHidden/>
              </w:rPr>
            </w:r>
            <w:r w:rsidR="009A7D10">
              <w:rPr>
                <w:webHidden/>
              </w:rPr>
              <w:fldChar w:fldCharType="separate"/>
            </w:r>
            <w:r w:rsidR="00DE614F">
              <w:rPr>
                <w:webHidden/>
              </w:rPr>
              <w:t>29</w:t>
            </w:r>
            <w:r w:rsidR="009A7D10">
              <w:rPr>
                <w:webHidden/>
              </w:rPr>
              <w:fldChar w:fldCharType="end"/>
            </w:r>
          </w:hyperlink>
        </w:p>
        <w:p w14:paraId="1B7C8476" w14:textId="2F698E35" w:rsidR="009A7D10" w:rsidRDefault="002A6807">
          <w:pPr>
            <w:pStyle w:val="TOC3"/>
            <w:rPr>
              <w:noProof/>
              <w:color w:val="auto"/>
              <w:shd w:val="clear" w:color="auto" w:fill="auto"/>
              <w:lang w:eastAsia="en-US"/>
            </w:rPr>
          </w:pPr>
          <w:hyperlink w:anchor="_Toc514751850" w:history="1">
            <w:r w:rsidR="009A7D10" w:rsidRPr="00AD6479">
              <w:rPr>
                <w:rStyle w:val="Hyperlink"/>
                <w:noProof/>
              </w:rPr>
              <w:t>Research</w:t>
            </w:r>
            <w:r w:rsidR="009A7D10">
              <w:rPr>
                <w:noProof/>
                <w:webHidden/>
              </w:rPr>
              <w:tab/>
            </w:r>
            <w:r w:rsidR="009A7D10">
              <w:rPr>
                <w:noProof/>
                <w:webHidden/>
              </w:rPr>
              <w:fldChar w:fldCharType="begin"/>
            </w:r>
            <w:r w:rsidR="009A7D10">
              <w:rPr>
                <w:noProof/>
                <w:webHidden/>
              </w:rPr>
              <w:instrText xml:space="preserve"> PAGEREF _Toc514751850 \h </w:instrText>
            </w:r>
            <w:r w:rsidR="009A7D10">
              <w:rPr>
                <w:noProof/>
                <w:webHidden/>
              </w:rPr>
            </w:r>
            <w:r w:rsidR="009A7D10">
              <w:rPr>
                <w:noProof/>
                <w:webHidden/>
              </w:rPr>
              <w:fldChar w:fldCharType="separate"/>
            </w:r>
            <w:r w:rsidR="00DE614F">
              <w:rPr>
                <w:noProof/>
                <w:webHidden/>
              </w:rPr>
              <w:t>29</w:t>
            </w:r>
            <w:r w:rsidR="009A7D10">
              <w:rPr>
                <w:noProof/>
                <w:webHidden/>
              </w:rPr>
              <w:fldChar w:fldCharType="end"/>
            </w:r>
          </w:hyperlink>
        </w:p>
        <w:p w14:paraId="12F26FBF" w14:textId="182D5A9F" w:rsidR="009A7D10" w:rsidRDefault="002A6807">
          <w:pPr>
            <w:pStyle w:val="TOC3"/>
            <w:rPr>
              <w:noProof/>
              <w:color w:val="auto"/>
              <w:shd w:val="clear" w:color="auto" w:fill="auto"/>
              <w:lang w:eastAsia="en-US"/>
            </w:rPr>
          </w:pPr>
          <w:hyperlink w:anchor="_Toc514751851" w:history="1">
            <w:r w:rsidR="009A7D10" w:rsidRPr="00AD6479">
              <w:rPr>
                <w:rStyle w:val="Hyperlink"/>
                <w:noProof/>
              </w:rPr>
              <w:t>Review of legislation</w:t>
            </w:r>
            <w:r w:rsidR="009A7D10">
              <w:rPr>
                <w:noProof/>
                <w:webHidden/>
              </w:rPr>
              <w:tab/>
            </w:r>
            <w:r w:rsidR="009A7D10">
              <w:rPr>
                <w:noProof/>
                <w:webHidden/>
              </w:rPr>
              <w:fldChar w:fldCharType="begin"/>
            </w:r>
            <w:r w:rsidR="009A7D10">
              <w:rPr>
                <w:noProof/>
                <w:webHidden/>
              </w:rPr>
              <w:instrText xml:space="preserve"> PAGEREF _Toc514751851 \h </w:instrText>
            </w:r>
            <w:r w:rsidR="009A7D10">
              <w:rPr>
                <w:noProof/>
                <w:webHidden/>
              </w:rPr>
            </w:r>
            <w:r w:rsidR="009A7D10">
              <w:rPr>
                <w:noProof/>
                <w:webHidden/>
              </w:rPr>
              <w:fldChar w:fldCharType="separate"/>
            </w:r>
            <w:r w:rsidR="00DE614F">
              <w:rPr>
                <w:noProof/>
                <w:webHidden/>
              </w:rPr>
              <w:t>29</w:t>
            </w:r>
            <w:r w:rsidR="009A7D10">
              <w:rPr>
                <w:noProof/>
                <w:webHidden/>
              </w:rPr>
              <w:fldChar w:fldCharType="end"/>
            </w:r>
          </w:hyperlink>
        </w:p>
        <w:p w14:paraId="79B5B3CC" w14:textId="4A0DC4AB" w:rsidR="009A7D10" w:rsidRDefault="002A6807">
          <w:pPr>
            <w:pStyle w:val="TOC3"/>
            <w:rPr>
              <w:noProof/>
              <w:color w:val="auto"/>
              <w:shd w:val="clear" w:color="auto" w:fill="auto"/>
              <w:lang w:eastAsia="en-US"/>
            </w:rPr>
          </w:pPr>
          <w:hyperlink w:anchor="_Toc514751852" w:history="1">
            <w:r w:rsidR="009A7D10" w:rsidRPr="00AD6479">
              <w:rPr>
                <w:rStyle w:val="Hyperlink"/>
                <w:noProof/>
              </w:rPr>
              <w:t>Disability awareness training</w:t>
            </w:r>
            <w:r w:rsidR="009A7D10">
              <w:rPr>
                <w:noProof/>
                <w:webHidden/>
              </w:rPr>
              <w:tab/>
            </w:r>
            <w:r w:rsidR="009A7D10">
              <w:rPr>
                <w:noProof/>
                <w:webHidden/>
              </w:rPr>
              <w:fldChar w:fldCharType="begin"/>
            </w:r>
            <w:r w:rsidR="009A7D10">
              <w:rPr>
                <w:noProof/>
                <w:webHidden/>
              </w:rPr>
              <w:instrText xml:space="preserve"> PAGEREF _Toc514751852 \h </w:instrText>
            </w:r>
            <w:r w:rsidR="009A7D10">
              <w:rPr>
                <w:noProof/>
                <w:webHidden/>
              </w:rPr>
            </w:r>
            <w:r w:rsidR="009A7D10">
              <w:rPr>
                <w:noProof/>
                <w:webHidden/>
              </w:rPr>
              <w:fldChar w:fldCharType="separate"/>
            </w:r>
            <w:r w:rsidR="00DE614F">
              <w:rPr>
                <w:noProof/>
                <w:webHidden/>
              </w:rPr>
              <w:t>29</w:t>
            </w:r>
            <w:r w:rsidR="009A7D10">
              <w:rPr>
                <w:noProof/>
                <w:webHidden/>
              </w:rPr>
              <w:fldChar w:fldCharType="end"/>
            </w:r>
          </w:hyperlink>
        </w:p>
        <w:p w14:paraId="4ABF88E7" w14:textId="52DD474C" w:rsidR="009A7D10" w:rsidRDefault="002A6807">
          <w:pPr>
            <w:pStyle w:val="TOC3"/>
            <w:rPr>
              <w:noProof/>
              <w:color w:val="auto"/>
              <w:shd w:val="clear" w:color="auto" w:fill="auto"/>
              <w:lang w:eastAsia="en-US"/>
            </w:rPr>
          </w:pPr>
          <w:hyperlink w:anchor="_Toc514751853" w:history="1">
            <w:r w:rsidR="009A7D10" w:rsidRPr="00AD6479">
              <w:rPr>
                <w:rStyle w:val="Hyperlink"/>
                <w:noProof/>
              </w:rPr>
              <w:t>Disability justice plans</w:t>
            </w:r>
            <w:r w:rsidR="009A7D10">
              <w:rPr>
                <w:noProof/>
                <w:webHidden/>
              </w:rPr>
              <w:tab/>
            </w:r>
            <w:r w:rsidR="009A7D10">
              <w:rPr>
                <w:noProof/>
                <w:webHidden/>
              </w:rPr>
              <w:fldChar w:fldCharType="begin"/>
            </w:r>
            <w:r w:rsidR="009A7D10">
              <w:rPr>
                <w:noProof/>
                <w:webHidden/>
              </w:rPr>
              <w:instrText xml:space="preserve"> PAGEREF _Toc514751853 \h </w:instrText>
            </w:r>
            <w:r w:rsidR="009A7D10">
              <w:rPr>
                <w:noProof/>
                <w:webHidden/>
              </w:rPr>
            </w:r>
            <w:r w:rsidR="009A7D10">
              <w:rPr>
                <w:noProof/>
                <w:webHidden/>
              </w:rPr>
              <w:fldChar w:fldCharType="separate"/>
            </w:r>
            <w:r w:rsidR="00DE614F">
              <w:rPr>
                <w:noProof/>
                <w:webHidden/>
              </w:rPr>
              <w:t>30</w:t>
            </w:r>
            <w:r w:rsidR="009A7D10">
              <w:rPr>
                <w:noProof/>
                <w:webHidden/>
              </w:rPr>
              <w:fldChar w:fldCharType="end"/>
            </w:r>
          </w:hyperlink>
        </w:p>
        <w:p w14:paraId="30F3E00F" w14:textId="60FE8595" w:rsidR="009A7D10" w:rsidRDefault="002A6807">
          <w:pPr>
            <w:pStyle w:val="TOC3"/>
            <w:rPr>
              <w:noProof/>
              <w:color w:val="auto"/>
              <w:shd w:val="clear" w:color="auto" w:fill="auto"/>
              <w:lang w:eastAsia="en-US"/>
            </w:rPr>
          </w:pPr>
          <w:hyperlink w:anchor="_Toc514751854" w:history="1">
            <w:r w:rsidR="009A7D10" w:rsidRPr="00AD6479">
              <w:rPr>
                <w:rStyle w:val="Hyperlink"/>
                <w:noProof/>
              </w:rPr>
              <w:t>Increased support for people with disability going through the justice system</w:t>
            </w:r>
            <w:r w:rsidR="009A7D10">
              <w:rPr>
                <w:noProof/>
                <w:webHidden/>
              </w:rPr>
              <w:tab/>
            </w:r>
            <w:r w:rsidR="009A7D10">
              <w:rPr>
                <w:noProof/>
                <w:webHidden/>
              </w:rPr>
              <w:fldChar w:fldCharType="begin"/>
            </w:r>
            <w:r w:rsidR="009A7D10">
              <w:rPr>
                <w:noProof/>
                <w:webHidden/>
              </w:rPr>
              <w:instrText xml:space="preserve"> PAGEREF _Toc514751854 \h </w:instrText>
            </w:r>
            <w:r w:rsidR="009A7D10">
              <w:rPr>
                <w:noProof/>
                <w:webHidden/>
              </w:rPr>
            </w:r>
            <w:r w:rsidR="009A7D10">
              <w:rPr>
                <w:noProof/>
                <w:webHidden/>
              </w:rPr>
              <w:fldChar w:fldCharType="separate"/>
            </w:r>
            <w:r w:rsidR="00DE614F">
              <w:rPr>
                <w:noProof/>
                <w:webHidden/>
              </w:rPr>
              <w:t>30</w:t>
            </w:r>
            <w:r w:rsidR="009A7D10">
              <w:rPr>
                <w:noProof/>
                <w:webHidden/>
              </w:rPr>
              <w:fldChar w:fldCharType="end"/>
            </w:r>
          </w:hyperlink>
        </w:p>
        <w:p w14:paraId="16E766A2" w14:textId="5985BF71" w:rsidR="009A7D10" w:rsidRDefault="002A6807">
          <w:pPr>
            <w:pStyle w:val="TOC3"/>
            <w:rPr>
              <w:noProof/>
              <w:color w:val="auto"/>
              <w:shd w:val="clear" w:color="auto" w:fill="auto"/>
              <w:lang w:eastAsia="en-US"/>
            </w:rPr>
          </w:pPr>
          <w:hyperlink w:anchor="_Toc514751855" w:history="1">
            <w:r w:rsidR="009A7D10" w:rsidRPr="00AD6479">
              <w:rPr>
                <w:rStyle w:val="Hyperlink"/>
                <w:noProof/>
              </w:rPr>
              <w:t>Changes in judicial knowledge and practices</w:t>
            </w:r>
            <w:r w:rsidR="009A7D10">
              <w:rPr>
                <w:noProof/>
                <w:webHidden/>
              </w:rPr>
              <w:tab/>
            </w:r>
            <w:r w:rsidR="009A7D10">
              <w:rPr>
                <w:noProof/>
                <w:webHidden/>
              </w:rPr>
              <w:fldChar w:fldCharType="begin"/>
            </w:r>
            <w:r w:rsidR="009A7D10">
              <w:rPr>
                <w:noProof/>
                <w:webHidden/>
              </w:rPr>
              <w:instrText xml:space="preserve"> PAGEREF _Toc514751855 \h </w:instrText>
            </w:r>
            <w:r w:rsidR="009A7D10">
              <w:rPr>
                <w:noProof/>
                <w:webHidden/>
              </w:rPr>
            </w:r>
            <w:r w:rsidR="009A7D10">
              <w:rPr>
                <w:noProof/>
                <w:webHidden/>
              </w:rPr>
              <w:fldChar w:fldCharType="separate"/>
            </w:r>
            <w:r w:rsidR="00DE614F">
              <w:rPr>
                <w:noProof/>
                <w:webHidden/>
              </w:rPr>
              <w:t>30</w:t>
            </w:r>
            <w:r w:rsidR="009A7D10">
              <w:rPr>
                <w:noProof/>
                <w:webHidden/>
              </w:rPr>
              <w:fldChar w:fldCharType="end"/>
            </w:r>
          </w:hyperlink>
        </w:p>
        <w:p w14:paraId="46591DC2" w14:textId="2CA76F6F"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56" w:history="1">
            <w:r w:rsidR="009A7D10" w:rsidRPr="00AD6479">
              <w:rPr>
                <w:rStyle w:val="Hyperlink"/>
              </w:rPr>
              <w:t>Conclusion</w:t>
            </w:r>
            <w:r w:rsidR="009A7D10">
              <w:rPr>
                <w:webHidden/>
              </w:rPr>
              <w:tab/>
            </w:r>
            <w:r w:rsidR="009A7D10">
              <w:rPr>
                <w:webHidden/>
              </w:rPr>
              <w:fldChar w:fldCharType="begin"/>
            </w:r>
            <w:r w:rsidR="009A7D10">
              <w:rPr>
                <w:webHidden/>
              </w:rPr>
              <w:instrText xml:space="preserve"> PAGEREF _Toc514751856 \h </w:instrText>
            </w:r>
            <w:r w:rsidR="009A7D10">
              <w:rPr>
                <w:webHidden/>
              </w:rPr>
            </w:r>
            <w:r w:rsidR="009A7D10">
              <w:rPr>
                <w:webHidden/>
              </w:rPr>
              <w:fldChar w:fldCharType="separate"/>
            </w:r>
            <w:r w:rsidR="00DE614F">
              <w:rPr>
                <w:webHidden/>
              </w:rPr>
              <w:t>32</w:t>
            </w:r>
            <w:r w:rsidR="009A7D10">
              <w:rPr>
                <w:webHidden/>
              </w:rPr>
              <w:fldChar w:fldCharType="end"/>
            </w:r>
          </w:hyperlink>
        </w:p>
        <w:p w14:paraId="63D76B33" w14:textId="5C5072A6" w:rsidR="009A7D10" w:rsidRDefault="002A6807">
          <w:pPr>
            <w:pStyle w:val="TOC1"/>
            <w:rPr>
              <w:rFonts w:asciiTheme="minorHAnsi" w:hAnsiTheme="minorHAnsi" w:cstheme="minorBidi"/>
              <w:b w:val="0"/>
              <w:smallCaps w:val="0"/>
              <w:color w:val="auto"/>
              <w:sz w:val="24"/>
              <w:szCs w:val="24"/>
              <w:shd w:val="clear" w:color="auto" w:fill="auto"/>
              <w:lang w:eastAsia="en-US"/>
            </w:rPr>
          </w:pPr>
          <w:hyperlink w:anchor="_Toc514751857" w:history="1">
            <w:r w:rsidR="009A7D10" w:rsidRPr="00AD6479">
              <w:rPr>
                <w:rStyle w:val="Hyperlink"/>
              </w:rPr>
              <w:t>Bibliography</w:t>
            </w:r>
            <w:r w:rsidR="009A7D10">
              <w:rPr>
                <w:webHidden/>
              </w:rPr>
              <w:tab/>
            </w:r>
            <w:r w:rsidR="009A7D10">
              <w:rPr>
                <w:webHidden/>
              </w:rPr>
              <w:fldChar w:fldCharType="begin"/>
            </w:r>
            <w:r w:rsidR="009A7D10">
              <w:rPr>
                <w:webHidden/>
              </w:rPr>
              <w:instrText xml:space="preserve"> PAGEREF _Toc514751857 \h </w:instrText>
            </w:r>
            <w:r w:rsidR="009A7D10">
              <w:rPr>
                <w:webHidden/>
              </w:rPr>
            </w:r>
            <w:r w:rsidR="009A7D10">
              <w:rPr>
                <w:webHidden/>
              </w:rPr>
              <w:fldChar w:fldCharType="separate"/>
            </w:r>
            <w:r w:rsidR="00DE614F">
              <w:rPr>
                <w:webHidden/>
              </w:rPr>
              <w:t>i</w:t>
            </w:r>
            <w:r w:rsidR="009A7D10">
              <w:rPr>
                <w:webHidden/>
              </w:rPr>
              <w:fldChar w:fldCharType="end"/>
            </w:r>
          </w:hyperlink>
        </w:p>
        <w:p w14:paraId="5A38678E" w14:textId="3BA93DCF" w:rsidR="009A7D10" w:rsidRDefault="002A6807">
          <w:pPr>
            <w:pStyle w:val="TOC2"/>
            <w:rPr>
              <w:rFonts w:asciiTheme="minorHAnsi" w:hAnsiTheme="minorHAnsi" w:cstheme="minorBidi"/>
              <w:color w:val="auto"/>
              <w:shd w:val="clear" w:color="auto" w:fill="auto"/>
              <w:lang w:eastAsia="en-US"/>
            </w:rPr>
          </w:pPr>
          <w:hyperlink w:anchor="_Toc514751858" w:history="1">
            <w:r w:rsidR="009A7D10" w:rsidRPr="00AD6479">
              <w:rPr>
                <w:rStyle w:val="Hyperlink"/>
              </w:rPr>
              <w:t>Websites</w:t>
            </w:r>
            <w:r w:rsidR="009A7D10">
              <w:rPr>
                <w:webHidden/>
              </w:rPr>
              <w:tab/>
            </w:r>
            <w:r w:rsidR="009A7D10">
              <w:rPr>
                <w:webHidden/>
              </w:rPr>
              <w:fldChar w:fldCharType="begin"/>
            </w:r>
            <w:r w:rsidR="009A7D10">
              <w:rPr>
                <w:webHidden/>
              </w:rPr>
              <w:instrText xml:space="preserve"> PAGEREF _Toc514751858 \h </w:instrText>
            </w:r>
            <w:r w:rsidR="009A7D10">
              <w:rPr>
                <w:webHidden/>
              </w:rPr>
            </w:r>
            <w:r w:rsidR="009A7D10">
              <w:rPr>
                <w:webHidden/>
              </w:rPr>
              <w:fldChar w:fldCharType="separate"/>
            </w:r>
            <w:r w:rsidR="00DE614F">
              <w:rPr>
                <w:webHidden/>
              </w:rPr>
              <w:t>i</w:t>
            </w:r>
            <w:r w:rsidR="009A7D10">
              <w:rPr>
                <w:webHidden/>
              </w:rPr>
              <w:fldChar w:fldCharType="end"/>
            </w:r>
          </w:hyperlink>
        </w:p>
        <w:p w14:paraId="40E99F3B" w14:textId="1DA86B77" w:rsidR="009A7D10" w:rsidRDefault="002A6807">
          <w:pPr>
            <w:pStyle w:val="TOC2"/>
            <w:rPr>
              <w:rFonts w:asciiTheme="minorHAnsi" w:hAnsiTheme="minorHAnsi" w:cstheme="minorBidi"/>
              <w:color w:val="auto"/>
              <w:shd w:val="clear" w:color="auto" w:fill="auto"/>
              <w:lang w:eastAsia="en-US"/>
            </w:rPr>
          </w:pPr>
          <w:hyperlink w:anchor="_Toc514751859" w:history="1">
            <w:r w:rsidR="009A7D10" w:rsidRPr="00AD6479">
              <w:rPr>
                <w:rStyle w:val="Hyperlink"/>
              </w:rPr>
              <w:t>Books and e-books, and chapters</w:t>
            </w:r>
            <w:r w:rsidR="009A7D10">
              <w:rPr>
                <w:webHidden/>
              </w:rPr>
              <w:tab/>
            </w:r>
            <w:r w:rsidR="009A7D10">
              <w:rPr>
                <w:webHidden/>
              </w:rPr>
              <w:fldChar w:fldCharType="begin"/>
            </w:r>
            <w:r w:rsidR="009A7D10">
              <w:rPr>
                <w:webHidden/>
              </w:rPr>
              <w:instrText xml:space="preserve"> PAGEREF _Toc514751859 \h </w:instrText>
            </w:r>
            <w:r w:rsidR="009A7D10">
              <w:rPr>
                <w:webHidden/>
              </w:rPr>
            </w:r>
            <w:r w:rsidR="009A7D10">
              <w:rPr>
                <w:webHidden/>
              </w:rPr>
              <w:fldChar w:fldCharType="separate"/>
            </w:r>
            <w:r w:rsidR="00DE614F">
              <w:rPr>
                <w:webHidden/>
              </w:rPr>
              <w:t>ii</w:t>
            </w:r>
            <w:r w:rsidR="009A7D10">
              <w:rPr>
                <w:webHidden/>
              </w:rPr>
              <w:fldChar w:fldCharType="end"/>
            </w:r>
          </w:hyperlink>
        </w:p>
        <w:p w14:paraId="5D8E82CF" w14:textId="7CFC1AC1" w:rsidR="009A7D10" w:rsidRDefault="002A6807">
          <w:pPr>
            <w:pStyle w:val="TOC2"/>
            <w:rPr>
              <w:rFonts w:asciiTheme="minorHAnsi" w:hAnsiTheme="minorHAnsi" w:cstheme="minorBidi"/>
              <w:color w:val="auto"/>
              <w:shd w:val="clear" w:color="auto" w:fill="auto"/>
              <w:lang w:eastAsia="en-US"/>
            </w:rPr>
          </w:pPr>
          <w:hyperlink w:anchor="_Toc514751860" w:history="1">
            <w:r w:rsidR="009A7D10" w:rsidRPr="00AD6479">
              <w:rPr>
                <w:rStyle w:val="Hyperlink"/>
              </w:rPr>
              <w:t>Legislation and international treaties</w:t>
            </w:r>
            <w:r w:rsidR="009A7D10">
              <w:rPr>
                <w:webHidden/>
              </w:rPr>
              <w:tab/>
            </w:r>
            <w:r w:rsidR="009A7D10">
              <w:rPr>
                <w:webHidden/>
              </w:rPr>
              <w:fldChar w:fldCharType="begin"/>
            </w:r>
            <w:r w:rsidR="009A7D10">
              <w:rPr>
                <w:webHidden/>
              </w:rPr>
              <w:instrText xml:space="preserve"> PAGEREF _Toc514751860 \h </w:instrText>
            </w:r>
            <w:r w:rsidR="009A7D10">
              <w:rPr>
                <w:webHidden/>
              </w:rPr>
            </w:r>
            <w:r w:rsidR="009A7D10">
              <w:rPr>
                <w:webHidden/>
              </w:rPr>
              <w:fldChar w:fldCharType="separate"/>
            </w:r>
            <w:r w:rsidR="00DE614F">
              <w:rPr>
                <w:webHidden/>
              </w:rPr>
              <w:t>ii</w:t>
            </w:r>
            <w:r w:rsidR="009A7D10">
              <w:rPr>
                <w:webHidden/>
              </w:rPr>
              <w:fldChar w:fldCharType="end"/>
            </w:r>
          </w:hyperlink>
        </w:p>
        <w:p w14:paraId="3F3D1A03" w14:textId="7491AFE0" w:rsidR="009A7D10" w:rsidRDefault="002A6807">
          <w:pPr>
            <w:pStyle w:val="TOC3"/>
            <w:rPr>
              <w:noProof/>
              <w:color w:val="auto"/>
              <w:shd w:val="clear" w:color="auto" w:fill="auto"/>
              <w:lang w:eastAsia="en-US"/>
            </w:rPr>
          </w:pPr>
          <w:hyperlink w:anchor="_Toc514751861" w:history="1">
            <w:r w:rsidR="009A7D10" w:rsidRPr="00AD6479">
              <w:rPr>
                <w:rStyle w:val="Hyperlink"/>
                <w:noProof/>
              </w:rPr>
              <w:t>International</w:t>
            </w:r>
            <w:r w:rsidR="009A7D10">
              <w:rPr>
                <w:noProof/>
                <w:webHidden/>
              </w:rPr>
              <w:tab/>
            </w:r>
            <w:r w:rsidR="009A7D10">
              <w:rPr>
                <w:noProof/>
                <w:webHidden/>
              </w:rPr>
              <w:fldChar w:fldCharType="begin"/>
            </w:r>
            <w:r w:rsidR="009A7D10">
              <w:rPr>
                <w:noProof/>
                <w:webHidden/>
              </w:rPr>
              <w:instrText xml:space="preserve"> PAGEREF _Toc514751861 \h </w:instrText>
            </w:r>
            <w:r w:rsidR="009A7D10">
              <w:rPr>
                <w:noProof/>
                <w:webHidden/>
              </w:rPr>
            </w:r>
            <w:r w:rsidR="009A7D10">
              <w:rPr>
                <w:noProof/>
                <w:webHidden/>
              </w:rPr>
              <w:fldChar w:fldCharType="separate"/>
            </w:r>
            <w:r w:rsidR="00DE614F">
              <w:rPr>
                <w:noProof/>
                <w:webHidden/>
              </w:rPr>
              <w:t>ii</w:t>
            </w:r>
            <w:r w:rsidR="009A7D10">
              <w:rPr>
                <w:noProof/>
                <w:webHidden/>
              </w:rPr>
              <w:fldChar w:fldCharType="end"/>
            </w:r>
          </w:hyperlink>
        </w:p>
        <w:p w14:paraId="261BC4A0" w14:textId="016258E5" w:rsidR="009A7D10" w:rsidRDefault="002A6807">
          <w:pPr>
            <w:pStyle w:val="TOC3"/>
            <w:rPr>
              <w:noProof/>
              <w:color w:val="auto"/>
              <w:shd w:val="clear" w:color="auto" w:fill="auto"/>
              <w:lang w:eastAsia="en-US"/>
            </w:rPr>
          </w:pPr>
          <w:hyperlink w:anchor="_Toc514751862" w:history="1">
            <w:r w:rsidR="009A7D10" w:rsidRPr="00AD6479">
              <w:rPr>
                <w:rStyle w:val="Hyperlink"/>
                <w:noProof/>
              </w:rPr>
              <w:t>Australian federal</w:t>
            </w:r>
            <w:r w:rsidR="009A7D10">
              <w:rPr>
                <w:noProof/>
                <w:webHidden/>
              </w:rPr>
              <w:tab/>
            </w:r>
            <w:r w:rsidR="009A7D10">
              <w:rPr>
                <w:noProof/>
                <w:webHidden/>
              </w:rPr>
              <w:fldChar w:fldCharType="begin"/>
            </w:r>
            <w:r w:rsidR="009A7D10">
              <w:rPr>
                <w:noProof/>
                <w:webHidden/>
              </w:rPr>
              <w:instrText xml:space="preserve"> PAGEREF _Toc514751862 \h </w:instrText>
            </w:r>
            <w:r w:rsidR="009A7D10">
              <w:rPr>
                <w:noProof/>
                <w:webHidden/>
              </w:rPr>
            </w:r>
            <w:r w:rsidR="009A7D10">
              <w:rPr>
                <w:noProof/>
                <w:webHidden/>
              </w:rPr>
              <w:fldChar w:fldCharType="separate"/>
            </w:r>
            <w:r w:rsidR="00DE614F">
              <w:rPr>
                <w:noProof/>
                <w:webHidden/>
              </w:rPr>
              <w:t>iii</w:t>
            </w:r>
            <w:r w:rsidR="009A7D10">
              <w:rPr>
                <w:noProof/>
                <w:webHidden/>
              </w:rPr>
              <w:fldChar w:fldCharType="end"/>
            </w:r>
          </w:hyperlink>
        </w:p>
        <w:p w14:paraId="1252F84F" w14:textId="383E9679" w:rsidR="009A7D10" w:rsidRDefault="002A6807">
          <w:pPr>
            <w:pStyle w:val="TOC3"/>
            <w:rPr>
              <w:noProof/>
              <w:color w:val="auto"/>
              <w:shd w:val="clear" w:color="auto" w:fill="auto"/>
              <w:lang w:eastAsia="en-US"/>
            </w:rPr>
          </w:pPr>
          <w:hyperlink w:anchor="_Toc514751863" w:history="1">
            <w:r w:rsidR="009A7D10" w:rsidRPr="00AD6479">
              <w:rPr>
                <w:rStyle w:val="Hyperlink"/>
                <w:noProof/>
              </w:rPr>
              <w:t>Australian state or territory</w:t>
            </w:r>
            <w:r w:rsidR="009A7D10">
              <w:rPr>
                <w:noProof/>
                <w:webHidden/>
              </w:rPr>
              <w:tab/>
            </w:r>
            <w:r w:rsidR="009A7D10">
              <w:rPr>
                <w:noProof/>
                <w:webHidden/>
              </w:rPr>
              <w:fldChar w:fldCharType="begin"/>
            </w:r>
            <w:r w:rsidR="009A7D10">
              <w:rPr>
                <w:noProof/>
                <w:webHidden/>
              </w:rPr>
              <w:instrText xml:space="preserve"> PAGEREF _Toc514751863 \h </w:instrText>
            </w:r>
            <w:r w:rsidR="009A7D10">
              <w:rPr>
                <w:noProof/>
                <w:webHidden/>
              </w:rPr>
            </w:r>
            <w:r w:rsidR="009A7D10">
              <w:rPr>
                <w:noProof/>
                <w:webHidden/>
              </w:rPr>
              <w:fldChar w:fldCharType="separate"/>
            </w:r>
            <w:r w:rsidR="00DE614F">
              <w:rPr>
                <w:noProof/>
                <w:webHidden/>
              </w:rPr>
              <w:t>iii</w:t>
            </w:r>
            <w:r w:rsidR="009A7D10">
              <w:rPr>
                <w:noProof/>
                <w:webHidden/>
              </w:rPr>
              <w:fldChar w:fldCharType="end"/>
            </w:r>
          </w:hyperlink>
        </w:p>
        <w:p w14:paraId="140C9B6F" w14:textId="2D37BE4D" w:rsidR="009A7D10" w:rsidRDefault="002A6807">
          <w:pPr>
            <w:pStyle w:val="TOC2"/>
            <w:rPr>
              <w:rFonts w:asciiTheme="minorHAnsi" w:hAnsiTheme="minorHAnsi" w:cstheme="minorBidi"/>
              <w:color w:val="auto"/>
              <w:shd w:val="clear" w:color="auto" w:fill="auto"/>
              <w:lang w:eastAsia="en-US"/>
            </w:rPr>
          </w:pPr>
          <w:hyperlink w:anchor="_Toc514751864" w:history="1">
            <w:r w:rsidR="009A7D10" w:rsidRPr="00AD6479">
              <w:rPr>
                <w:rStyle w:val="Hyperlink"/>
              </w:rPr>
              <w:t>Journal articles</w:t>
            </w:r>
            <w:r w:rsidR="009A7D10">
              <w:rPr>
                <w:webHidden/>
              </w:rPr>
              <w:tab/>
            </w:r>
            <w:r w:rsidR="009A7D10">
              <w:rPr>
                <w:webHidden/>
              </w:rPr>
              <w:fldChar w:fldCharType="begin"/>
            </w:r>
            <w:r w:rsidR="009A7D10">
              <w:rPr>
                <w:webHidden/>
              </w:rPr>
              <w:instrText xml:space="preserve"> PAGEREF _Toc514751864 \h </w:instrText>
            </w:r>
            <w:r w:rsidR="009A7D10">
              <w:rPr>
                <w:webHidden/>
              </w:rPr>
            </w:r>
            <w:r w:rsidR="009A7D10">
              <w:rPr>
                <w:webHidden/>
              </w:rPr>
              <w:fldChar w:fldCharType="separate"/>
            </w:r>
            <w:r w:rsidR="00DE614F">
              <w:rPr>
                <w:webHidden/>
              </w:rPr>
              <w:t>iii</w:t>
            </w:r>
            <w:r w:rsidR="009A7D10">
              <w:rPr>
                <w:webHidden/>
              </w:rPr>
              <w:fldChar w:fldCharType="end"/>
            </w:r>
          </w:hyperlink>
        </w:p>
        <w:p w14:paraId="42B3B5A9" w14:textId="4125AE52" w:rsidR="009A7D10" w:rsidRDefault="002A6807">
          <w:pPr>
            <w:pStyle w:val="TOC2"/>
            <w:rPr>
              <w:rFonts w:asciiTheme="minorHAnsi" w:hAnsiTheme="minorHAnsi" w:cstheme="minorBidi"/>
              <w:color w:val="auto"/>
              <w:shd w:val="clear" w:color="auto" w:fill="auto"/>
              <w:lang w:eastAsia="en-US"/>
            </w:rPr>
          </w:pPr>
          <w:hyperlink w:anchor="_Toc514751865" w:history="1">
            <w:r w:rsidR="009A7D10" w:rsidRPr="00AD6479">
              <w:rPr>
                <w:rStyle w:val="Hyperlink"/>
              </w:rPr>
              <w:t>Reports, submissions and theses</w:t>
            </w:r>
            <w:r w:rsidR="009A7D10">
              <w:rPr>
                <w:webHidden/>
              </w:rPr>
              <w:tab/>
            </w:r>
            <w:r w:rsidR="009A7D10">
              <w:rPr>
                <w:webHidden/>
              </w:rPr>
              <w:fldChar w:fldCharType="begin"/>
            </w:r>
            <w:r w:rsidR="009A7D10">
              <w:rPr>
                <w:webHidden/>
              </w:rPr>
              <w:instrText xml:space="preserve"> PAGEREF _Toc514751865 \h </w:instrText>
            </w:r>
            <w:r w:rsidR="009A7D10">
              <w:rPr>
                <w:webHidden/>
              </w:rPr>
            </w:r>
            <w:r w:rsidR="009A7D10">
              <w:rPr>
                <w:webHidden/>
              </w:rPr>
              <w:fldChar w:fldCharType="separate"/>
            </w:r>
            <w:r w:rsidR="00DE614F">
              <w:rPr>
                <w:webHidden/>
              </w:rPr>
              <w:t>ix</w:t>
            </w:r>
            <w:r w:rsidR="009A7D10">
              <w:rPr>
                <w:webHidden/>
              </w:rPr>
              <w:fldChar w:fldCharType="end"/>
            </w:r>
          </w:hyperlink>
        </w:p>
        <w:p w14:paraId="034CE10D" w14:textId="6BCAA7DE" w:rsidR="009A7D10" w:rsidRDefault="002A6807">
          <w:pPr>
            <w:pStyle w:val="TOC2"/>
            <w:rPr>
              <w:rFonts w:asciiTheme="minorHAnsi" w:hAnsiTheme="minorHAnsi" w:cstheme="minorBidi"/>
              <w:color w:val="auto"/>
              <w:shd w:val="clear" w:color="auto" w:fill="auto"/>
              <w:lang w:eastAsia="en-US"/>
            </w:rPr>
          </w:pPr>
          <w:hyperlink w:anchor="_Toc514751866" w:history="1">
            <w:r w:rsidR="009A7D10" w:rsidRPr="00AD6479">
              <w:rPr>
                <w:rStyle w:val="Hyperlink"/>
              </w:rPr>
              <w:t>Media reports</w:t>
            </w:r>
            <w:r w:rsidR="009A7D10">
              <w:rPr>
                <w:webHidden/>
              </w:rPr>
              <w:tab/>
            </w:r>
            <w:r w:rsidR="009A7D10">
              <w:rPr>
                <w:webHidden/>
              </w:rPr>
              <w:fldChar w:fldCharType="begin"/>
            </w:r>
            <w:r w:rsidR="009A7D10">
              <w:rPr>
                <w:webHidden/>
              </w:rPr>
              <w:instrText xml:space="preserve"> PAGEREF _Toc514751866 \h </w:instrText>
            </w:r>
            <w:r w:rsidR="009A7D10">
              <w:rPr>
                <w:webHidden/>
              </w:rPr>
            </w:r>
            <w:r w:rsidR="009A7D10">
              <w:rPr>
                <w:webHidden/>
              </w:rPr>
              <w:fldChar w:fldCharType="separate"/>
            </w:r>
            <w:r w:rsidR="00DE614F">
              <w:rPr>
                <w:webHidden/>
              </w:rPr>
              <w:t>xi</w:t>
            </w:r>
            <w:r w:rsidR="009A7D10">
              <w:rPr>
                <w:webHidden/>
              </w:rPr>
              <w:fldChar w:fldCharType="end"/>
            </w:r>
          </w:hyperlink>
        </w:p>
        <w:p w14:paraId="37625C3B" w14:textId="53B2D41F" w:rsidR="009A7D10" w:rsidRDefault="002A6807">
          <w:pPr>
            <w:pStyle w:val="TOC2"/>
            <w:rPr>
              <w:rFonts w:asciiTheme="minorHAnsi" w:hAnsiTheme="minorHAnsi" w:cstheme="minorBidi"/>
              <w:color w:val="auto"/>
              <w:shd w:val="clear" w:color="auto" w:fill="auto"/>
              <w:lang w:eastAsia="en-US"/>
            </w:rPr>
          </w:pPr>
          <w:hyperlink w:anchor="_Toc514751867" w:history="1">
            <w:r w:rsidR="009A7D10" w:rsidRPr="00AD6479">
              <w:rPr>
                <w:rStyle w:val="Hyperlink"/>
              </w:rPr>
              <w:t>Conference papers</w:t>
            </w:r>
            <w:r w:rsidR="009A7D10">
              <w:rPr>
                <w:webHidden/>
              </w:rPr>
              <w:tab/>
            </w:r>
            <w:r w:rsidR="009A7D10">
              <w:rPr>
                <w:webHidden/>
              </w:rPr>
              <w:fldChar w:fldCharType="begin"/>
            </w:r>
            <w:r w:rsidR="009A7D10">
              <w:rPr>
                <w:webHidden/>
              </w:rPr>
              <w:instrText xml:space="preserve"> PAGEREF _Toc514751867 \h </w:instrText>
            </w:r>
            <w:r w:rsidR="009A7D10">
              <w:rPr>
                <w:webHidden/>
              </w:rPr>
            </w:r>
            <w:r w:rsidR="009A7D10">
              <w:rPr>
                <w:webHidden/>
              </w:rPr>
              <w:fldChar w:fldCharType="separate"/>
            </w:r>
            <w:r w:rsidR="00DE614F">
              <w:rPr>
                <w:webHidden/>
              </w:rPr>
              <w:t>xi</w:t>
            </w:r>
            <w:r w:rsidR="009A7D10">
              <w:rPr>
                <w:webHidden/>
              </w:rPr>
              <w:fldChar w:fldCharType="end"/>
            </w:r>
          </w:hyperlink>
        </w:p>
        <w:p w14:paraId="6F3D7965" w14:textId="20BFBDCE" w:rsidR="00421020" w:rsidRPr="00846E5C" w:rsidRDefault="007C7A34" w:rsidP="00396190">
          <w:pPr>
            <w:rPr>
              <w:noProof/>
            </w:rPr>
          </w:pPr>
          <w:r w:rsidRPr="00846E5C">
            <w:rPr>
              <w:noProof/>
            </w:rPr>
            <w:fldChar w:fldCharType="end"/>
          </w:r>
        </w:p>
      </w:sdtContent>
    </w:sdt>
    <w:p w14:paraId="12919A0A" w14:textId="77777777" w:rsidR="00AC4E2D" w:rsidRPr="00AC4E2D" w:rsidRDefault="00AC4E2D" w:rsidP="00AC4E2D">
      <w:pPr>
        <w:rPr>
          <w:lang w:val="en-AU" w:eastAsia="ja-JP"/>
        </w:rPr>
        <w:sectPr w:rsidR="00AC4E2D" w:rsidRPr="00AC4E2D" w:rsidSect="00242015">
          <w:pgSz w:w="11900" w:h="16840"/>
          <w:pgMar w:top="1361" w:right="1474" w:bottom="1361" w:left="1474" w:header="709" w:footer="709" w:gutter="0"/>
          <w:cols w:space="708"/>
          <w:docGrid w:linePitch="360"/>
        </w:sectPr>
      </w:pPr>
    </w:p>
    <w:p w14:paraId="246708E9" w14:textId="76F496EA" w:rsidR="006372E5" w:rsidRPr="006372E5" w:rsidRDefault="006372E5" w:rsidP="00396190">
      <w:pPr>
        <w:pStyle w:val="Heading1"/>
      </w:pPr>
      <w:bookmarkStart w:id="1" w:name="_Toc514751823"/>
      <w:r w:rsidRPr="006372E5">
        <w:lastRenderedPageBreak/>
        <w:t>Foreword</w:t>
      </w:r>
      <w:bookmarkEnd w:id="1"/>
      <w:r w:rsidRPr="006372E5">
        <w:t xml:space="preserve"> </w:t>
      </w:r>
    </w:p>
    <w:p w14:paraId="2D45866A" w14:textId="145222BF" w:rsidR="006372E5" w:rsidRPr="002B00D5" w:rsidRDefault="00AC4E2D" w:rsidP="00396190">
      <w:pPr>
        <w:pStyle w:val="Heading2"/>
      </w:pPr>
      <w:bookmarkStart w:id="2" w:name="_Toc514751824"/>
      <w:r>
        <w:t>Transforming access to j</w:t>
      </w:r>
      <w:r w:rsidR="006372E5" w:rsidRPr="002B00D5">
        <w:t>ustice</w:t>
      </w:r>
      <w:bookmarkEnd w:id="2"/>
    </w:p>
    <w:p w14:paraId="0FE00210" w14:textId="77777777" w:rsidR="006372E5" w:rsidRPr="002B00D5" w:rsidRDefault="006372E5" w:rsidP="00396190">
      <w:r w:rsidRPr="002B00D5">
        <w:t xml:space="preserve">A </w:t>
      </w:r>
      <w:r w:rsidRPr="002B00D5">
        <w:rPr>
          <w:i/>
          <w:iCs/>
        </w:rPr>
        <w:t>just</w:t>
      </w:r>
      <w:r w:rsidRPr="002B00D5">
        <w:t xml:space="preserve"> system is universally accessible. It is a place where everyone has equal rights, the equal ability to exercise those rights and to participate in justice processes and yet the experience of equity and inclusion remains out of reach for many, particularly for people with </w:t>
      </w:r>
      <w:r w:rsidRPr="003234FA">
        <w:t>disability</w:t>
      </w:r>
      <w:r w:rsidRPr="002B00D5">
        <w:t>.</w:t>
      </w:r>
    </w:p>
    <w:p w14:paraId="037791A1" w14:textId="75AC23EF" w:rsidR="006372E5" w:rsidRPr="00396190" w:rsidRDefault="006372E5" w:rsidP="00396190">
      <w:r w:rsidRPr="00396190">
        <w:t xml:space="preserve">The historical and continuing failures of our justice processes to recognise and realise the rights of </w:t>
      </w:r>
      <w:r w:rsidR="003234FA" w:rsidRPr="003234FA">
        <w:t>people</w:t>
      </w:r>
      <w:r w:rsidRPr="003234FA">
        <w:t xml:space="preserve"> with disability</w:t>
      </w:r>
      <w:r w:rsidRPr="00396190">
        <w:t xml:space="preserve"> across the system bring into question Australia’s compliance with international human rights obligations and the proper administration of justice. </w:t>
      </w:r>
    </w:p>
    <w:p w14:paraId="1B2328CE" w14:textId="618CCD71" w:rsidR="006372E5" w:rsidRPr="002B00D5" w:rsidRDefault="006372E5" w:rsidP="00396190">
      <w:r w:rsidRPr="003234FA">
        <w:t>People with disability</w:t>
      </w:r>
      <w:r w:rsidRPr="002B00D5">
        <w:t xml:space="preserve"> are often dismissed as ‘unreliable witnesses’ by police and lawyers, while people accused of a crime are often not given access to the appropriate assistance to ensure they have access to a fair trial. This has led to the overrepresentation of </w:t>
      </w:r>
      <w:r w:rsidRPr="003234FA">
        <w:t>people with disability</w:t>
      </w:r>
      <w:r w:rsidRPr="002B00D5">
        <w:t xml:space="preserve"> in prison systems that are ill-equipped to </w:t>
      </w:r>
      <w:r w:rsidRPr="003234FA">
        <w:t xml:space="preserve">support </w:t>
      </w:r>
      <w:r w:rsidR="003234FA" w:rsidRPr="003234FA">
        <w:t>people with disability</w:t>
      </w:r>
      <w:r w:rsidRPr="003234FA">
        <w:t>.</w:t>
      </w:r>
      <w:r w:rsidRPr="002B00D5">
        <w:t xml:space="preserve"> The systemic barriers inherent in our justice processes have led to the criminalisation of disability and the denial of fundamental human rights.</w:t>
      </w:r>
    </w:p>
    <w:p w14:paraId="0D50BA03" w14:textId="71B24140" w:rsidR="006372E5" w:rsidRPr="002B00D5" w:rsidRDefault="006372E5" w:rsidP="00396190">
      <w:r w:rsidRPr="002B00D5">
        <w:t xml:space="preserve">The only remedy to the injustice experienced </w:t>
      </w:r>
      <w:r w:rsidRPr="003234FA">
        <w:t>by people with disability is to transform the system. For people with disability to be equal before the law, recognised as rights bearers and as deliverers of justice</w:t>
      </w:r>
      <w:r w:rsidR="004758FB" w:rsidRPr="003234FA">
        <w:t>,</w:t>
      </w:r>
      <w:r w:rsidRPr="003234FA">
        <w:t xml:space="preserve"> there are significant systemic, law, policy and practical reforms that must occur across Australia and New Zealand. In a transformed system, an assault on a person with disability is a crime, not an incident, an accused person with disability is</w:t>
      </w:r>
      <w:r w:rsidRPr="002B00D5">
        <w:t xml:space="preserve"> able to access a fair trial</w:t>
      </w:r>
      <w:r w:rsidR="004758FB">
        <w:t>;</w:t>
      </w:r>
      <w:r w:rsidRPr="002B00D5">
        <w:t xml:space="preserve"> and we have judges, juries and </w:t>
      </w:r>
      <w:r w:rsidRPr="003234FA">
        <w:t>lawyers with disability delivering</w:t>
      </w:r>
      <w:r w:rsidRPr="002B00D5">
        <w:t xml:space="preserve"> justice. </w:t>
      </w:r>
    </w:p>
    <w:p w14:paraId="389189B5" w14:textId="35E11108" w:rsidR="006372E5" w:rsidRPr="002B00D5" w:rsidRDefault="0075086A" w:rsidP="00396190">
      <w:r>
        <w:t xml:space="preserve">Transforming access to justice </w:t>
      </w:r>
      <w:r w:rsidRPr="003234FA">
        <w:t>for people with d</w:t>
      </w:r>
      <w:r w:rsidR="006372E5" w:rsidRPr="003234FA">
        <w:t>isability must</w:t>
      </w:r>
      <w:r w:rsidR="006372E5" w:rsidRPr="002B00D5">
        <w:t xml:space="preserve"> be based on what Michael Black AC QC, former Chief Justice of the Federal Court of Australia</w:t>
      </w:r>
      <w:r w:rsidR="00807289">
        <w:t>,</w:t>
      </w:r>
      <w:r w:rsidR="006372E5" w:rsidRPr="002B00D5">
        <w:t xml:space="preserve"> described as ‘effective solutions based on scholarship’. The scholarship behind these solutions must not only be a product of the academy either. </w:t>
      </w:r>
    </w:p>
    <w:p w14:paraId="7A39A833" w14:textId="37807D76" w:rsidR="006372E5" w:rsidRPr="002B00D5" w:rsidRDefault="006372E5" w:rsidP="00396190">
      <w:r w:rsidRPr="002B00D5">
        <w:t xml:space="preserve">Research that makes a difference and results in real change must be co-designed </w:t>
      </w:r>
      <w:r w:rsidRPr="003234FA">
        <w:t xml:space="preserve">with </w:t>
      </w:r>
      <w:r w:rsidR="008B580E" w:rsidRPr="003234FA">
        <w:t>p</w:t>
      </w:r>
      <w:r w:rsidRPr="003234FA">
        <w:t xml:space="preserve">eople with </w:t>
      </w:r>
      <w:r w:rsidR="008B24F8" w:rsidRPr="003234FA">
        <w:t>d</w:t>
      </w:r>
      <w:r w:rsidRPr="003234FA">
        <w:t>isability and D</w:t>
      </w:r>
      <w:r w:rsidR="00F0502E" w:rsidRPr="003234FA">
        <w:t xml:space="preserve">isabled People’s Organisations </w:t>
      </w:r>
      <w:r w:rsidR="004758FB" w:rsidRPr="003234FA">
        <w:t xml:space="preserve">(DPOs) </w:t>
      </w:r>
      <w:r w:rsidRPr="003234FA">
        <w:t>and must break the discipline and f</w:t>
      </w:r>
      <w:r w:rsidR="004758FB" w:rsidRPr="003234FA">
        <w:t>unding silos that exist within u</w:t>
      </w:r>
      <w:r w:rsidRPr="003234FA">
        <w:t>niversities. The evidence base for change has too long been developed in academic silos, where disability research is underfunded and where people with disability are exc</w:t>
      </w:r>
      <w:r w:rsidRPr="002B00D5">
        <w:t>luded from research</w:t>
      </w:r>
      <w:r w:rsidR="000D0383">
        <w:t>.</w:t>
      </w:r>
    </w:p>
    <w:p w14:paraId="60B5260B" w14:textId="10E12143" w:rsidR="006372E5" w:rsidRPr="002B00D5" w:rsidRDefault="006372E5" w:rsidP="00396190">
      <w:r w:rsidRPr="002B00D5">
        <w:t>It is the pursuit of co-designed, high-impact research that led to forty researchers from Australian and Ne</w:t>
      </w:r>
      <w:r w:rsidR="004758FB">
        <w:t>w Zealand Universities to form the</w:t>
      </w:r>
      <w:r w:rsidRPr="002B00D5">
        <w:t xml:space="preserve"> Disability Access to Justice Research Consortium.</w:t>
      </w:r>
    </w:p>
    <w:p w14:paraId="1E03A05A" w14:textId="22FF19B7" w:rsidR="006372E5" w:rsidRPr="002B00D5" w:rsidRDefault="006372E5" w:rsidP="00396190">
      <w:r w:rsidRPr="002B00D5">
        <w:t>Currently led by the University of Melbourne, the Consortium which officially launched on 8</w:t>
      </w:r>
      <w:r w:rsidR="004758FB">
        <w:rPr>
          <w:vertAlign w:val="superscript"/>
        </w:rPr>
        <w:t> </w:t>
      </w:r>
      <w:r w:rsidRPr="002B00D5">
        <w:t xml:space="preserve">September </w:t>
      </w:r>
      <w:r w:rsidR="004758FB">
        <w:t xml:space="preserve">2017 </w:t>
      </w:r>
      <w:r w:rsidRPr="002B00D5">
        <w:t>brings together researchers in law, public policy, policing, disability rights, criminology and psychology</w:t>
      </w:r>
      <w:r w:rsidR="008B580E">
        <w:t xml:space="preserve"> to</w:t>
      </w:r>
      <w:r w:rsidRPr="002B00D5">
        <w:t xml:space="preserve"> creat</w:t>
      </w:r>
      <w:r w:rsidR="004758FB">
        <w:t>e and deliver co-designed, high-</w:t>
      </w:r>
      <w:r w:rsidRPr="002B00D5">
        <w:t>impact research and reform.</w:t>
      </w:r>
    </w:p>
    <w:p w14:paraId="044C837C" w14:textId="77777777" w:rsidR="006372E5" w:rsidRPr="002B00D5" w:rsidRDefault="006372E5" w:rsidP="00396190">
      <w:pPr>
        <w:rPr>
          <w:rFonts w:eastAsiaTheme="majorEastAsia" w:cstheme="majorBidi"/>
          <w:color w:val="365F91" w:themeColor="accent1" w:themeShade="BF"/>
        </w:rPr>
      </w:pPr>
      <w:r w:rsidRPr="006372E5">
        <w:br w:type="page"/>
      </w:r>
    </w:p>
    <w:p w14:paraId="065CE2D3" w14:textId="77777777" w:rsidR="004D552D" w:rsidRPr="00421020" w:rsidRDefault="00CB2690" w:rsidP="00396190">
      <w:pPr>
        <w:pStyle w:val="Heading1"/>
      </w:pPr>
      <w:bookmarkStart w:id="3" w:name="_Toc514751825"/>
      <w:r w:rsidRPr="002E269C">
        <w:lastRenderedPageBreak/>
        <w:t>Introduction</w:t>
      </w:r>
      <w:bookmarkEnd w:id="3"/>
    </w:p>
    <w:p w14:paraId="3CDA2E46" w14:textId="6DB278C5" w:rsidR="00E0699A" w:rsidRPr="003234FA" w:rsidRDefault="003D1B39" w:rsidP="00396190">
      <w:r w:rsidRPr="002E269C">
        <w:t>Thi</w:t>
      </w:r>
      <w:r w:rsidR="00C02AD1" w:rsidRPr="002E269C">
        <w:t xml:space="preserve">s </w:t>
      </w:r>
      <w:r w:rsidR="005A38AC">
        <w:t>document</w:t>
      </w:r>
      <w:r w:rsidR="00C02AD1" w:rsidRPr="002E269C">
        <w:t xml:space="preserve"> has been prepared </w:t>
      </w:r>
      <w:r w:rsidR="007C7A34" w:rsidRPr="002E269C">
        <w:t xml:space="preserve">by the </w:t>
      </w:r>
      <w:r w:rsidR="0006306A">
        <w:t xml:space="preserve">Hallmark </w:t>
      </w:r>
      <w:r w:rsidR="007C7A34" w:rsidRPr="002E269C">
        <w:t xml:space="preserve">Disability Research Initiative and the Melbourne Social Equity Institute at the University of Melbourne in conjunction with an </w:t>
      </w:r>
      <w:r w:rsidR="000A21F0" w:rsidRPr="002E269C">
        <w:t xml:space="preserve">interdisciplinary consortium of Australian and New Zealand researchers </w:t>
      </w:r>
      <w:r w:rsidR="001853BE" w:rsidRPr="002E269C">
        <w:t xml:space="preserve">and Disabled People’s Organisations </w:t>
      </w:r>
      <w:r w:rsidR="00384B87" w:rsidRPr="002E269C">
        <w:t>committed to</w:t>
      </w:r>
      <w:r w:rsidR="000A21F0" w:rsidRPr="002E269C">
        <w:t xml:space="preserve"> advanc</w:t>
      </w:r>
      <w:r w:rsidR="00384B87" w:rsidRPr="002E269C">
        <w:t>ing</w:t>
      </w:r>
      <w:r w:rsidR="000A21F0" w:rsidRPr="002E269C">
        <w:t xml:space="preserve"> high-impact, </w:t>
      </w:r>
      <w:r w:rsidR="005F11FB">
        <w:t xml:space="preserve">participatory </w:t>
      </w:r>
      <w:r w:rsidR="000A21F0" w:rsidRPr="002E269C">
        <w:t xml:space="preserve">research on access to justice </w:t>
      </w:r>
      <w:r w:rsidR="000A21F0" w:rsidRPr="003234FA">
        <w:t>for people with disability.</w:t>
      </w:r>
      <w:r w:rsidR="004758FB" w:rsidRPr="003234FA">
        <w:rPr>
          <w:rStyle w:val="FootnoteReference"/>
        </w:rPr>
        <w:footnoteReference w:id="1"/>
      </w:r>
      <w:r w:rsidR="000A21F0" w:rsidRPr="003234FA">
        <w:t xml:space="preserve"> </w:t>
      </w:r>
      <w:r w:rsidR="0035239D" w:rsidRPr="003234FA">
        <w:t xml:space="preserve">The consortium partners </w:t>
      </w:r>
      <w:r w:rsidR="00E0699A" w:rsidRPr="003234FA">
        <w:t>recognise that interdisciplinary research that is co-designed with the disability community will lead to deeper impact and drive more effective changes to law, policy, culture, and practice across the justice system</w:t>
      </w:r>
      <w:r w:rsidR="007C7A34" w:rsidRPr="003234FA">
        <w:t xml:space="preserve"> that contributes to the realisation of the rights of people with </w:t>
      </w:r>
      <w:r w:rsidR="00700B63" w:rsidRPr="003234FA">
        <w:t>disability</w:t>
      </w:r>
      <w:r w:rsidR="00E0699A" w:rsidRPr="003234FA">
        <w:t xml:space="preserve">.  </w:t>
      </w:r>
    </w:p>
    <w:p w14:paraId="177AB956" w14:textId="0F8F8F90" w:rsidR="009D4331" w:rsidRDefault="008C170B" w:rsidP="00396190">
      <w:r w:rsidRPr="003234FA">
        <w:t xml:space="preserve">This </w:t>
      </w:r>
      <w:r w:rsidR="005A38AC" w:rsidRPr="003234FA">
        <w:t>document</w:t>
      </w:r>
      <w:r w:rsidR="00733B71" w:rsidRPr="003234FA">
        <w:t xml:space="preserve"> expand</w:t>
      </w:r>
      <w:r w:rsidR="008371D8" w:rsidRPr="003234FA">
        <w:t>s</w:t>
      </w:r>
      <w:r w:rsidR="00BC6F16" w:rsidRPr="003234FA">
        <w:t xml:space="preserve"> on</w:t>
      </w:r>
      <w:r w:rsidR="00733B71" w:rsidRPr="003234FA">
        <w:t xml:space="preserve"> the</w:t>
      </w:r>
      <w:r w:rsidR="00FC71C0" w:rsidRPr="003234FA">
        <w:t xml:space="preserve"> work of the</w:t>
      </w:r>
      <w:r w:rsidR="00784A22" w:rsidRPr="003234FA">
        <w:t xml:space="preserve"> </w:t>
      </w:r>
      <w:r w:rsidR="00BC6F16" w:rsidRPr="003234FA">
        <w:rPr>
          <w:i/>
        </w:rPr>
        <w:t>Report of the Audit of Disability Research in Australia</w:t>
      </w:r>
      <w:bookmarkStart w:id="4" w:name="_Ref514432727"/>
      <w:r w:rsidR="004758FB" w:rsidRPr="003234FA">
        <w:rPr>
          <w:rStyle w:val="FootnoteReference"/>
        </w:rPr>
        <w:footnoteReference w:id="2"/>
      </w:r>
      <w:bookmarkEnd w:id="4"/>
      <w:r w:rsidR="00BC6F16" w:rsidRPr="003234FA">
        <w:t xml:space="preserve"> (the </w:t>
      </w:r>
      <w:r w:rsidR="008A46C1" w:rsidRPr="003234FA">
        <w:rPr>
          <w:i/>
        </w:rPr>
        <w:t xml:space="preserve">Disability Research </w:t>
      </w:r>
      <w:r w:rsidR="00BC6F16" w:rsidRPr="003234FA">
        <w:rPr>
          <w:i/>
        </w:rPr>
        <w:t>Audit</w:t>
      </w:r>
      <w:r w:rsidR="00BC6F16" w:rsidRPr="003234FA">
        <w:t xml:space="preserve">) published by the </w:t>
      </w:r>
      <w:r w:rsidR="007253A9" w:rsidRPr="003234FA">
        <w:t>University of Sydney</w:t>
      </w:r>
      <w:r w:rsidR="004758FB" w:rsidRPr="003234FA">
        <w:t>’s</w:t>
      </w:r>
      <w:r w:rsidR="00E16FF3" w:rsidRPr="003234FA">
        <w:t xml:space="preserve"> Cen</w:t>
      </w:r>
      <w:r w:rsidR="00FC71C0" w:rsidRPr="003234FA">
        <w:t xml:space="preserve">tre for Disability Research, </w:t>
      </w:r>
      <w:r w:rsidR="00DC2AD8" w:rsidRPr="003234FA">
        <w:t xml:space="preserve">and of </w:t>
      </w:r>
      <w:r w:rsidR="00FC71C0" w:rsidRPr="003234FA">
        <w:t xml:space="preserve">the </w:t>
      </w:r>
      <w:r w:rsidR="007253A9" w:rsidRPr="003234FA">
        <w:t xml:space="preserve">University of </w:t>
      </w:r>
      <w:r w:rsidR="003234FA" w:rsidRPr="003234FA">
        <w:t>Melbourne, People with Disability</w:t>
      </w:r>
      <w:r w:rsidR="007253A9" w:rsidRPr="003234FA">
        <w:t xml:space="preserve"> Australia</w:t>
      </w:r>
      <w:r w:rsidR="003234FA" w:rsidRPr="003234FA">
        <w:t xml:space="preserve"> (PWDA)</w:t>
      </w:r>
      <w:r w:rsidR="007253A9" w:rsidRPr="003234FA">
        <w:t>, a</w:t>
      </w:r>
      <w:r w:rsidR="001A5E3F" w:rsidRPr="003234FA">
        <w:t>nd National Disability Services</w:t>
      </w:r>
      <w:r w:rsidR="00BC6F16" w:rsidRPr="003234FA">
        <w:t xml:space="preserve"> in 201</w:t>
      </w:r>
      <w:r w:rsidR="008826BF" w:rsidRPr="003234FA">
        <w:t>4.</w:t>
      </w:r>
      <w:r w:rsidR="005C58F8" w:rsidRPr="003234FA">
        <w:t xml:space="preserve"> </w:t>
      </w:r>
      <w:r w:rsidR="00131669" w:rsidRPr="003234FA">
        <w:t xml:space="preserve"> </w:t>
      </w:r>
      <w:r w:rsidR="007076B4" w:rsidRPr="003234FA">
        <w:t>The</w:t>
      </w:r>
      <w:r w:rsidR="00E91528" w:rsidRPr="003234FA">
        <w:t xml:space="preserve"> first part comprises a literature</w:t>
      </w:r>
      <w:r w:rsidR="007076B4" w:rsidRPr="003234FA">
        <w:t xml:space="preserve"> review summaris</w:t>
      </w:r>
      <w:r w:rsidR="00E91528" w:rsidRPr="003234FA">
        <w:t>ing</w:t>
      </w:r>
      <w:r w:rsidR="00837E0A" w:rsidRPr="003234FA">
        <w:t xml:space="preserve"> recent research relating to access to justice for people with disabili</w:t>
      </w:r>
      <w:r w:rsidR="00131669" w:rsidRPr="003234FA">
        <w:t>t</w:t>
      </w:r>
      <w:r w:rsidR="00CB116D" w:rsidRPr="003234FA">
        <w:t>y in Australia and New Zealand</w:t>
      </w:r>
      <w:r w:rsidR="00010DAF" w:rsidRPr="003234FA">
        <w:t xml:space="preserve"> and identifying gaps and opportunities </w:t>
      </w:r>
      <w:r w:rsidR="003E47F2" w:rsidRPr="003234FA">
        <w:t xml:space="preserve">for further research. </w:t>
      </w:r>
      <w:r w:rsidR="00812E51" w:rsidRPr="003234FA">
        <w:t xml:space="preserve">The second part comprises the report of a consultation with representative organisations of people with disability in Australia and New Zealand to </w:t>
      </w:r>
      <w:r w:rsidR="00363A21" w:rsidRPr="003234FA">
        <w:t>identify the access</w:t>
      </w:r>
      <w:r w:rsidR="00363A21" w:rsidRPr="002E269C">
        <w:t xml:space="preserve"> to justice issues and research gaps of most concern to the disability community.</w:t>
      </w:r>
      <w:r w:rsidR="003E47F2" w:rsidRPr="002E269C">
        <w:t xml:space="preserve"> These two elements provide </w:t>
      </w:r>
      <w:r w:rsidR="00DB6B1E" w:rsidRPr="002E269C">
        <w:t xml:space="preserve">the background </w:t>
      </w:r>
      <w:r w:rsidR="003E47F2" w:rsidRPr="002E269C">
        <w:t>for developing a</w:t>
      </w:r>
      <w:r w:rsidR="00DB6B1E" w:rsidRPr="002E269C">
        <w:t xml:space="preserve"> disability access to justice</w:t>
      </w:r>
      <w:r w:rsidR="003E47F2" w:rsidRPr="002E269C">
        <w:t xml:space="preserve"> research agenda to </w:t>
      </w:r>
      <w:r w:rsidR="00494B25">
        <w:t>work towards the realisation of the</w:t>
      </w:r>
      <w:r w:rsidR="003E47F2" w:rsidRPr="002E269C">
        <w:t xml:space="preserve"> </w:t>
      </w:r>
      <w:r w:rsidR="00494B25" w:rsidRPr="003234FA">
        <w:t>rights of people with disability in Australia</w:t>
      </w:r>
      <w:r w:rsidR="00494B25">
        <w:t xml:space="preserve"> and New Zealand.</w:t>
      </w:r>
      <w:r w:rsidR="003E47F2" w:rsidRPr="002E269C">
        <w:t xml:space="preserve"> </w:t>
      </w:r>
    </w:p>
    <w:p w14:paraId="5A24CBF1" w14:textId="6A190D1E" w:rsidR="00547CD7" w:rsidRPr="002E269C" w:rsidRDefault="00547CD7" w:rsidP="00396190">
      <w:pPr>
        <w:pStyle w:val="Heading1"/>
      </w:pPr>
      <w:bookmarkStart w:id="5" w:name="_Toc514751826"/>
      <w:r w:rsidRPr="002E269C">
        <w:lastRenderedPageBreak/>
        <w:t xml:space="preserve">Defining </w:t>
      </w:r>
      <w:r w:rsidR="00AC4E2D">
        <w:t>‘p</w:t>
      </w:r>
      <w:r>
        <w:t xml:space="preserve">eople with </w:t>
      </w:r>
      <w:r w:rsidR="00AC4E2D">
        <w:t>d</w:t>
      </w:r>
      <w:r w:rsidRPr="002E269C">
        <w:t>isability</w:t>
      </w:r>
      <w:r>
        <w:t>’</w:t>
      </w:r>
      <w:r w:rsidRPr="002E269C">
        <w:t xml:space="preserve"> and </w:t>
      </w:r>
      <w:r>
        <w:t>‘</w:t>
      </w:r>
      <w:r w:rsidR="00AC4E2D">
        <w:t>access to j</w:t>
      </w:r>
      <w:r w:rsidRPr="002E269C">
        <w:t>ustice</w:t>
      </w:r>
      <w:r>
        <w:t>’</w:t>
      </w:r>
      <w:bookmarkEnd w:id="5"/>
    </w:p>
    <w:p w14:paraId="48C93271" w14:textId="5606F7B4" w:rsidR="004B48FC" w:rsidRDefault="00547CD7" w:rsidP="00396190">
      <w:r w:rsidRPr="002E269C">
        <w:t xml:space="preserve">This </w:t>
      </w:r>
      <w:r w:rsidR="00E512B9">
        <w:t>paper</w:t>
      </w:r>
      <w:r w:rsidRPr="002E269C">
        <w:t xml:space="preserve"> adopts the non-exhaustive definition of </w:t>
      </w:r>
      <w:r w:rsidR="00700B63">
        <w:t>people with disability</w:t>
      </w:r>
      <w:r w:rsidRPr="002E269C">
        <w:t xml:space="preserve"> in Article 1 of the United Nations </w:t>
      </w:r>
      <w:r w:rsidRPr="004B48FC">
        <w:rPr>
          <w:i/>
        </w:rPr>
        <w:t>Convention on the Rights of Persons with Disabilities</w:t>
      </w:r>
      <w:r w:rsidRPr="002E269C">
        <w:t xml:space="preserve"> (CRPD), which includes</w:t>
      </w:r>
      <w:r w:rsidR="004B48FC">
        <w:t>:</w:t>
      </w:r>
    </w:p>
    <w:p w14:paraId="283A9604" w14:textId="0424FEFE" w:rsidR="00547CD7" w:rsidRPr="002E269C" w:rsidRDefault="004B48FC" w:rsidP="004B48FC">
      <w:pPr>
        <w:pStyle w:val="Quote"/>
        <w:rPr>
          <w:highlight w:val="yellow"/>
        </w:rPr>
      </w:pPr>
      <w:r>
        <w:t xml:space="preserve">… </w:t>
      </w:r>
      <w:r w:rsidR="00547CD7" w:rsidRPr="002E269C">
        <w:t>those who have long-term physical, mental, intellectual or sensory impairments which in interaction with various barriers may hinder their full and effective participation in societ</w:t>
      </w:r>
      <w:r>
        <w:t>y on an equal basis with others</w:t>
      </w:r>
      <w:r w:rsidR="00547CD7" w:rsidRPr="002E269C">
        <w:t>.</w:t>
      </w:r>
      <w:bookmarkStart w:id="6" w:name="_Ref514668046"/>
      <w:r w:rsidR="00547CD7" w:rsidRPr="002E269C">
        <w:rPr>
          <w:rStyle w:val="FootnoteReference"/>
        </w:rPr>
        <w:footnoteReference w:id="3"/>
      </w:r>
      <w:bookmarkEnd w:id="6"/>
    </w:p>
    <w:p w14:paraId="2D382E06" w14:textId="5EF96DD5" w:rsidR="00547CD7" w:rsidRPr="002E269C" w:rsidRDefault="00547CD7" w:rsidP="00396190">
      <w:r>
        <w:t>T</w:t>
      </w:r>
      <w:r w:rsidRPr="002E269C">
        <w:t xml:space="preserve">his </w:t>
      </w:r>
      <w:r w:rsidR="00E512B9">
        <w:t>paper</w:t>
      </w:r>
      <w:r w:rsidRPr="002E269C">
        <w:t xml:space="preserve"> uses a rights-based framework for the discussion and analysis of access to justice for people with disability, defining access to justice in line with the human rights requirements outlined in Article 13 of the CRPD, which provides: </w:t>
      </w:r>
    </w:p>
    <w:p w14:paraId="46C6ADAD" w14:textId="4DB50708" w:rsidR="00547CD7" w:rsidRPr="002E269C" w:rsidRDefault="00547CD7" w:rsidP="00396190">
      <w:pPr>
        <w:pStyle w:val="Quote"/>
      </w:pPr>
      <w:r w:rsidRPr="002E269C">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0F20D48A" w14:textId="34DB9D24" w:rsidR="00547CD7" w:rsidRDefault="00547CD7" w:rsidP="00396190">
      <w:pPr>
        <w:pStyle w:val="Quote"/>
      </w:pPr>
      <w:r w:rsidRPr="002E269C">
        <w:t>2. In order to help to ensure effective access to justice for persons with disabilities, States Parties shall promote appropriate training for those working in the field of administration of justice, including police and prison staff.</w:t>
      </w:r>
      <w:r w:rsidRPr="002E269C">
        <w:rPr>
          <w:rStyle w:val="FootnoteReference"/>
        </w:rPr>
        <w:footnoteReference w:id="4"/>
      </w:r>
    </w:p>
    <w:p w14:paraId="358657E6" w14:textId="2A3F7802" w:rsidR="00E512B9" w:rsidRDefault="00547CD7" w:rsidP="00396190">
      <w:r>
        <w:t xml:space="preserve">This </w:t>
      </w:r>
      <w:r w:rsidR="00E512B9">
        <w:t>paper</w:t>
      </w:r>
      <w:r>
        <w:t xml:space="preserve"> also acknowledges that, in order for the state to meet its obligation to ensure tha</w:t>
      </w:r>
      <w:r w:rsidR="00E512B9">
        <w:t>t people with disability enjoy ‘</w:t>
      </w:r>
      <w:r>
        <w:t xml:space="preserve">effective access to justice </w:t>
      </w:r>
      <w:r w:rsidR="00E512B9">
        <w:t>… on an equal basis with others’</w:t>
      </w:r>
      <w:r>
        <w:t>,</w:t>
      </w:r>
      <w:r>
        <w:rPr>
          <w:rStyle w:val="FootnoteReference"/>
        </w:rPr>
        <w:footnoteReference w:id="5"/>
      </w:r>
      <w:r>
        <w:t xml:space="preserve"> there </w:t>
      </w:r>
      <w:r w:rsidR="009A4F0F">
        <w:t>are</w:t>
      </w:r>
      <w:r>
        <w:t xml:space="preserve"> a number of individual rights that must be realised. These individual rights include, but are not limited to: </w:t>
      </w:r>
    </w:p>
    <w:p w14:paraId="20DD5524" w14:textId="77777777" w:rsidR="00E512B9" w:rsidRDefault="00547CD7" w:rsidP="00E512B9">
      <w:pPr>
        <w:pStyle w:val="ListParagraph"/>
      </w:pPr>
      <w:r>
        <w:t>equal recognition before the law and legal capacity,</w:t>
      </w:r>
      <w:r>
        <w:rPr>
          <w:rStyle w:val="FootnoteReference"/>
        </w:rPr>
        <w:footnoteReference w:id="6"/>
      </w:r>
    </w:p>
    <w:p w14:paraId="425D1C48" w14:textId="77777777" w:rsidR="00E512B9" w:rsidRDefault="00547CD7" w:rsidP="00E512B9">
      <w:pPr>
        <w:pStyle w:val="ListParagraph"/>
      </w:pPr>
      <w:r>
        <w:t>liberty,</w:t>
      </w:r>
      <w:r>
        <w:rPr>
          <w:rStyle w:val="FootnoteReference"/>
        </w:rPr>
        <w:footnoteReference w:id="7"/>
      </w:r>
      <w:r>
        <w:t xml:space="preserve"> and </w:t>
      </w:r>
    </w:p>
    <w:p w14:paraId="3215978F" w14:textId="41F81C95" w:rsidR="00E512B9" w:rsidRDefault="00547CD7" w:rsidP="00E512B9">
      <w:pPr>
        <w:pStyle w:val="ListParagraph"/>
      </w:pPr>
      <w:r>
        <w:t>freedom from discrimination</w:t>
      </w:r>
      <w:r w:rsidR="00E512B9">
        <w:t>.</w:t>
      </w:r>
      <w:r>
        <w:rPr>
          <w:rStyle w:val="FootnoteReference"/>
        </w:rPr>
        <w:footnoteReference w:id="8"/>
      </w:r>
      <w:r>
        <w:t xml:space="preserve"> </w:t>
      </w:r>
    </w:p>
    <w:p w14:paraId="35F48C53" w14:textId="01641DEC" w:rsidR="007D191A" w:rsidRPr="002E269C" w:rsidRDefault="00547CD7" w:rsidP="00396190">
      <w:r>
        <w:t>This paper defines the term ‘justice’ broadly to encompass the enforcement of rights in both civil and criminal justice systems.</w:t>
      </w:r>
    </w:p>
    <w:p w14:paraId="01B820E6" w14:textId="1202BE73" w:rsidR="009D4331" w:rsidRPr="002E269C" w:rsidRDefault="00AC4E2D" w:rsidP="00396190">
      <w:pPr>
        <w:pStyle w:val="Heading1"/>
      </w:pPr>
      <w:bookmarkStart w:id="7" w:name="_Toc514751827"/>
      <w:r>
        <w:lastRenderedPageBreak/>
        <w:t>Disability r</w:t>
      </w:r>
      <w:r w:rsidR="009D4331" w:rsidRPr="002E269C">
        <w:t>esearch in Australia</w:t>
      </w:r>
      <w:r w:rsidR="001F7EB6" w:rsidRPr="002E269C">
        <w:t xml:space="preserve"> and New Zealand</w:t>
      </w:r>
      <w:r w:rsidR="009B1C4D">
        <w:t>: review of recent literature</w:t>
      </w:r>
      <w:bookmarkEnd w:id="7"/>
    </w:p>
    <w:p w14:paraId="7EF958E6" w14:textId="4D2FEA4B" w:rsidR="00650939" w:rsidRDefault="00650939" w:rsidP="00396190">
      <w:r>
        <w:t xml:space="preserve">This </w:t>
      </w:r>
      <w:r w:rsidR="00E874E6">
        <w:t>paper</w:t>
      </w:r>
      <w:r>
        <w:t xml:space="preserve"> acknowledges the fact that people with </w:t>
      </w:r>
      <w:r w:rsidR="003234FA">
        <w:t>disability</w:t>
      </w:r>
      <w:r>
        <w:t xml:space="preserve"> are over</w:t>
      </w:r>
      <w:r w:rsidR="00E874E6">
        <w:t>-</w:t>
      </w:r>
      <w:r>
        <w:t>represented in nearly all aspects of the justice system in both Australia and New Zealand as a fundamental issue.</w:t>
      </w:r>
      <w:bookmarkStart w:id="8" w:name="_Ref514435768"/>
      <w:r>
        <w:rPr>
          <w:rStyle w:val="FootnoteReference"/>
        </w:rPr>
        <w:footnoteReference w:id="9"/>
      </w:r>
      <w:bookmarkEnd w:id="8"/>
      <w:r>
        <w:t xml:space="preserve"> It recognises that this over</w:t>
      </w:r>
      <w:r w:rsidR="00E874E6">
        <w:t>-</w:t>
      </w:r>
      <w:r>
        <w:t>representation reflects the systemic barriers to equality for people with disability in many life areas, the stigmatised status of people with disability in Australian and New Zealand society, and the particular systemic barriers to the full enjoyment of rights for people with disability in the justice system. It recognises that many (if not all) aspects of the justice system are built on a model that excludes full consideration of the circumstances, needs and rights of people with disability.  There is therefore a need for whole-system reform in both Australia and New Zealand that eliminates the existing systemic barriers, actively counters the historic exclusion and stigmatisation of people with di</w:t>
      </w:r>
      <w:r w:rsidR="00E874E6">
        <w:t>sability, as well as recognises</w:t>
      </w:r>
      <w:r>
        <w:t xml:space="preserve"> the individual needs of people w</w:t>
      </w:r>
      <w:r w:rsidR="00E874E6">
        <w:t xml:space="preserve">ith </w:t>
      </w:r>
      <w:r w:rsidR="003234FA">
        <w:t>disability</w:t>
      </w:r>
      <w:r w:rsidR="00E874E6">
        <w:t>, and supports</w:t>
      </w:r>
      <w:r>
        <w:t xml:space="preserve"> them both within the justice system and through pathways out of the justice system. </w:t>
      </w:r>
    </w:p>
    <w:p w14:paraId="6E6DC845" w14:textId="5F5A498C" w:rsidR="00FF12ED" w:rsidRPr="002E269C" w:rsidRDefault="006F77C1" w:rsidP="00396190">
      <w:r>
        <w:t xml:space="preserve">However, as the 2014 </w:t>
      </w:r>
      <w:r w:rsidRPr="00CB470D">
        <w:rPr>
          <w:i/>
        </w:rPr>
        <w:t>Disability Research Audit</w:t>
      </w:r>
      <w:r>
        <w:rPr>
          <w:rStyle w:val="FootnoteReference"/>
        </w:rPr>
        <w:footnoteReference w:id="10"/>
      </w:r>
      <w:r>
        <w:t xml:space="preserve"> highlighted, the existing </w:t>
      </w:r>
      <w:r w:rsidR="00C05572">
        <w:t xml:space="preserve">disability research and </w:t>
      </w:r>
      <w:r>
        <w:t xml:space="preserve">literature is </w:t>
      </w:r>
      <w:r w:rsidR="00B05B42">
        <w:t xml:space="preserve">largely </w:t>
      </w:r>
      <w:r w:rsidR="00CB470D">
        <w:t>fragmented and not ‘fit for purpose’</w:t>
      </w:r>
      <w:r>
        <w:t xml:space="preserve"> for </w:t>
      </w:r>
      <w:r w:rsidR="00C05572">
        <w:t xml:space="preserve">this overall reform agenda. In particular, the </w:t>
      </w:r>
      <w:r w:rsidR="00CB470D" w:rsidRPr="00CB470D">
        <w:rPr>
          <w:i/>
        </w:rPr>
        <w:t>Disability Research Audit</w:t>
      </w:r>
      <w:r w:rsidR="00CB470D" w:rsidRPr="002E269C">
        <w:t xml:space="preserve"> </w:t>
      </w:r>
      <w:r w:rsidR="00E12EDC" w:rsidRPr="002E269C">
        <w:t>found</w:t>
      </w:r>
      <w:r w:rsidR="00C05572">
        <w:t xml:space="preserve"> the following</w:t>
      </w:r>
      <w:r w:rsidR="00E12EDC" w:rsidRPr="002E269C">
        <w:t>:</w:t>
      </w:r>
    </w:p>
    <w:p w14:paraId="5DA441DF" w14:textId="2B48CCAD" w:rsidR="00FF12ED" w:rsidRPr="00396190" w:rsidRDefault="00057713" w:rsidP="00396190">
      <w:pPr>
        <w:pStyle w:val="ListParagraph"/>
      </w:pPr>
      <w:r w:rsidRPr="00396190">
        <w:t xml:space="preserve">Disability </w:t>
      </w:r>
      <w:r w:rsidR="00CB470D">
        <w:t>r</w:t>
      </w:r>
      <w:r w:rsidR="00494B25" w:rsidRPr="00396190">
        <w:t>esearch i</w:t>
      </w:r>
      <w:r w:rsidR="00463DA1" w:rsidRPr="00396190">
        <w:t xml:space="preserve">s </w:t>
      </w:r>
      <w:r w:rsidR="00FF12ED" w:rsidRPr="00396190">
        <w:t>not easily accessible or widely available</w:t>
      </w:r>
      <w:r w:rsidR="001F7C23" w:rsidRPr="00396190">
        <w:t>, limiting the r</w:t>
      </w:r>
      <w:r w:rsidR="00CB470D">
        <w:t>each and impact of any findings.</w:t>
      </w:r>
    </w:p>
    <w:p w14:paraId="017FE4A1" w14:textId="52EDA2BD" w:rsidR="00FF12ED" w:rsidRPr="00396190" w:rsidRDefault="00CB470D" w:rsidP="00396190">
      <w:pPr>
        <w:pStyle w:val="ListParagraph"/>
      </w:pPr>
      <w:r>
        <w:t>Disability r</w:t>
      </w:r>
      <w:r w:rsidR="00494B25" w:rsidRPr="00396190">
        <w:t>esearch does</w:t>
      </w:r>
      <w:r w:rsidR="009A5406" w:rsidRPr="00396190">
        <w:t xml:space="preserve"> not have a</w:t>
      </w:r>
      <w:r w:rsidR="00494B25" w:rsidRPr="00396190">
        <w:t xml:space="preserve"> sustainable and mature base, i</w:t>
      </w:r>
      <w:r w:rsidR="009A5406" w:rsidRPr="00396190">
        <w:t>s more</w:t>
      </w:r>
      <w:r w:rsidR="00463DA1" w:rsidRPr="00396190">
        <w:t xml:space="preserve"> focused</w:t>
      </w:r>
      <w:r w:rsidR="009433D1" w:rsidRPr="00396190">
        <w:t xml:space="preserve"> on </w:t>
      </w:r>
      <w:r w:rsidR="007C03D5" w:rsidRPr="00396190">
        <w:t xml:space="preserve">one-off topics rather than </w:t>
      </w:r>
      <w:r w:rsidR="00FF12ED" w:rsidRPr="00396190">
        <w:t>ongoing investment</w:t>
      </w:r>
      <w:r w:rsidR="007C03D5" w:rsidRPr="00396190">
        <w:t xml:space="preserve"> in research </w:t>
      </w:r>
      <w:r w:rsidR="00463DA1" w:rsidRPr="00396190">
        <w:t>to educate, support, retain and attract</w:t>
      </w:r>
      <w:r w:rsidR="007C03D5" w:rsidRPr="00396190">
        <w:t xml:space="preserve"> </w:t>
      </w:r>
      <w:r w:rsidR="00463DA1" w:rsidRPr="00396190">
        <w:t xml:space="preserve">disability </w:t>
      </w:r>
      <w:r w:rsidR="007C03D5" w:rsidRPr="00396190">
        <w:t xml:space="preserve">researchers in </w:t>
      </w:r>
      <w:r w:rsidR="0085452D" w:rsidRPr="00396190">
        <w:t xml:space="preserve">universities, </w:t>
      </w:r>
      <w:r w:rsidR="007C03D5" w:rsidRPr="00396190">
        <w:t xml:space="preserve">institutes, </w:t>
      </w:r>
      <w:r w:rsidR="00FF12ED" w:rsidRPr="00396190">
        <w:t>government an</w:t>
      </w:r>
      <w:r w:rsidR="0085452D" w:rsidRPr="00396190">
        <w:t>d non-government organisations</w:t>
      </w:r>
      <w:r>
        <w:t>.</w:t>
      </w:r>
    </w:p>
    <w:p w14:paraId="22729516" w14:textId="7457D416" w:rsidR="00C05572" w:rsidRPr="00396190" w:rsidRDefault="00C05572" w:rsidP="00396190">
      <w:pPr>
        <w:pStyle w:val="ListParagraph"/>
      </w:pPr>
      <w:r w:rsidRPr="00396190">
        <w:t>Di</w:t>
      </w:r>
      <w:r w:rsidR="00CB470D">
        <w:t>sability r</w:t>
      </w:r>
      <w:r w:rsidRPr="00396190">
        <w:t>esearch is focused on restating the problem rather than on testing interventions or solutions or the evaluation of policy initiatives thwarting understanding of what works, when, for</w:t>
      </w:r>
      <w:r w:rsidR="00CB470D">
        <w:t xml:space="preserve"> whom and under what conditions.</w:t>
      </w:r>
    </w:p>
    <w:p w14:paraId="20CE20FF" w14:textId="1F513B74" w:rsidR="008110CE" w:rsidRPr="00396190" w:rsidRDefault="00494B25" w:rsidP="00396190">
      <w:pPr>
        <w:pStyle w:val="ListParagraph"/>
      </w:pPr>
      <w:r w:rsidRPr="00396190">
        <w:t>There is limited</w:t>
      </w:r>
      <w:r w:rsidR="008110CE" w:rsidRPr="00396190">
        <w:t xml:space="preserve"> research </w:t>
      </w:r>
      <w:r w:rsidR="009942F7" w:rsidRPr="00396190">
        <w:t xml:space="preserve">about choice, control, empowerment, </w:t>
      </w:r>
      <w:r w:rsidR="008110CE" w:rsidRPr="00396190">
        <w:t xml:space="preserve">rights protection, justice and legislation, economic security, </w:t>
      </w:r>
      <w:r w:rsidR="009942F7" w:rsidRPr="00396190">
        <w:t>perso</w:t>
      </w:r>
      <w:r w:rsidR="00CB470D">
        <w:t>n-centred and community support.</w:t>
      </w:r>
    </w:p>
    <w:p w14:paraId="1ED497DD" w14:textId="65F66A67" w:rsidR="00FF12ED" w:rsidRPr="00396190" w:rsidRDefault="00463DA1" w:rsidP="00396190">
      <w:pPr>
        <w:pStyle w:val="ListParagraph"/>
      </w:pPr>
      <w:r w:rsidRPr="00396190">
        <w:t>People with</w:t>
      </w:r>
      <w:r w:rsidR="00FF12ED" w:rsidRPr="00396190">
        <w:t xml:space="preserve"> disability </w:t>
      </w:r>
      <w:r w:rsidRPr="00396190">
        <w:t xml:space="preserve">need </w:t>
      </w:r>
      <w:r w:rsidR="00FF12ED" w:rsidRPr="00396190">
        <w:t xml:space="preserve">to be engaged in </w:t>
      </w:r>
      <w:r w:rsidR="00BA00A3" w:rsidRPr="00396190">
        <w:t xml:space="preserve">disability research </w:t>
      </w:r>
      <w:r w:rsidR="00FF12ED" w:rsidRPr="00396190">
        <w:t xml:space="preserve">and drive all decisions that affect their lives. Co-produced </w:t>
      </w:r>
      <w:r w:rsidR="005F649F" w:rsidRPr="00396190">
        <w:t>research that</w:t>
      </w:r>
      <w:r w:rsidR="00FF12ED" w:rsidRPr="00396190">
        <w:t xml:space="preserve"> involves </w:t>
      </w:r>
      <w:r w:rsidR="00CB470D">
        <w:t>people with disability</w:t>
      </w:r>
      <w:r w:rsidR="00FF12ED" w:rsidRPr="00396190">
        <w:t xml:space="preserve"> at all stages of design, planning, implementation and dissemination is needed and missing from the disability research base</w:t>
      </w:r>
      <w:r w:rsidR="00CB470D">
        <w:t>.</w:t>
      </w:r>
    </w:p>
    <w:p w14:paraId="1CC84D95" w14:textId="570E9F13" w:rsidR="00193E7D" w:rsidRPr="002E269C" w:rsidRDefault="00C05572" w:rsidP="00396190">
      <w:r>
        <w:lastRenderedPageBreak/>
        <w:t>Moreover, w</w:t>
      </w:r>
      <w:r w:rsidR="00193E7D" w:rsidRPr="002E269C">
        <w:t xml:space="preserve">hile the </w:t>
      </w:r>
      <w:r w:rsidR="00193E7D" w:rsidRPr="00CB470D">
        <w:rPr>
          <w:i/>
        </w:rPr>
        <w:t>Disability Research Audit</w:t>
      </w:r>
      <w:r w:rsidR="00193E7D" w:rsidRPr="002E269C">
        <w:t xml:space="preserve"> recommended that future disability research adopt a rights-based discourse,</w:t>
      </w:r>
      <w:r w:rsidR="00193E7D" w:rsidRPr="002E269C">
        <w:rPr>
          <w:rStyle w:val="FootnoteReference"/>
          <w:rFonts w:cs="Helvetica"/>
          <w:color w:val="000000" w:themeColor="text1"/>
        </w:rPr>
        <w:footnoteReference w:id="11"/>
      </w:r>
      <w:r w:rsidR="00193E7D" w:rsidRPr="002E269C">
        <w:t xml:space="preserve"> this has not been fully realised within the legal literature considered in this </w:t>
      </w:r>
      <w:r w:rsidR="00DC2AD8">
        <w:t>paper</w:t>
      </w:r>
      <w:r w:rsidR="00193E7D" w:rsidRPr="002E269C">
        <w:t>.</w:t>
      </w:r>
      <w:bookmarkStart w:id="9" w:name="_Ref514433087"/>
      <w:r w:rsidR="00193E7D" w:rsidRPr="002E269C">
        <w:rPr>
          <w:rStyle w:val="FootnoteReference"/>
          <w:rFonts w:cs="Helvetica"/>
          <w:color w:val="000000" w:themeColor="text1"/>
        </w:rPr>
        <w:footnoteReference w:id="12"/>
      </w:r>
      <w:bookmarkEnd w:id="9"/>
      <w:r w:rsidR="00193E7D" w:rsidRPr="002E269C">
        <w:t xml:space="preserve">  There is </w:t>
      </w:r>
      <w:r w:rsidR="00636221">
        <w:t>instead</w:t>
      </w:r>
      <w:r w:rsidR="00F749CE">
        <w:t xml:space="preserve"> </w:t>
      </w:r>
      <w:r w:rsidR="00193E7D" w:rsidRPr="002E269C">
        <w:t>a continued reliance on the medical model of disability and an emphasis on individual (in)capacity when a person with disability interacts with the legal system.</w:t>
      </w:r>
      <w:bookmarkStart w:id="10" w:name="_Ref514488012"/>
      <w:r w:rsidR="00193E7D" w:rsidRPr="002E269C">
        <w:rPr>
          <w:rStyle w:val="FootnoteReference"/>
          <w:color w:val="000000" w:themeColor="text1"/>
        </w:rPr>
        <w:footnoteReference w:id="13"/>
      </w:r>
      <w:bookmarkEnd w:id="10"/>
      <w:r w:rsidR="00193E7D" w:rsidRPr="002E269C">
        <w:t xml:space="preserve"> The introduction of ‘problem-solving’ courts to facilitate therapeutic alternatives to mainstream justice processes for </w:t>
      </w:r>
      <w:r w:rsidR="00700B63">
        <w:t>people with disability</w:t>
      </w:r>
      <w:r w:rsidR="00193E7D" w:rsidRPr="002E269C">
        <w:t xml:space="preserve"> also thwarts a rights-based approach insofar as they remain dominated by regulation, intervention and control rather than choice, support and empowerment.</w:t>
      </w:r>
      <w:bookmarkStart w:id="11" w:name="_Ref514483539"/>
      <w:r w:rsidR="00193E7D" w:rsidRPr="002E269C">
        <w:rPr>
          <w:rStyle w:val="FootnoteReference"/>
          <w:color w:val="000000" w:themeColor="text1"/>
        </w:rPr>
        <w:footnoteReference w:id="14"/>
      </w:r>
      <w:bookmarkEnd w:id="11"/>
      <w:r w:rsidR="00193E7D" w:rsidRPr="002E269C">
        <w:t xml:space="preserve"> </w:t>
      </w:r>
    </w:p>
    <w:p w14:paraId="19D68B86" w14:textId="1DFB5661" w:rsidR="00193E7D" w:rsidRPr="00193E7D" w:rsidRDefault="00193E7D" w:rsidP="00396190">
      <w:r w:rsidRPr="002E269C">
        <w:t>There are</w:t>
      </w:r>
      <w:r w:rsidR="00A65345">
        <w:t>,</w:t>
      </w:r>
      <w:r w:rsidRPr="002E269C">
        <w:t xml:space="preserve"> </w:t>
      </w:r>
      <w:r w:rsidR="00A65345">
        <w:t xml:space="preserve">however, </w:t>
      </w:r>
      <w:r w:rsidR="00C05572">
        <w:t xml:space="preserve">some </w:t>
      </w:r>
      <w:r w:rsidRPr="002E269C">
        <w:t xml:space="preserve">authors </w:t>
      </w:r>
      <w:r w:rsidR="00C05572">
        <w:t xml:space="preserve">who </w:t>
      </w:r>
      <w:r w:rsidRPr="002E269C">
        <w:t xml:space="preserve">are advancing a rights-based discourse, </w:t>
      </w:r>
      <w:r w:rsidR="00C05572">
        <w:t xml:space="preserve">and </w:t>
      </w:r>
      <w:r w:rsidRPr="002E269C">
        <w:t>moving away from a discussion of vulnerability into language of empowerment, choice and control for people with disability</w:t>
      </w:r>
      <w:r w:rsidR="00C05572">
        <w:t>.</w:t>
      </w:r>
      <w:bookmarkStart w:id="12" w:name="_Ref514501841"/>
      <w:r w:rsidRPr="002E269C">
        <w:rPr>
          <w:rStyle w:val="FootnoteReference"/>
          <w:color w:val="000000" w:themeColor="text1"/>
        </w:rPr>
        <w:footnoteReference w:id="15"/>
      </w:r>
      <w:bookmarkEnd w:id="12"/>
      <w:r w:rsidR="00DC2AD8">
        <w:t xml:space="preserve"> </w:t>
      </w:r>
      <w:r w:rsidR="00C05572">
        <w:t>T</w:t>
      </w:r>
      <w:r w:rsidRPr="002E269C">
        <w:t xml:space="preserve">here is </w:t>
      </w:r>
      <w:r w:rsidR="004C5B2A">
        <w:t xml:space="preserve">also </w:t>
      </w:r>
      <w:r w:rsidRPr="002E269C">
        <w:t>scope for future research to use participatory methodology and co-design</w:t>
      </w:r>
      <w:r w:rsidR="00A65345">
        <w:t xml:space="preserve"> to advance a whole-system reform agenda.</w:t>
      </w:r>
    </w:p>
    <w:p w14:paraId="36E2F986" w14:textId="5516D08A" w:rsidR="00FD0AA2" w:rsidRDefault="003F59AE" w:rsidP="00396190">
      <w:r>
        <w:lastRenderedPageBreak/>
        <w:t xml:space="preserve">In line with the </w:t>
      </w:r>
      <w:r w:rsidR="009C6551">
        <w:t xml:space="preserve">recommendation of the </w:t>
      </w:r>
      <w:r w:rsidR="00DC2AD8" w:rsidRPr="00DC2AD8">
        <w:rPr>
          <w:i/>
        </w:rPr>
        <w:t xml:space="preserve">Disability Research </w:t>
      </w:r>
      <w:r w:rsidR="009C6551" w:rsidRPr="00DC2AD8">
        <w:rPr>
          <w:i/>
        </w:rPr>
        <w:t>Audit</w:t>
      </w:r>
      <w:r w:rsidR="009C6551">
        <w:t xml:space="preserve"> for </w:t>
      </w:r>
      <w:r>
        <w:t xml:space="preserve">further research, this </w:t>
      </w:r>
      <w:r w:rsidR="00547CD7">
        <w:t>document</w:t>
      </w:r>
      <w:r>
        <w:t xml:space="preserve"> provides an overview of existing research </w:t>
      </w:r>
      <w:r w:rsidR="00A65345">
        <w:t xml:space="preserve">from Australia and New Zealand </w:t>
      </w:r>
      <w:r w:rsidR="00DC2AD8">
        <w:t>o</w:t>
      </w:r>
      <w:r>
        <w:t xml:space="preserve">n </w:t>
      </w:r>
      <w:r w:rsidR="00A65345">
        <w:t xml:space="preserve">access to justice for people with </w:t>
      </w:r>
      <w:r w:rsidR="001D3469">
        <w:t>disability</w:t>
      </w:r>
      <w:r w:rsidR="00A65345">
        <w:t xml:space="preserve"> </w:t>
      </w:r>
      <w:r w:rsidR="00F25A01">
        <w:t xml:space="preserve">since </w:t>
      </w:r>
      <w:r w:rsidR="00B21F2C">
        <w:t>2</w:t>
      </w:r>
      <w:r w:rsidR="001F4C4C">
        <w:t>012</w:t>
      </w:r>
      <w:r w:rsidR="00A64DA1" w:rsidRPr="002E269C">
        <w:t>.</w:t>
      </w:r>
      <w:r>
        <w:t xml:space="preserve"> The aim is to provide a more thorough analysis of the content of the research that exist</w:t>
      </w:r>
      <w:r w:rsidR="00DC2AD8">
        <w:t>s</w:t>
      </w:r>
      <w:r>
        <w:t xml:space="preserve"> in the field and to identify areas where more research is needed</w:t>
      </w:r>
      <w:r w:rsidR="00446983">
        <w:t xml:space="preserve">, particularly research that is “fit for purpose” for </w:t>
      </w:r>
      <w:r w:rsidR="00DB07D4">
        <w:t>a</w:t>
      </w:r>
      <w:r w:rsidR="00446983">
        <w:t xml:space="preserve"> systemic reform agenda.</w:t>
      </w:r>
    </w:p>
    <w:p w14:paraId="4AABBDB7" w14:textId="441AC79C" w:rsidR="00E813E5" w:rsidRPr="00421020" w:rsidRDefault="003574F5" w:rsidP="00396190">
      <w:pPr>
        <w:pStyle w:val="Heading2"/>
      </w:pPr>
      <w:bookmarkStart w:id="13" w:name="_Toc514751828"/>
      <w:r>
        <w:t xml:space="preserve">Access to justice: </w:t>
      </w:r>
      <w:r w:rsidR="00525319">
        <w:t>Intersecting t</w:t>
      </w:r>
      <w:r w:rsidR="009935A0">
        <w:t>hemes</w:t>
      </w:r>
      <w:bookmarkEnd w:id="13"/>
    </w:p>
    <w:p w14:paraId="64A6AA1E" w14:textId="612C1EDD" w:rsidR="000F62F6" w:rsidRPr="002E269C" w:rsidRDefault="009A2761" w:rsidP="00396190">
      <w:r>
        <w:t>This</w:t>
      </w:r>
      <w:r w:rsidR="00A23194" w:rsidRPr="002E269C">
        <w:t xml:space="preserve"> </w:t>
      </w:r>
      <w:r w:rsidR="00525319">
        <w:t>paper</w:t>
      </w:r>
      <w:r w:rsidR="00A23194" w:rsidRPr="002E269C">
        <w:t xml:space="preserve"> presents a review of </w:t>
      </w:r>
      <w:r w:rsidR="001D3469">
        <w:t>scholarly</w:t>
      </w:r>
      <w:r w:rsidR="00A23194" w:rsidRPr="002E269C">
        <w:t xml:space="preserve"> and </w:t>
      </w:r>
      <w:r w:rsidR="001D3469">
        <w:t>other</w:t>
      </w:r>
      <w:r w:rsidR="00A23194" w:rsidRPr="002E269C">
        <w:t xml:space="preserve"> literature concerning access to justice for people with disability </w:t>
      </w:r>
      <w:r w:rsidR="00525319">
        <w:t>published</w:t>
      </w:r>
      <w:r w:rsidR="00A23194" w:rsidRPr="002E269C">
        <w:t xml:space="preserve"> between 2012 and 2017</w:t>
      </w:r>
      <w:r w:rsidR="00547CD7">
        <w:t xml:space="preserve"> in Australia and New Zealand</w:t>
      </w:r>
      <w:r w:rsidR="00A23194" w:rsidRPr="002E269C">
        <w:t xml:space="preserve">. </w:t>
      </w:r>
      <w:r w:rsidR="00A3595F" w:rsidRPr="002E269C">
        <w:t>T</w:t>
      </w:r>
      <w:r w:rsidR="008A46C1" w:rsidRPr="002E269C">
        <w:t>h</w:t>
      </w:r>
      <w:r w:rsidR="00903FE7" w:rsidRPr="002E269C">
        <w:t xml:space="preserve">is </w:t>
      </w:r>
      <w:r w:rsidR="00A3595F" w:rsidRPr="002E269C">
        <w:t>literature</w:t>
      </w:r>
      <w:r w:rsidR="008A46C1" w:rsidRPr="002E269C">
        <w:t xml:space="preserve"> </w:t>
      </w:r>
      <w:r w:rsidR="00193E7D">
        <w:t>has been</w:t>
      </w:r>
      <w:r w:rsidR="00903FE7" w:rsidRPr="002E269C">
        <w:t xml:space="preserve"> </w:t>
      </w:r>
      <w:r w:rsidR="008A46C1" w:rsidRPr="002E269C">
        <w:t>categorised into</w:t>
      </w:r>
      <w:r w:rsidR="00A3595F" w:rsidRPr="002E269C">
        <w:t xml:space="preserve"> </w:t>
      </w:r>
      <w:r w:rsidR="00525319">
        <w:t>nine</w:t>
      </w:r>
      <w:r w:rsidR="001B5445" w:rsidRPr="002E269C">
        <w:t xml:space="preserve"> themes</w:t>
      </w:r>
      <w:r w:rsidR="00A23194" w:rsidRPr="002E269C">
        <w:t>:</w:t>
      </w:r>
      <w:r w:rsidR="004C319E" w:rsidRPr="002E269C">
        <w:rPr>
          <w:rStyle w:val="FootnoteReference"/>
        </w:rPr>
        <w:footnoteReference w:id="16"/>
      </w:r>
      <w:r w:rsidR="003B0446" w:rsidRPr="002E269C">
        <w:t xml:space="preserve"> </w:t>
      </w:r>
      <w:r w:rsidR="000F62F6" w:rsidRPr="002E269C">
        <w:t xml:space="preserve"> </w:t>
      </w:r>
    </w:p>
    <w:p w14:paraId="7081012D" w14:textId="797A26A9" w:rsidR="000F62F6" w:rsidRPr="005158D0" w:rsidRDefault="000F62F6" w:rsidP="00396190">
      <w:pPr>
        <w:pStyle w:val="ListParagraph"/>
        <w:numPr>
          <w:ilvl w:val="0"/>
          <w:numId w:val="2"/>
        </w:numPr>
      </w:pPr>
      <w:r w:rsidRPr="005158D0">
        <w:t>Eq</w:t>
      </w:r>
      <w:r w:rsidR="00525319">
        <w:t>ual recognition before the l</w:t>
      </w:r>
      <w:r w:rsidR="00DD178E" w:rsidRPr="005158D0">
        <w:t>aw and</w:t>
      </w:r>
      <w:r w:rsidR="00525319">
        <w:t xml:space="preserve"> legal c</w:t>
      </w:r>
      <w:r w:rsidRPr="005158D0">
        <w:t>apacity</w:t>
      </w:r>
    </w:p>
    <w:p w14:paraId="20171555" w14:textId="630539C0" w:rsidR="000F62F6" w:rsidRPr="005158D0" w:rsidRDefault="00525319" w:rsidP="00396190">
      <w:pPr>
        <w:pStyle w:val="ListParagraph"/>
        <w:numPr>
          <w:ilvl w:val="0"/>
          <w:numId w:val="2"/>
        </w:numPr>
      </w:pPr>
      <w:r>
        <w:t>Inclusion in criminal justice processes and p</w:t>
      </w:r>
      <w:r w:rsidR="000F62F6" w:rsidRPr="005158D0">
        <w:t xml:space="preserve">rocedures </w:t>
      </w:r>
    </w:p>
    <w:p w14:paraId="309A2CA1" w14:textId="0A7DFF43" w:rsidR="000F62F6" w:rsidRPr="005158D0" w:rsidRDefault="00525319" w:rsidP="00396190">
      <w:pPr>
        <w:pStyle w:val="ListParagraph"/>
        <w:numPr>
          <w:ilvl w:val="0"/>
          <w:numId w:val="2"/>
        </w:numPr>
      </w:pPr>
      <w:r>
        <w:t>Inclusion in civil, administrative and tribunal justice p</w:t>
      </w:r>
      <w:r w:rsidR="000F62F6" w:rsidRPr="005158D0">
        <w:t>rocesses</w:t>
      </w:r>
    </w:p>
    <w:p w14:paraId="25AEF2A8" w14:textId="3D0D3844" w:rsidR="000F62F6" w:rsidRPr="005158D0" w:rsidRDefault="00525319" w:rsidP="00396190">
      <w:pPr>
        <w:pStyle w:val="ListParagraph"/>
        <w:numPr>
          <w:ilvl w:val="0"/>
          <w:numId w:val="2"/>
        </w:numPr>
      </w:pPr>
      <w:r>
        <w:t>Mental health and justice p</w:t>
      </w:r>
      <w:r w:rsidR="000F62F6" w:rsidRPr="005158D0">
        <w:t>rocesses</w:t>
      </w:r>
    </w:p>
    <w:p w14:paraId="439FEC86" w14:textId="5826CE78" w:rsidR="000F62F6" w:rsidRPr="005158D0" w:rsidRDefault="00525319" w:rsidP="00396190">
      <w:pPr>
        <w:pStyle w:val="ListParagraph"/>
        <w:numPr>
          <w:ilvl w:val="0"/>
          <w:numId w:val="2"/>
        </w:numPr>
      </w:pPr>
      <w:r>
        <w:t>Child p</w:t>
      </w:r>
      <w:r w:rsidR="000F62F6" w:rsidRPr="005158D0">
        <w:t>rotection</w:t>
      </w:r>
      <w:r>
        <w:t>, marriage, partnerships, intimate relationships, parenthood and f</w:t>
      </w:r>
      <w:r w:rsidR="005F496F" w:rsidRPr="005158D0">
        <w:t>amily law</w:t>
      </w:r>
    </w:p>
    <w:p w14:paraId="6941B42F" w14:textId="3D55AF83" w:rsidR="000F62F6" w:rsidRPr="005158D0" w:rsidRDefault="00525319" w:rsidP="00396190">
      <w:pPr>
        <w:pStyle w:val="ListParagraph"/>
        <w:numPr>
          <w:ilvl w:val="0"/>
          <w:numId w:val="2"/>
        </w:numPr>
      </w:pPr>
      <w:r>
        <w:t>Aboriginal p</w:t>
      </w:r>
      <w:r w:rsidR="000F62F6" w:rsidRPr="005158D0">
        <w:t>eople</w:t>
      </w:r>
      <w:r w:rsidR="00547CD7" w:rsidRPr="005158D0">
        <w:t xml:space="preserve"> </w:t>
      </w:r>
      <w:r>
        <w:t>and Torres Strait Islanders</w:t>
      </w:r>
    </w:p>
    <w:p w14:paraId="18AA514F" w14:textId="0D2600C8" w:rsidR="000F62F6" w:rsidRPr="005158D0" w:rsidRDefault="00525319" w:rsidP="00396190">
      <w:pPr>
        <w:pStyle w:val="ListParagraph"/>
        <w:numPr>
          <w:ilvl w:val="0"/>
          <w:numId w:val="2"/>
        </w:numPr>
      </w:pPr>
      <w:r>
        <w:t>Immigration, migration and culturally and linguistically diverse c</w:t>
      </w:r>
      <w:r w:rsidR="000F62F6" w:rsidRPr="005158D0">
        <w:t>ommunities</w:t>
      </w:r>
      <w:r w:rsidR="00547CD7" w:rsidRPr="005158D0">
        <w:t xml:space="preserve"> </w:t>
      </w:r>
    </w:p>
    <w:p w14:paraId="58FDFC32" w14:textId="77777777" w:rsidR="000F62F6" w:rsidRPr="005158D0" w:rsidRDefault="000F62F6" w:rsidP="00396190">
      <w:pPr>
        <w:pStyle w:val="ListParagraph"/>
        <w:numPr>
          <w:ilvl w:val="0"/>
          <w:numId w:val="2"/>
        </w:numPr>
      </w:pPr>
      <w:r w:rsidRPr="005158D0">
        <w:t xml:space="preserve">Women </w:t>
      </w:r>
    </w:p>
    <w:p w14:paraId="22C0E25B" w14:textId="48F99A54" w:rsidR="000F62F6" w:rsidRPr="005158D0" w:rsidRDefault="00525319" w:rsidP="00396190">
      <w:pPr>
        <w:pStyle w:val="ListParagraph"/>
        <w:numPr>
          <w:ilvl w:val="0"/>
          <w:numId w:val="2"/>
        </w:numPr>
      </w:pPr>
      <w:r>
        <w:t>Rural and r</w:t>
      </w:r>
      <w:r w:rsidR="000F62F6" w:rsidRPr="005158D0">
        <w:t>egional</w:t>
      </w:r>
      <w:r>
        <w:t xml:space="preserve"> justice i</w:t>
      </w:r>
      <w:r w:rsidR="00547CD7" w:rsidRPr="005158D0">
        <w:t xml:space="preserve">ssues </w:t>
      </w:r>
    </w:p>
    <w:p w14:paraId="22585866" w14:textId="3A4667BF" w:rsidR="00193E7D" w:rsidRPr="002E269C" w:rsidRDefault="004E5D52" w:rsidP="00396190">
      <w:r>
        <w:t>Where possible, t</w:t>
      </w:r>
      <w:r w:rsidR="00ED52C5" w:rsidRPr="002E269C">
        <w:t xml:space="preserve">he </w:t>
      </w:r>
      <w:r w:rsidR="001C2933">
        <w:t>paper</w:t>
      </w:r>
      <w:r w:rsidR="00ED52C5" w:rsidRPr="002E269C">
        <w:t xml:space="preserve"> also</w:t>
      </w:r>
      <w:r w:rsidR="00775187" w:rsidRPr="002E269C">
        <w:t xml:space="preserve"> assesse</w:t>
      </w:r>
      <w:r w:rsidR="004573F7">
        <w:t>s</w:t>
      </w:r>
      <w:r w:rsidR="00775187" w:rsidRPr="002E269C">
        <w:t xml:space="preserve"> the extent to which research under each theme has been conducted using principles of participatory research. </w:t>
      </w:r>
      <w:r w:rsidR="00DD178E">
        <w:t xml:space="preserve">The </w:t>
      </w:r>
      <w:r w:rsidR="001C2933">
        <w:t>process of developing this paper</w:t>
      </w:r>
      <w:r w:rsidR="00DD178E">
        <w:t xml:space="preserve"> has defined participatory research as research that includes people with disability and/or their representative organisations in leadership, design, delivery, and dissemination of research. The </w:t>
      </w:r>
      <w:r w:rsidR="001C2933">
        <w:t>paper</w:t>
      </w:r>
      <w:r w:rsidR="00DD178E">
        <w:t xml:space="preserve"> </w:t>
      </w:r>
      <w:r w:rsidR="001C2933">
        <w:t>indicates</w:t>
      </w:r>
      <w:r w:rsidR="00DD178E">
        <w:t xml:space="preserve"> where it has found some or all </w:t>
      </w:r>
      <w:r w:rsidR="001B219C">
        <w:t>aspects</w:t>
      </w:r>
      <w:r w:rsidR="00DD178E">
        <w:t xml:space="preserve"> of participatory research </w:t>
      </w:r>
      <w:r w:rsidR="00573FC6">
        <w:t>under</w:t>
      </w:r>
      <w:r w:rsidR="00DD178E">
        <w:t xml:space="preserve"> each theme. </w:t>
      </w:r>
    </w:p>
    <w:p w14:paraId="76A698F1" w14:textId="05FA1CE8" w:rsidR="00AE0309" w:rsidRPr="002E269C" w:rsidRDefault="00300BCD" w:rsidP="0065659F">
      <w:pPr>
        <w:pStyle w:val="Heading3"/>
      </w:pPr>
      <w:bookmarkStart w:id="14" w:name="_Toc514751829"/>
      <w:r w:rsidRPr="002E269C">
        <w:t>Theme 1</w:t>
      </w:r>
      <w:r w:rsidR="002B40F5">
        <w:t>: Equal recognition before the law and legal c</w:t>
      </w:r>
      <w:r w:rsidRPr="002E269C">
        <w:t>apacity</w:t>
      </w:r>
      <w:bookmarkEnd w:id="14"/>
      <w:r w:rsidRPr="002E269C">
        <w:t xml:space="preserve"> </w:t>
      </w:r>
    </w:p>
    <w:p w14:paraId="551841A6" w14:textId="494DA1BB" w:rsidR="004B04D5" w:rsidRDefault="005D1DF5" w:rsidP="00396190">
      <w:r w:rsidRPr="002E269C">
        <w:t>E</w:t>
      </w:r>
      <w:r w:rsidR="005628E6" w:rsidRPr="002E269C">
        <w:t xml:space="preserve">qual recognition before the law and </w:t>
      </w:r>
      <w:r w:rsidRPr="002E269C">
        <w:t xml:space="preserve">the right to </w:t>
      </w:r>
      <w:r w:rsidR="00AB0078" w:rsidRPr="002E269C">
        <w:t xml:space="preserve">legal capacity </w:t>
      </w:r>
      <w:r w:rsidR="005628E6" w:rsidRPr="002E269C">
        <w:t xml:space="preserve">of </w:t>
      </w:r>
      <w:r w:rsidR="00700B63">
        <w:t>people</w:t>
      </w:r>
      <w:r w:rsidR="005628E6" w:rsidRPr="002E269C">
        <w:t xml:space="preserve"> with</w:t>
      </w:r>
      <w:r w:rsidR="00AB0078" w:rsidRPr="002E269C">
        <w:t xml:space="preserve"> </w:t>
      </w:r>
      <w:r w:rsidR="00700B63">
        <w:t>disability</w:t>
      </w:r>
      <w:r w:rsidR="005316B9" w:rsidRPr="002E269C">
        <w:t xml:space="preserve"> </w:t>
      </w:r>
      <w:r w:rsidRPr="002E269C">
        <w:t>is</w:t>
      </w:r>
      <w:r w:rsidR="00486AC0" w:rsidRPr="002E269C">
        <w:t xml:space="preserve"> </w:t>
      </w:r>
      <w:r w:rsidR="00AB0078" w:rsidRPr="002E269C">
        <w:t>guaranteed under Article 12</w:t>
      </w:r>
      <w:r w:rsidR="00E40DA2" w:rsidRPr="002E269C">
        <w:t xml:space="preserve"> of the</w:t>
      </w:r>
      <w:r w:rsidR="00AB0078" w:rsidRPr="002E269C">
        <w:t xml:space="preserve"> CRPD</w:t>
      </w:r>
      <w:r w:rsidR="00EA163B">
        <w:t>.</w:t>
      </w:r>
      <w:bookmarkStart w:id="15" w:name="_Ref514435697"/>
      <w:r w:rsidR="00E40DA2" w:rsidRPr="002E269C">
        <w:rPr>
          <w:rStyle w:val="FootnoteReference"/>
          <w:rFonts w:cs="Helvetica"/>
          <w:color w:val="000000" w:themeColor="text1"/>
        </w:rPr>
        <w:footnoteReference w:id="17"/>
      </w:r>
      <w:bookmarkEnd w:id="15"/>
      <w:r w:rsidR="00193E7D">
        <w:t xml:space="preserve"> </w:t>
      </w:r>
      <w:r w:rsidR="00FF444F">
        <w:t>T</w:t>
      </w:r>
      <w:r w:rsidR="00193E7D">
        <w:t xml:space="preserve">he right to </w:t>
      </w:r>
      <w:r w:rsidR="00CF2DC9">
        <w:t xml:space="preserve">legal capacity includes the right to be </w:t>
      </w:r>
      <w:r w:rsidR="00CF2DC9">
        <w:lastRenderedPageBreak/>
        <w:t xml:space="preserve">a person before the law and to act under the law. </w:t>
      </w:r>
      <w:r w:rsidR="00A041DB">
        <w:t>This</w:t>
      </w:r>
      <w:r w:rsidR="00CF2DC9">
        <w:t xml:space="preserve"> has implications for law, policy, and practice related to guardianship, mental health, capacity to contract, </w:t>
      </w:r>
      <w:r w:rsidR="00A929C4">
        <w:t xml:space="preserve">fitness to plead and stand trial </w:t>
      </w:r>
      <w:r w:rsidR="00CF2DC9">
        <w:t>and other areas of the law where legal decision-making is restricted on the basis of disability.</w:t>
      </w:r>
      <w:bookmarkStart w:id="16" w:name="_Ref514434385"/>
      <w:r w:rsidR="00CF2DC9">
        <w:rPr>
          <w:rStyle w:val="FootnoteReference"/>
          <w:rFonts w:cs="Helvetica"/>
          <w:color w:val="000000" w:themeColor="text1"/>
        </w:rPr>
        <w:footnoteReference w:id="18"/>
      </w:r>
      <w:bookmarkEnd w:id="16"/>
      <w:r w:rsidR="004C53C0">
        <w:t xml:space="preserve"> The right also includes a state obligation to provide access to support for the exercise of legal capacity.</w:t>
      </w:r>
      <w:r w:rsidR="004C53C0">
        <w:rPr>
          <w:rStyle w:val="FootnoteReference"/>
          <w:rFonts w:cs="Helvetica"/>
          <w:color w:val="000000" w:themeColor="text1"/>
        </w:rPr>
        <w:footnoteReference w:id="19"/>
      </w:r>
      <w:r w:rsidR="004C53C0">
        <w:t xml:space="preserve"> The practice of supported decision-making has been widely considered to be one of the </w:t>
      </w:r>
      <w:r w:rsidR="00407888">
        <w:t>support methods available.</w:t>
      </w:r>
      <w:r w:rsidR="00407888">
        <w:rPr>
          <w:rStyle w:val="FootnoteReference"/>
          <w:rFonts w:cs="Helvetica"/>
          <w:color w:val="000000" w:themeColor="text1"/>
        </w:rPr>
        <w:footnoteReference w:id="20"/>
      </w:r>
      <w:r w:rsidR="00407888">
        <w:t xml:space="preserve"> </w:t>
      </w:r>
      <w:r w:rsidR="004C53C0">
        <w:t xml:space="preserve">It is an essential part of the state obligation to provide access to justice because without recognition as a person before the law, an individual may not have standing before a court, may not be free to engage in a contract </w:t>
      </w:r>
      <w:r w:rsidR="00076D59">
        <w:t xml:space="preserve">for </w:t>
      </w:r>
      <w:r w:rsidR="004C53C0">
        <w:t xml:space="preserve">legal representation, and may have their decision-making denied in such a way as to deny individual access to justice in a variety of other ways. </w:t>
      </w:r>
    </w:p>
    <w:p w14:paraId="4BEBCFC3" w14:textId="2303BCB5" w:rsidR="00CF2DC9" w:rsidRDefault="00CF2DC9" w:rsidP="00396190">
      <w:r>
        <w:t xml:space="preserve">Internationally, scholarship in this area has only significantly developed over the last ten years, since the CRPD came into force. There is </w:t>
      </w:r>
      <w:r w:rsidR="004A2FD9">
        <w:t xml:space="preserve">considerable </w:t>
      </w:r>
      <w:r>
        <w:t xml:space="preserve">work being done in </w:t>
      </w:r>
      <w:r w:rsidR="00E62223">
        <w:t>the United</w:t>
      </w:r>
      <w:r w:rsidR="009F2FE8">
        <w:t xml:space="preserve"> </w:t>
      </w:r>
      <w:r w:rsidR="00E62223">
        <w:t>Kingdom,</w:t>
      </w:r>
      <w:r w:rsidR="00B878EC">
        <w:rPr>
          <w:rStyle w:val="FootnoteReference"/>
        </w:rPr>
        <w:footnoteReference w:id="21"/>
      </w:r>
      <w:r w:rsidR="00E62223">
        <w:t xml:space="preserve"> Ireland,</w:t>
      </w:r>
      <w:r w:rsidR="00473481">
        <w:rPr>
          <w:rStyle w:val="FootnoteReference"/>
        </w:rPr>
        <w:footnoteReference w:id="22"/>
      </w:r>
      <w:r w:rsidR="006F2D8D">
        <w:t xml:space="preserve"> and elsewhere in Europe</w:t>
      </w:r>
      <w:r w:rsidR="004A2FD9">
        <w:t xml:space="preserve"> on this subject</w:t>
      </w:r>
      <w:r w:rsidR="006F2D8D">
        <w:t>.</w:t>
      </w:r>
      <w:r w:rsidR="006F2D8D">
        <w:rPr>
          <w:rStyle w:val="FootnoteReference"/>
          <w:rFonts w:cs="Helvetica"/>
          <w:color w:val="000000" w:themeColor="text1"/>
        </w:rPr>
        <w:footnoteReference w:id="23"/>
      </w:r>
      <w:r w:rsidR="004C53C0">
        <w:t xml:space="preserve"> Australia has been lauded as one of the leaders in </w:t>
      </w:r>
      <w:r w:rsidR="003D1939">
        <w:t xml:space="preserve">research on </w:t>
      </w:r>
      <w:r w:rsidR="004C53C0">
        <w:t xml:space="preserve">supported decision-making. Work has included pilot projects </w:t>
      </w:r>
      <w:r w:rsidR="004C53C0">
        <w:lastRenderedPageBreak/>
        <w:t>in South Australia,</w:t>
      </w:r>
      <w:bookmarkStart w:id="17" w:name="_Ref514434902"/>
      <w:r w:rsidR="004C53C0">
        <w:rPr>
          <w:rStyle w:val="FootnoteReference"/>
          <w:rFonts w:cs="Helvetica"/>
          <w:color w:val="000000" w:themeColor="text1"/>
        </w:rPr>
        <w:footnoteReference w:id="24"/>
      </w:r>
      <w:bookmarkEnd w:id="17"/>
      <w:r w:rsidR="004C53C0">
        <w:t xml:space="preserve"> Victoria,</w:t>
      </w:r>
      <w:r w:rsidR="004C53C0">
        <w:rPr>
          <w:rStyle w:val="FootnoteReference"/>
          <w:rFonts w:cs="Helvetica"/>
          <w:color w:val="000000" w:themeColor="text1"/>
        </w:rPr>
        <w:footnoteReference w:id="25"/>
      </w:r>
      <w:r w:rsidR="004C53C0">
        <w:t xml:space="preserve"> </w:t>
      </w:r>
      <w:r w:rsidR="003D1939">
        <w:t>the ACT</w:t>
      </w:r>
      <w:r w:rsidR="004C53C0">
        <w:t>,</w:t>
      </w:r>
      <w:r w:rsidR="004C53C0">
        <w:rPr>
          <w:rStyle w:val="FootnoteReference"/>
          <w:rFonts w:cs="Helvetica"/>
          <w:color w:val="000000" w:themeColor="text1"/>
        </w:rPr>
        <w:footnoteReference w:id="26"/>
      </w:r>
      <w:r w:rsidR="004C53C0">
        <w:t xml:space="preserve"> and New South Wales</w:t>
      </w:r>
      <w:r w:rsidR="004A2FD9">
        <w:t>,</w:t>
      </w:r>
      <w:bookmarkStart w:id="18" w:name="_Ref514434905"/>
      <w:r w:rsidR="004C53C0">
        <w:rPr>
          <w:rStyle w:val="FootnoteReference"/>
          <w:rFonts w:cs="Helvetica"/>
          <w:color w:val="000000" w:themeColor="text1"/>
        </w:rPr>
        <w:footnoteReference w:id="27"/>
      </w:r>
      <w:bookmarkEnd w:id="18"/>
      <w:r w:rsidR="004C53C0">
        <w:t xml:space="preserve"> </w:t>
      </w:r>
      <w:r w:rsidR="004A2FD9">
        <w:t xml:space="preserve">though </w:t>
      </w:r>
      <w:r w:rsidR="004C53C0">
        <w:t>only a few independent evaluations have been done.</w:t>
      </w:r>
      <w:r w:rsidR="004C53C0">
        <w:rPr>
          <w:rStyle w:val="FootnoteReference"/>
          <w:rFonts w:cs="Helvetica"/>
          <w:color w:val="000000" w:themeColor="text1"/>
        </w:rPr>
        <w:footnoteReference w:id="28"/>
      </w:r>
      <w:r w:rsidR="004C53C0">
        <w:t xml:space="preserve"> </w:t>
      </w:r>
      <w:r w:rsidR="001D2083">
        <w:t>R</w:t>
      </w:r>
      <w:r w:rsidR="00714D64">
        <w:t>esearch in</w:t>
      </w:r>
      <w:r w:rsidR="001D2083">
        <w:t>to</w:t>
      </w:r>
      <w:r w:rsidR="00714D64">
        <w:t xml:space="preserve"> the practice of </w:t>
      </w:r>
      <w:r w:rsidR="001D2083">
        <w:t>support for peopl</w:t>
      </w:r>
      <w:r w:rsidR="003D1939">
        <w:t>e with disability has been done;</w:t>
      </w:r>
      <w:r w:rsidR="001D2083">
        <w:t xml:space="preserve"> however</w:t>
      </w:r>
      <w:r w:rsidR="003D1939">
        <w:t>,</w:t>
      </w:r>
      <w:r w:rsidR="001D2083">
        <w:t xml:space="preserve"> it is only just beginning to emerge in the area of support for legal decision-making.</w:t>
      </w:r>
      <w:bookmarkStart w:id="19" w:name="_Ref514487700"/>
      <w:r w:rsidR="00C106A2">
        <w:rPr>
          <w:rStyle w:val="FootnoteReference"/>
        </w:rPr>
        <w:footnoteReference w:id="29"/>
      </w:r>
      <w:bookmarkEnd w:id="19"/>
      <w:r w:rsidR="00BF3E8B">
        <w:t xml:space="preserve"> It has included work on support for people with significant communication difficulties.</w:t>
      </w:r>
      <w:r w:rsidR="00216BA2">
        <w:rPr>
          <w:rStyle w:val="FootnoteReference"/>
        </w:rPr>
        <w:footnoteReference w:id="30"/>
      </w:r>
      <w:r w:rsidR="00714D64">
        <w:t xml:space="preserve"> </w:t>
      </w:r>
      <w:r w:rsidR="00407888">
        <w:t>Increased collaboration between universities and government agencies and disability services carrying out pilot projects could provide better avenues for more robust research and evidence o</w:t>
      </w:r>
      <w:r w:rsidR="00764608">
        <w:t>f</w:t>
      </w:r>
      <w:r w:rsidR="00407888">
        <w:t xml:space="preserve"> the effectiveness of supported decision-making and good practice in the field. </w:t>
      </w:r>
    </w:p>
    <w:p w14:paraId="5FCB9696" w14:textId="0C2B89BE" w:rsidR="008803D6" w:rsidRDefault="00714D64" w:rsidP="00396190">
      <w:r>
        <w:t>S</w:t>
      </w:r>
      <w:r w:rsidR="00407888">
        <w:t xml:space="preserve">cholarship has emerged on the legal analysis of the right to legal capacity and the implications for </w:t>
      </w:r>
      <w:r w:rsidR="00260FC1">
        <w:t>the law in Australia and New Zealand</w:t>
      </w:r>
      <w:r w:rsidR="00407888">
        <w:t xml:space="preserve">. </w:t>
      </w:r>
      <w:r w:rsidR="00BF3E8B">
        <w:t>The</w:t>
      </w:r>
      <w:r w:rsidR="00407888">
        <w:t xml:space="preserve"> </w:t>
      </w:r>
      <w:r w:rsidR="00BF3E8B">
        <w:t xml:space="preserve">need for </w:t>
      </w:r>
      <w:r w:rsidR="00407888">
        <w:t xml:space="preserve">reform </w:t>
      </w:r>
      <w:r w:rsidR="00260FC1">
        <w:t>of</w:t>
      </w:r>
      <w:r w:rsidR="00407888">
        <w:t xml:space="preserve"> mental health law in Australia</w:t>
      </w:r>
      <w:r w:rsidR="00BF3E8B">
        <w:t xml:space="preserve"> has been identified, including </w:t>
      </w:r>
      <w:r w:rsidR="00260FC1">
        <w:t xml:space="preserve">around </w:t>
      </w:r>
      <w:r w:rsidR="00BF3E8B">
        <w:t>the practices of seclusion, restraint and forced treatment</w:t>
      </w:r>
      <w:r w:rsidR="00407888">
        <w:t>.</w:t>
      </w:r>
      <w:r w:rsidR="00B54AD9">
        <w:rPr>
          <w:rStyle w:val="FootnoteReference"/>
        </w:rPr>
        <w:footnoteReference w:id="31"/>
      </w:r>
      <w:r w:rsidR="00407888">
        <w:t xml:space="preserve"> </w:t>
      </w:r>
      <w:r w:rsidR="00BF3E8B">
        <w:t>U</w:t>
      </w:r>
      <w:r w:rsidR="009A2C0F">
        <w:t>nfitness to plead law</w:t>
      </w:r>
      <w:r w:rsidR="003D1939">
        <w:t>s</w:t>
      </w:r>
      <w:r w:rsidR="009A2C0F">
        <w:t xml:space="preserve"> </w:t>
      </w:r>
      <w:r w:rsidR="009935A0">
        <w:t xml:space="preserve">and </w:t>
      </w:r>
      <w:r w:rsidR="001604DE">
        <w:t xml:space="preserve">unfitness to </w:t>
      </w:r>
      <w:r w:rsidR="009935A0">
        <w:t xml:space="preserve">stand trial laws </w:t>
      </w:r>
      <w:r w:rsidR="001C6074">
        <w:t xml:space="preserve">in Australia </w:t>
      </w:r>
      <w:r w:rsidR="00BF3E8B">
        <w:t>ha</w:t>
      </w:r>
      <w:r w:rsidR="009935A0">
        <w:t xml:space="preserve">ve </w:t>
      </w:r>
      <w:r w:rsidR="00260FC1">
        <w:t xml:space="preserve">also </w:t>
      </w:r>
      <w:r w:rsidR="00BF3E8B">
        <w:t>been identified as in need of reform, due to the discriminatory impact on people with cognitive disability</w:t>
      </w:r>
      <w:r w:rsidR="0017591F">
        <w:rPr>
          <w:rFonts w:cs="Times New Roman"/>
        </w:rPr>
        <w:t>—</w:t>
      </w:r>
      <w:r w:rsidR="00BF3E8B">
        <w:t xml:space="preserve">particularly </w:t>
      </w:r>
      <w:r w:rsidR="0017591F">
        <w:t>Aboriginal people and Torres Strait Islanders</w:t>
      </w:r>
      <w:r w:rsidR="00BF3E8B">
        <w:t xml:space="preserve"> with cognitive disability</w:t>
      </w:r>
      <w:r w:rsidR="0017591F">
        <w:rPr>
          <w:rFonts w:cs="Times New Roman"/>
        </w:rPr>
        <w:t>—</w:t>
      </w:r>
      <w:r w:rsidR="00BF3E8B">
        <w:t>and the indefinite nature of detention that can result from findings of unfitness</w:t>
      </w:r>
      <w:r w:rsidR="009A2C0F">
        <w:t>.</w:t>
      </w:r>
      <w:r w:rsidR="0017591F">
        <w:rPr>
          <w:rStyle w:val="FootnoteReference"/>
        </w:rPr>
        <w:footnoteReference w:id="32"/>
      </w:r>
      <w:r w:rsidR="009A2C0F">
        <w:t xml:space="preserve"> </w:t>
      </w:r>
      <w:r w:rsidR="0027659B">
        <w:lastRenderedPageBreak/>
        <w:t xml:space="preserve">The Victorian Law Reform </w:t>
      </w:r>
      <w:r w:rsidR="0017591F">
        <w:t>Commission’s report on legislation dealing with u</w:t>
      </w:r>
      <w:r w:rsidR="0027659B">
        <w:t>nfitness to stand trial highlighted in partic</w:t>
      </w:r>
      <w:r w:rsidR="0017591F">
        <w:t>ular that under the current law</w:t>
      </w:r>
      <w:r w:rsidR="0027659B">
        <w:t>, people who were fit to plead guilty but not fit to go through the whole trial process were being denied the right to plead guilty, found unfit and being made subject to indefinite supervision orders.</w:t>
      </w:r>
      <w:bookmarkStart w:id="20" w:name="_Ref514486785"/>
      <w:r w:rsidR="0027659B">
        <w:rPr>
          <w:rStyle w:val="FootnoteReference"/>
          <w:rFonts w:cs="Helvetica"/>
          <w:color w:val="000000" w:themeColor="text1"/>
        </w:rPr>
        <w:footnoteReference w:id="33"/>
      </w:r>
      <w:bookmarkEnd w:id="20"/>
    </w:p>
    <w:p w14:paraId="23F25912" w14:textId="044AF583" w:rsidR="00260FC1" w:rsidRDefault="007D0C82" w:rsidP="00396190">
      <w:r>
        <w:t xml:space="preserve">The need for reform to unfitness to plead laws has also been a </w:t>
      </w:r>
      <w:r w:rsidR="00260FC1">
        <w:t>focus of New Zealand literature.</w:t>
      </w:r>
      <w:bookmarkStart w:id="21" w:name="_Ref514485881"/>
      <w:r w:rsidR="009E6ECC">
        <w:rPr>
          <w:rStyle w:val="FootnoteReference"/>
        </w:rPr>
        <w:footnoteReference w:id="34"/>
      </w:r>
      <w:bookmarkEnd w:id="21"/>
      <w:r w:rsidR="00881345">
        <w:t xml:space="preserve"> T</w:t>
      </w:r>
      <w:r w:rsidR="00260FC1">
        <w:t xml:space="preserve">he literature notes a </w:t>
      </w:r>
      <w:r w:rsidR="00F81446">
        <w:t xml:space="preserve">need </w:t>
      </w:r>
      <w:r w:rsidR="00A472B8">
        <w:t xml:space="preserve">for reform of these laws </w:t>
      </w:r>
      <w:r w:rsidR="00260FC1">
        <w:t xml:space="preserve">to </w:t>
      </w:r>
      <w:r w:rsidR="006E5AE0">
        <w:t>reinforce the</w:t>
      </w:r>
      <w:r>
        <w:t xml:space="preserve"> proposition</w:t>
      </w:r>
      <w:r w:rsidR="006E5AE0">
        <w:t>s</w:t>
      </w:r>
      <w:r>
        <w:t xml:space="preserve"> that no-one should be tried in absentia and that all parties to a criminal proceeding should be aware and able to participate.</w:t>
      </w:r>
      <w:bookmarkStart w:id="22" w:name="_Ref514485797"/>
      <w:r w:rsidR="0064542E">
        <w:rPr>
          <w:rStyle w:val="FootnoteReference"/>
          <w:rFonts w:cs="Helvetica"/>
          <w:color w:val="000000" w:themeColor="text1"/>
        </w:rPr>
        <w:footnoteReference w:id="35"/>
      </w:r>
      <w:bookmarkEnd w:id="22"/>
      <w:r w:rsidR="0064542E">
        <w:t xml:space="preserve"> </w:t>
      </w:r>
    </w:p>
    <w:p w14:paraId="472D7E73" w14:textId="62F8D967" w:rsidR="00C351D2" w:rsidRDefault="00BF3E8B" w:rsidP="00396190">
      <w:r>
        <w:t>Theoretical research has emerged on the right to legal capacity and support for legal decision-making.</w:t>
      </w:r>
      <w:r w:rsidR="00FC758A">
        <w:rPr>
          <w:rStyle w:val="FootnoteReference"/>
        </w:rPr>
        <w:footnoteReference w:id="36"/>
      </w:r>
      <w:r w:rsidR="00714D64">
        <w:t xml:space="preserve"> </w:t>
      </w:r>
      <w:r w:rsidR="0017591F">
        <w:t>S</w:t>
      </w:r>
      <w:r w:rsidR="001C6074">
        <w:t xml:space="preserve">cholars in Australia have begun work in this area, yet only limited research has been done on the </w:t>
      </w:r>
      <w:r w:rsidR="00787B8C">
        <w:t xml:space="preserve">implications on the ground </w:t>
      </w:r>
      <w:r w:rsidR="0017591F">
        <w:t>for the demands of CRPD Article </w:t>
      </w:r>
      <w:r w:rsidR="00787B8C">
        <w:t xml:space="preserve">12. Research is needed on discrete </w:t>
      </w:r>
      <w:r>
        <w:t>areas of the law where decision-</w:t>
      </w:r>
      <w:r w:rsidR="00787B8C">
        <w:t xml:space="preserve">making </w:t>
      </w:r>
      <w:r w:rsidR="00260FC1">
        <w:t>is</w:t>
      </w:r>
      <w:r w:rsidR="00787B8C">
        <w:t xml:space="preserve"> denied to people with disability in Australia</w:t>
      </w:r>
      <w:r w:rsidR="00260FC1">
        <w:t xml:space="preserve">, in order to investigate </w:t>
      </w:r>
      <w:r w:rsidR="00787B8C">
        <w:t xml:space="preserve">how support for the exercise of legal capacity can be implemented. </w:t>
      </w:r>
      <w:r w:rsidR="00711565">
        <w:t>In New Zealand, one case study of the National Health and Disability Advocacy Service has been used to describe a successful model of advocacy based on the concept of empowerment, noting that independence is a key factor in this success.</w:t>
      </w:r>
      <w:r w:rsidR="00711565">
        <w:rPr>
          <w:rStyle w:val="FootnoteReference"/>
          <w:rFonts w:cs="Helvetica"/>
          <w:color w:val="000000" w:themeColor="text1"/>
        </w:rPr>
        <w:footnoteReference w:id="37"/>
      </w:r>
    </w:p>
    <w:p w14:paraId="66EE0E11" w14:textId="77777777" w:rsidR="00DD178E" w:rsidRDefault="00DD178E" w:rsidP="00396190">
      <w:r>
        <w:t xml:space="preserve">Participatory research on the right to legal capacity is only </w:t>
      </w:r>
      <w:r w:rsidR="00260FC1">
        <w:t xml:space="preserve">just </w:t>
      </w:r>
      <w:r>
        <w:t>beginning to emerge. One reason for this is that much of the work to this point has been on theory and has been conducted as desk</w:t>
      </w:r>
      <w:r w:rsidR="00260FC1">
        <w:t>-</w:t>
      </w:r>
      <w:r>
        <w:t xml:space="preserve">based research by a single researcher or a small collaboration of researchers. </w:t>
      </w:r>
      <w:r w:rsidR="00D6775A">
        <w:t xml:space="preserve">Participatory research in supported decision-making has also been limited because up to this point, </w:t>
      </w:r>
      <w:r w:rsidR="00260FC1">
        <w:t>the research has</w:t>
      </w:r>
      <w:r w:rsidR="00D6775A">
        <w:t xml:space="preserve"> been largely organised as pilot projects by government or civil society organisations. As such, </w:t>
      </w:r>
      <w:r w:rsidR="00260FC1">
        <w:t>the research has</w:t>
      </w:r>
      <w:r w:rsidR="00D6775A">
        <w:t xml:space="preserve"> been led by those groups and </w:t>
      </w:r>
      <w:r w:rsidR="00260FC1">
        <w:t xml:space="preserve">has </w:t>
      </w:r>
      <w:r w:rsidR="00D6775A">
        <w:t xml:space="preserve">had more of a practice focus as opposed to a research focus. </w:t>
      </w:r>
      <w:r>
        <w:t xml:space="preserve">However, there have been some participatory research projects </w:t>
      </w:r>
      <w:r w:rsidR="00260FC1">
        <w:t>on</w:t>
      </w:r>
      <w:r>
        <w:t xml:space="preserve"> </w:t>
      </w:r>
      <w:r w:rsidR="00D6775A">
        <w:t xml:space="preserve">legal capacity and supported decision-making in </w:t>
      </w:r>
      <w:r>
        <w:t xml:space="preserve">which people with disability were involved in the research process and in the designing and leadership of the </w:t>
      </w:r>
      <w:r>
        <w:lastRenderedPageBreak/>
        <w:t>research.</w:t>
      </w:r>
      <w:r>
        <w:rPr>
          <w:rStyle w:val="FootnoteReference"/>
          <w:rFonts w:cs="Helvetica"/>
          <w:color w:val="000000" w:themeColor="text1"/>
        </w:rPr>
        <w:footnoteReference w:id="38"/>
      </w:r>
      <w:r>
        <w:t xml:space="preserve"> </w:t>
      </w:r>
      <w:r w:rsidR="00D6775A">
        <w:t xml:space="preserve">There is an opportunity to begin developing more participatory research endeavours in this theme. </w:t>
      </w:r>
    </w:p>
    <w:p w14:paraId="41B6F5B0" w14:textId="43F5A0DA" w:rsidR="00C351D2" w:rsidRPr="002E269C" w:rsidRDefault="00C351D2" w:rsidP="0065659F">
      <w:pPr>
        <w:pStyle w:val="Heading3"/>
      </w:pPr>
      <w:bookmarkStart w:id="23" w:name="_Toc514751830"/>
      <w:r w:rsidRPr="002E269C">
        <w:t>Theme 2</w:t>
      </w:r>
      <w:r w:rsidR="002B40F5">
        <w:t>:</w:t>
      </w:r>
      <w:r w:rsidRPr="002E269C">
        <w:t xml:space="preserve"> Inclusion</w:t>
      </w:r>
      <w:r w:rsidR="00D215D4">
        <w:t xml:space="preserve"> in criminal justice processes and p</w:t>
      </w:r>
      <w:r w:rsidRPr="002E269C">
        <w:t>rocedures</w:t>
      </w:r>
      <w:bookmarkEnd w:id="23"/>
      <w:r w:rsidRPr="002E269C">
        <w:t xml:space="preserve"> </w:t>
      </w:r>
    </w:p>
    <w:p w14:paraId="3F4B4E47" w14:textId="5191272D" w:rsidR="001A73C7" w:rsidRPr="002E269C" w:rsidRDefault="001D2083" w:rsidP="00396190">
      <w:r>
        <w:t>Research into i</w:t>
      </w:r>
      <w:r w:rsidR="002A09FE" w:rsidRPr="002E269C">
        <w:t>nclusion</w:t>
      </w:r>
      <w:r w:rsidR="001A73C7" w:rsidRPr="002E269C">
        <w:t xml:space="preserve"> in criminal justice processes and procedures</w:t>
      </w:r>
      <w:r>
        <w:t xml:space="preserve"> has been done</w:t>
      </w:r>
      <w:r w:rsidR="001A73C7" w:rsidRPr="002E269C">
        <w:t xml:space="preserve"> </w:t>
      </w:r>
      <w:r>
        <w:t>in areas related to</w:t>
      </w:r>
      <w:r w:rsidR="001A73C7" w:rsidRPr="002E269C">
        <w:t xml:space="preserve"> policing, police investigative interviewing, pre-trial measures, at-trial measures, the prison system and throughcare. </w:t>
      </w:r>
      <w:r w:rsidR="00576144" w:rsidRPr="002E269C">
        <w:t xml:space="preserve">There is a </w:t>
      </w:r>
      <w:r w:rsidR="005836F5" w:rsidRPr="002E269C">
        <w:t xml:space="preserve">substantial amount of </w:t>
      </w:r>
      <w:r w:rsidR="001A73C7" w:rsidRPr="002E269C">
        <w:t>literature</w:t>
      </w:r>
      <w:r w:rsidR="006A1BA6" w:rsidRPr="002E269C">
        <w:t xml:space="preserve"> addressing</w:t>
      </w:r>
      <w:r w:rsidR="001A73C7" w:rsidRPr="002E269C">
        <w:t xml:space="preserve"> disability and the criminal justice </w:t>
      </w:r>
      <w:r w:rsidR="005836F5" w:rsidRPr="002E269C">
        <w:t>system</w:t>
      </w:r>
      <w:r w:rsidR="001A73C7" w:rsidRPr="002E269C">
        <w:t>.</w:t>
      </w:r>
      <w:bookmarkStart w:id="24" w:name="_Ref514484223"/>
      <w:r w:rsidR="00626C91">
        <w:rPr>
          <w:rStyle w:val="FootnoteReference"/>
        </w:rPr>
        <w:footnoteReference w:id="39"/>
      </w:r>
      <w:bookmarkEnd w:id="24"/>
      <w:r w:rsidR="001A73C7" w:rsidRPr="002E269C">
        <w:t xml:space="preserve"> </w:t>
      </w:r>
      <w:r w:rsidR="0086313D">
        <w:t>Whilst s</w:t>
      </w:r>
      <w:r w:rsidR="001A73C7" w:rsidRPr="002E269C">
        <w:t xml:space="preserve">ome of this literature simply restates </w:t>
      </w:r>
      <w:r w:rsidR="006E42EC" w:rsidRPr="002E269C">
        <w:t xml:space="preserve">and acknowledges </w:t>
      </w:r>
      <w:r w:rsidR="001A73C7" w:rsidRPr="002E269C">
        <w:t>the identified problems,</w:t>
      </w:r>
      <w:bookmarkStart w:id="25" w:name="_Ref514500416"/>
      <w:r w:rsidR="00EC63F7" w:rsidRPr="002E269C">
        <w:rPr>
          <w:rStyle w:val="FootnoteReference"/>
          <w:color w:val="000000" w:themeColor="text1"/>
        </w:rPr>
        <w:footnoteReference w:id="40"/>
      </w:r>
      <w:bookmarkEnd w:id="25"/>
      <w:r w:rsidR="001A73C7" w:rsidRPr="002E269C">
        <w:t xml:space="preserve"> some of it </w:t>
      </w:r>
      <w:r w:rsidR="0086313D">
        <w:t xml:space="preserve">also </w:t>
      </w:r>
      <w:r w:rsidR="001A73C7" w:rsidRPr="002E269C">
        <w:t>seeks to evaluate ‘what works, when, for who and how’</w:t>
      </w:r>
      <w:r w:rsidR="002B129E">
        <w:t>.</w:t>
      </w:r>
      <w:bookmarkStart w:id="26" w:name="_Ref514484914"/>
      <w:r w:rsidR="001E60B3" w:rsidRPr="002E269C">
        <w:rPr>
          <w:rStyle w:val="FootnoteReference"/>
          <w:color w:val="000000" w:themeColor="text1"/>
        </w:rPr>
        <w:footnoteReference w:id="41"/>
      </w:r>
      <w:bookmarkEnd w:id="26"/>
      <w:r w:rsidR="0086313D">
        <w:t xml:space="preserve"> </w:t>
      </w:r>
    </w:p>
    <w:p w14:paraId="6CFFF35D" w14:textId="0CD392F0" w:rsidR="001A73C7" w:rsidRDefault="00576144" w:rsidP="00396190">
      <w:r w:rsidRPr="002E269C">
        <w:t xml:space="preserve">Since the </w:t>
      </w:r>
      <w:r w:rsidR="00F76041">
        <w:t xml:space="preserve">2014 </w:t>
      </w:r>
      <w:r w:rsidR="00793B67" w:rsidRPr="00D022F1">
        <w:rPr>
          <w:i/>
        </w:rPr>
        <w:t xml:space="preserve">Disability Research </w:t>
      </w:r>
      <w:r w:rsidR="00974D8E" w:rsidRPr="00D022F1">
        <w:rPr>
          <w:i/>
        </w:rPr>
        <w:t>Audit</w:t>
      </w:r>
      <w:r w:rsidR="00000048" w:rsidRPr="002E269C">
        <w:t xml:space="preserve"> there has been a</w:t>
      </w:r>
      <w:r w:rsidRPr="002E269C">
        <w:t xml:space="preserve"> notable</w:t>
      </w:r>
      <w:r w:rsidR="001A73C7" w:rsidRPr="002E269C">
        <w:t xml:space="preserve"> increase in the amount of literature concerned with </w:t>
      </w:r>
      <w:r w:rsidR="002F5774">
        <w:t xml:space="preserve">Australian </w:t>
      </w:r>
      <w:r w:rsidR="00D022F1">
        <w:t>Aboriginal</w:t>
      </w:r>
      <w:r w:rsidR="001A73C7" w:rsidRPr="002E269C">
        <w:t xml:space="preserve"> people</w:t>
      </w:r>
      <w:r w:rsidR="00D022F1">
        <w:t xml:space="preserve"> and Torres Strait Islanders,</w:t>
      </w:r>
      <w:r w:rsidR="001A73C7" w:rsidRPr="002E269C">
        <w:t xml:space="preserve"> and women with disability</w:t>
      </w:r>
      <w:r w:rsidR="00D022F1">
        <w:t>,</w:t>
      </w:r>
      <w:r w:rsidR="001A73C7" w:rsidRPr="002E269C">
        <w:t xml:space="preserve"> </w:t>
      </w:r>
      <w:r w:rsidR="001E5FC1" w:rsidRPr="002E269C">
        <w:t>and their</w:t>
      </w:r>
      <w:r w:rsidR="001A73C7" w:rsidRPr="002E269C">
        <w:t xml:space="preserve"> inclusion in criminal justice processes and procedures</w:t>
      </w:r>
      <w:r w:rsidR="002325BF">
        <w:t>.</w:t>
      </w:r>
      <w:bookmarkStart w:id="27" w:name="_Ref514486331"/>
      <w:r w:rsidR="004A24B2" w:rsidRPr="002E269C">
        <w:rPr>
          <w:rStyle w:val="FootnoteReference"/>
          <w:color w:val="000000" w:themeColor="text1"/>
        </w:rPr>
        <w:footnoteReference w:id="42"/>
      </w:r>
      <w:bookmarkEnd w:id="27"/>
      <w:r w:rsidR="001A73C7" w:rsidRPr="002E269C">
        <w:t xml:space="preserve"> The research </w:t>
      </w:r>
      <w:r w:rsidR="001A73C7" w:rsidRPr="002E269C">
        <w:lastRenderedPageBreak/>
        <w:t xml:space="preserve">overwhelmingly establishes that </w:t>
      </w:r>
      <w:r w:rsidR="00700B63">
        <w:t>people</w:t>
      </w:r>
      <w:r w:rsidR="001D2083">
        <w:t xml:space="preserve"> with cognitive disability</w:t>
      </w:r>
      <w:r w:rsidR="001A73C7" w:rsidRPr="002E269C">
        <w:t xml:space="preserve"> are over</w:t>
      </w:r>
      <w:r w:rsidR="00D022F1">
        <w:t>-</w:t>
      </w:r>
      <w:r w:rsidR="001A73C7" w:rsidRPr="002E269C">
        <w:t xml:space="preserve">represented in the criminal justice system, and that this is particularly so for </w:t>
      </w:r>
      <w:r w:rsidR="00D022F1">
        <w:t>Aboriginal</w:t>
      </w:r>
      <w:r w:rsidR="001A73C7" w:rsidRPr="002E269C">
        <w:t xml:space="preserve"> people </w:t>
      </w:r>
      <w:r w:rsidR="00D022F1">
        <w:t xml:space="preserve">and Torres Strait Islanders </w:t>
      </w:r>
      <w:r w:rsidR="001A73C7" w:rsidRPr="002E269C">
        <w:t>with a cognitive disability.</w:t>
      </w:r>
      <w:r w:rsidR="001A73C7" w:rsidRPr="002E269C">
        <w:rPr>
          <w:rStyle w:val="FootnoteReference"/>
          <w:color w:val="000000" w:themeColor="text1"/>
        </w:rPr>
        <w:footnoteReference w:id="43"/>
      </w:r>
      <w:r w:rsidR="001A73C7" w:rsidRPr="002E269C">
        <w:t xml:space="preserve"> There is also</w:t>
      </w:r>
      <w:r w:rsidR="00B96FAE" w:rsidRPr="002E269C">
        <w:t xml:space="preserve"> </w:t>
      </w:r>
      <w:r w:rsidR="001A73C7" w:rsidRPr="002E269C">
        <w:t xml:space="preserve">research </w:t>
      </w:r>
      <w:r w:rsidR="00370761" w:rsidRPr="002E269C">
        <w:t>showing</w:t>
      </w:r>
      <w:r w:rsidR="00B96FAE" w:rsidRPr="002E269C">
        <w:t xml:space="preserve"> that</w:t>
      </w:r>
      <w:r w:rsidR="001A73C7" w:rsidRPr="002E269C">
        <w:t xml:space="preserve"> criminal justice outcomes for </w:t>
      </w:r>
      <w:r w:rsidR="001A73C7" w:rsidRPr="002E269C">
        <w:rPr>
          <w:i/>
        </w:rPr>
        <w:t>victims</w:t>
      </w:r>
      <w:r w:rsidR="001A73C7" w:rsidRPr="002E269C">
        <w:t xml:space="preserve"> with </w:t>
      </w:r>
      <w:r w:rsidR="00700B63">
        <w:t>disability</w:t>
      </w:r>
      <w:r w:rsidR="001A73C7" w:rsidRPr="002E269C">
        <w:t xml:space="preserve"> are affected by their contact with the criminal justice system as </w:t>
      </w:r>
      <w:r w:rsidR="001A73C7" w:rsidRPr="002E269C">
        <w:rPr>
          <w:i/>
        </w:rPr>
        <w:t>offenders</w:t>
      </w:r>
      <w:r w:rsidR="001A73C7" w:rsidRPr="002E269C">
        <w:t>, particularly women and young people.</w:t>
      </w:r>
      <w:r w:rsidR="001A73C7" w:rsidRPr="002E269C">
        <w:rPr>
          <w:rStyle w:val="FootnoteReference"/>
          <w:color w:val="000000" w:themeColor="text1"/>
        </w:rPr>
        <w:footnoteReference w:id="44"/>
      </w:r>
      <w:r w:rsidR="001A73C7" w:rsidRPr="002E269C">
        <w:t xml:space="preserve"> </w:t>
      </w:r>
      <w:r w:rsidR="005B6D6F" w:rsidRPr="002E269C">
        <w:t>Emerging</w:t>
      </w:r>
      <w:r w:rsidR="002C55A7" w:rsidRPr="002E269C">
        <w:t xml:space="preserve"> literature</w:t>
      </w:r>
      <w:r w:rsidR="005B6D6F" w:rsidRPr="002E269C">
        <w:t xml:space="preserve"> is</w:t>
      </w:r>
      <w:r w:rsidR="002C55A7" w:rsidRPr="002E269C">
        <w:t xml:space="preserve"> discussing the</w:t>
      </w:r>
      <w:r w:rsidR="001A73C7" w:rsidRPr="002E269C">
        <w:t xml:space="preserve"> </w:t>
      </w:r>
      <w:r w:rsidR="00B96FAE" w:rsidRPr="002E269C">
        <w:t xml:space="preserve">implications of the </w:t>
      </w:r>
      <w:r w:rsidR="001A73C7" w:rsidRPr="002E269C">
        <w:t xml:space="preserve">National Disability Insurance Scheme (NDIS) </w:t>
      </w:r>
      <w:r w:rsidR="00B96FAE" w:rsidRPr="002E269C">
        <w:t>for</w:t>
      </w:r>
      <w:r w:rsidR="001A73C7" w:rsidRPr="002E269C">
        <w:t xml:space="preserve"> the criminal justice system</w:t>
      </w:r>
      <w:r w:rsidR="00B96FAE" w:rsidRPr="002E269C">
        <w:t>.</w:t>
      </w:r>
      <w:r w:rsidR="00950CC8">
        <w:rPr>
          <w:rStyle w:val="FootnoteReference"/>
        </w:rPr>
        <w:footnoteReference w:id="45"/>
      </w:r>
    </w:p>
    <w:p w14:paraId="4B3160E6" w14:textId="5C2D9A9B" w:rsidR="007E33AF" w:rsidRPr="007E33AF" w:rsidRDefault="00AD0CCF" w:rsidP="00396190">
      <w:r>
        <w:rPr>
          <w:color w:val="000000" w:themeColor="text1"/>
        </w:rPr>
        <w:t xml:space="preserve">The </w:t>
      </w:r>
      <w:r w:rsidR="007E33AF">
        <w:rPr>
          <w:color w:val="000000" w:themeColor="text1"/>
        </w:rPr>
        <w:t xml:space="preserve">existing literature </w:t>
      </w:r>
      <w:r>
        <w:rPr>
          <w:color w:val="000000" w:themeColor="text1"/>
        </w:rPr>
        <w:t xml:space="preserve">from New Zealand </w:t>
      </w:r>
      <w:r w:rsidR="001C73C0">
        <w:rPr>
          <w:color w:val="000000" w:themeColor="text1"/>
        </w:rPr>
        <w:t xml:space="preserve">on this theme </w:t>
      </w:r>
      <w:r w:rsidR="007E33AF">
        <w:rPr>
          <w:color w:val="000000" w:themeColor="text1"/>
        </w:rPr>
        <w:t>has focused mainly on</w:t>
      </w:r>
      <w:r w:rsidR="00D022F1">
        <w:rPr>
          <w:color w:val="000000" w:themeColor="text1"/>
        </w:rPr>
        <w:t xml:space="preserve"> laws dealing with</w:t>
      </w:r>
      <w:r w:rsidR="007E33AF">
        <w:rPr>
          <w:color w:val="000000" w:themeColor="text1"/>
        </w:rPr>
        <w:t xml:space="preserve"> fitness </w:t>
      </w:r>
      <w:r w:rsidR="007E33AF">
        <w:t>to stand trial.</w:t>
      </w:r>
      <w:bookmarkStart w:id="28" w:name="_Ref514485964"/>
      <w:r w:rsidR="007E33AF">
        <w:rPr>
          <w:rStyle w:val="FootnoteReference"/>
        </w:rPr>
        <w:footnoteReference w:id="46"/>
      </w:r>
      <w:bookmarkEnd w:id="28"/>
      <w:r w:rsidR="007E33AF">
        <w:t xml:space="preserve"> </w:t>
      </w:r>
      <w:r w:rsidR="001C73C0">
        <w:t>It</w:t>
      </w:r>
      <w:r w:rsidR="007E33AF">
        <w:t xml:space="preserve"> identifies a need for future research about the ultimate outcomes</w:t>
      </w:r>
      <w:r w:rsidR="000D1A8D">
        <w:t>,</w:t>
      </w:r>
      <w:r w:rsidR="007E33AF">
        <w:t xml:space="preserve"> </w:t>
      </w:r>
      <w:r w:rsidR="000D1A8D">
        <w:t>particularly</w:t>
      </w:r>
      <w:r w:rsidR="00D022F1">
        <w:t xml:space="preserve"> for</w:t>
      </w:r>
      <w:r w:rsidR="007E33AF">
        <w:t xml:space="preserve"> young people who are designated as unfit to stand trial.</w:t>
      </w:r>
      <w:r w:rsidR="00276002">
        <w:rPr>
          <w:rStyle w:val="FootnoteReference"/>
        </w:rPr>
        <w:footnoteReference w:id="47"/>
      </w:r>
      <w:r w:rsidR="007E33AF">
        <w:t xml:space="preserve"> </w:t>
      </w:r>
      <w:r w:rsidR="00AB6CC0">
        <w:t xml:space="preserve">One study also examined the tensions that exist between the </w:t>
      </w:r>
      <w:r w:rsidR="00AB6CC0" w:rsidRPr="00D022F1">
        <w:rPr>
          <w:i/>
        </w:rPr>
        <w:t xml:space="preserve">Intellectual Disability (Compulsory Care and Rehabilitation) Act 2003 </w:t>
      </w:r>
      <w:r w:rsidR="00D022F1">
        <w:t xml:space="preserve">(NZ) </w:t>
      </w:r>
      <w:r w:rsidR="00AB6CC0">
        <w:t>and the requirements of the CRPD, including the tensions between imperatives of risk management, rehabilitation and human rights.</w:t>
      </w:r>
      <w:r w:rsidR="004F7AA2">
        <w:rPr>
          <w:rStyle w:val="FootnoteReference"/>
        </w:rPr>
        <w:footnoteReference w:id="48"/>
      </w:r>
      <w:r w:rsidR="00AB6CC0">
        <w:t xml:space="preserve"> This stud</w:t>
      </w:r>
      <w:r w:rsidR="001C73C0">
        <w:t>y noted that further research into</w:t>
      </w:r>
      <w:r w:rsidR="00AB6CC0">
        <w:t xml:space="preserve"> how the multi-disciplinary team functions in re</w:t>
      </w:r>
      <w:r w:rsidR="001C73C0">
        <w:t>lation to this Act would deepen</w:t>
      </w:r>
      <w:r w:rsidR="00AB6CC0">
        <w:t xml:space="preserve"> the understanding of these dilemmas surrounding risk and rehabilitation.</w:t>
      </w:r>
      <w:r w:rsidR="00AB6CC0">
        <w:rPr>
          <w:rStyle w:val="FootnoteReference"/>
        </w:rPr>
        <w:footnoteReference w:id="49"/>
      </w:r>
      <w:r w:rsidR="00AB6CC0">
        <w:t xml:space="preserve"> </w:t>
      </w:r>
      <w:r w:rsidR="007E33AF">
        <w:t>Research has also been conducted in New Zealand on the police use of TASER devices in mental health emergencies</w:t>
      </w:r>
      <w:r w:rsidR="00832D0B">
        <w:t>.</w:t>
      </w:r>
      <w:r w:rsidR="00C87D5F">
        <w:rPr>
          <w:rStyle w:val="FootnoteReference"/>
        </w:rPr>
        <w:footnoteReference w:id="50"/>
      </w:r>
      <w:r w:rsidR="007E33AF">
        <w:t xml:space="preserve"> </w:t>
      </w:r>
      <w:r w:rsidR="00832D0B">
        <w:t>This literature</w:t>
      </w:r>
      <w:r w:rsidR="007E33AF">
        <w:t xml:space="preserve"> notes that people with mental illness are particularly vulnerable to the effects of TASER devices</w:t>
      </w:r>
      <w:r w:rsidR="00AB6CC0">
        <w:t>,</w:t>
      </w:r>
      <w:r w:rsidR="007E33AF">
        <w:rPr>
          <w:rStyle w:val="FootnoteReference"/>
        </w:rPr>
        <w:footnoteReference w:id="51"/>
      </w:r>
      <w:r w:rsidR="007E33AF">
        <w:t xml:space="preserve"> </w:t>
      </w:r>
      <w:r w:rsidR="00AB6CC0">
        <w:t xml:space="preserve">and suggests that </w:t>
      </w:r>
      <w:r w:rsidR="007E33AF">
        <w:t xml:space="preserve">further research </w:t>
      </w:r>
      <w:r w:rsidR="00AB6CC0">
        <w:lastRenderedPageBreak/>
        <w:t xml:space="preserve">should </w:t>
      </w:r>
      <w:r w:rsidR="007E33AF">
        <w:t>include qualitative research to explore police officers’ experiences of use of TASER devices, both in general and in relation to mental health emergencies.</w:t>
      </w:r>
      <w:r w:rsidR="007E33AF">
        <w:rPr>
          <w:rStyle w:val="FootnoteReference"/>
        </w:rPr>
        <w:footnoteReference w:id="52"/>
      </w:r>
    </w:p>
    <w:p w14:paraId="08AB52B8" w14:textId="77777777" w:rsidR="00C87D5F" w:rsidRDefault="006F17EC" w:rsidP="00396190">
      <w:r w:rsidRPr="002E269C">
        <w:t xml:space="preserve">Notwithstanding the increased volume of literature and </w:t>
      </w:r>
      <w:r w:rsidR="001550EE" w:rsidRPr="002E269C">
        <w:t xml:space="preserve">broader analysis, deeper and comparative </w:t>
      </w:r>
      <w:r w:rsidRPr="002E269C">
        <w:t>research is limited</w:t>
      </w:r>
      <w:r w:rsidR="005A1F7E" w:rsidRPr="002E269C">
        <w:t>. This is a consequence of the</w:t>
      </w:r>
      <w:r w:rsidRPr="002E269C">
        <w:t xml:space="preserve"> difficulty</w:t>
      </w:r>
      <w:r w:rsidR="005A1F7E" w:rsidRPr="002E269C">
        <w:t xml:space="preserve"> of</w:t>
      </w:r>
      <w:r w:rsidR="001A73C7" w:rsidRPr="002E269C">
        <w:t xml:space="preserve"> obtaining </w:t>
      </w:r>
      <w:r w:rsidR="00375098" w:rsidRPr="002E269C">
        <w:t xml:space="preserve">accurate and comprehensive </w:t>
      </w:r>
      <w:r w:rsidR="0018548C" w:rsidRPr="002E269C">
        <w:t>data</w:t>
      </w:r>
      <w:r w:rsidR="00020922" w:rsidRPr="002E269C">
        <w:t>,</w:t>
      </w:r>
      <w:r w:rsidR="0018548C" w:rsidRPr="002E269C">
        <w:t xml:space="preserve"> largely</w:t>
      </w:r>
      <w:r w:rsidR="001A73C7" w:rsidRPr="002E269C">
        <w:t xml:space="preserve"> due to inadequate reporting and poor data linkages within justice agencies and across governments.</w:t>
      </w:r>
      <w:r w:rsidR="00D43183" w:rsidRPr="002E269C">
        <w:rPr>
          <w:rStyle w:val="FootnoteReference"/>
          <w:color w:val="000000" w:themeColor="text1"/>
        </w:rPr>
        <w:footnoteReference w:id="53"/>
      </w:r>
      <w:r w:rsidR="001A73C7" w:rsidRPr="002E269C">
        <w:t xml:space="preserve"> </w:t>
      </w:r>
    </w:p>
    <w:p w14:paraId="0D58081E" w14:textId="77777777" w:rsidR="00C87D5F" w:rsidRDefault="001A73C7" w:rsidP="00396190">
      <w:r w:rsidRPr="002E269C">
        <w:t>Moreover, the non-reporting of abuse and discontinuation of matters for people living in institutional and residential settings</w:t>
      </w:r>
      <w:r w:rsidR="00CD4165" w:rsidRPr="002E269C">
        <w:t xml:space="preserve"> has been</w:t>
      </w:r>
      <w:r w:rsidR="005A061A" w:rsidRPr="002E269C">
        <w:t xml:space="preserve"> identified as an ongoing issue</w:t>
      </w:r>
      <w:r w:rsidR="001D5546" w:rsidRPr="002E269C">
        <w:t xml:space="preserve"> for access to justice for people with disability</w:t>
      </w:r>
      <w:r w:rsidR="005A061A" w:rsidRPr="002E269C">
        <w:t>.</w:t>
      </w:r>
      <w:r w:rsidRPr="002E269C">
        <w:rPr>
          <w:rStyle w:val="FootnoteReference"/>
          <w:color w:val="000000" w:themeColor="text1"/>
        </w:rPr>
        <w:footnoteReference w:id="54"/>
      </w:r>
      <w:r w:rsidRPr="002E269C">
        <w:t xml:space="preserve"> </w:t>
      </w:r>
    </w:p>
    <w:p w14:paraId="2007D514" w14:textId="51819234" w:rsidR="00AA2B8D" w:rsidRPr="002E269C" w:rsidRDefault="001A73C7" w:rsidP="00396190">
      <w:r w:rsidRPr="002E269C">
        <w:t>The literature also notes that police, lawyers, courts and corrections officers often have difficulties identifying disability at the point of entry to the criminal justice system either as complainant, witness or suspect.</w:t>
      </w:r>
      <w:bookmarkStart w:id="29" w:name="_Ref514486449"/>
      <w:r w:rsidRPr="002E269C">
        <w:rPr>
          <w:rStyle w:val="FootnoteReference"/>
          <w:color w:val="000000" w:themeColor="text1"/>
        </w:rPr>
        <w:footnoteReference w:id="55"/>
      </w:r>
      <w:bookmarkEnd w:id="29"/>
      <w:r w:rsidR="001D5546" w:rsidRPr="002E269C">
        <w:t xml:space="preserve"> Where and when a disability is identified th</w:t>
      </w:r>
      <w:r w:rsidR="000D38E5" w:rsidRPr="002E269C">
        <w:t>ere is a lack of co</w:t>
      </w:r>
      <w:r w:rsidR="00C87D5F">
        <w:t>-</w:t>
      </w:r>
      <w:r w:rsidR="000D38E5" w:rsidRPr="002E269C">
        <w:t>ordination across justice, health and disability services</w:t>
      </w:r>
      <w:r w:rsidR="001D5546" w:rsidRPr="002E269C">
        <w:t xml:space="preserve"> to ensure that the person is able </w:t>
      </w:r>
      <w:r w:rsidR="00D17430" w:rsidRPr="002E269C">
        <w:t>to effectively participate in interviews or at trial</w:t>
      </w:r>
      <w:r w:rsidR="001D5546" w:rsidRPr="002E269C">
        <w:t>.</w:t>
      </w:r>
      <w:r w:rsidR="001D5546" w:rsidRPr="002E269C">
        <w:rPr>
          <w:rStyle w:val="FootnoteReference"/>
          <w:color w:val="000000" w:themeColor="text1"/>
        </w:rPr>
        <w:footnoteReference w:id="56"/>
      </w:r>
      <w:r w:rsidR="001D5546" w:rsidRPr="002E269C">
        <w:t xml:space="preserve"> While</w:t>
      </w:r>
      <w:r w:rsidR="00A85DBA" w:rsidRPr="002E269C">
        <w:t xml:space="preserve"> there have been some changes in the criminal justice system in </w:t>
      </w:r>
      <w:r w:rsidR="003D4CAB" w:rsidRPr="002E269C">
        <w:t xml:space="preserve">New Zealand, </w:t>
      </w:r>
      <w:r w:rsidR="00A85DBA" w:rsidRPr="002E269C">
        <w:t>South Austra</w:t>
      </w:r>
      <w:r w:rsidR="003D4CAB" w:rsidRPr="002E269C">
        <w:t xml:space="preserve">lia, New South Wales and </w:t>
      </w:r>
      <w:r w:rsidR="00A85DBA" w:rsidRPr="002E269C">
        <w:t>Victoria</w:t>
      </w:r>
      <w:r w:rsidR="003D4CAB" w:rsidRPr="002E269C">
        <w:t xml:space="preserve"> to allow </w:t>
      </w:r>
      <w:r w:rsidR="00756475" w:rsidRPr="002E269C">
        <w:t>for communication intermediaries in criminal proceedings</w:t>
      </w:r>
      <w:r w:rsidR="002B6358" w:rsidRPr="002E269C">
        <w:rPr>
          <w:rStyle w:val="FootnoteReference"/>
          <w:color w:val="000000" w:themeColor="text1"/>
        </w:rPr>
        <w:footnoteReference w:id="57"/>
      </w:r>
      <w:r w:rsidR="004512D0" w:rsidRPr="002E269C">
        <w:t>, there</w:t>
      </w:r>
      <w:r w:rsidR="00A32B97" w:rsidRPr="002E269C">
        <w:t xml:space="preserve"> is further research required into </w:t>
      </w:r>
      <w:r w:rsidR="004512D0" w:rsidRPr="002E269C">
        <w:t xml:space="preserve">reforms </w:t>
      </w:r>
      <w:r w:rsidR="00700B63">
        <w:t>that</w:t>
      </w:r>
      <w:r w:rsidR="00756475" w:rsidRPr="002E269C">
        <w:t xml:space="preserve"> </w:t>
      </w:r>
      <w:r w:rsidR="00A32B97" w:rsidRPr="002E269C">
        <w:t>will allow f</w:t>
      </w:r>
      <w:r w:rsidR="002E3B9C" w:rsidRPr="002E269C">
        <w:t>or universal access</w:t>
      </w:r>
      <w:r w:rsidR="001F34F2" w:rsidRPr="002E269C">
        <w:t xml:space="preserve"> for </w:t>
      </w:r>
      <w:r w:rsidR="00700B63">
        <w:t>people</w:t>
      </w:r>
      <w:r w:rsidR="001F34F2" w:rsidRPr="002E269C">
        <w:t xml:space="preserve"> with </w:t>
      </w:r>
      <w:r w:rsidR="00700B63">
        <w:t>disability</w:t>
      </w:r>
      <w:r w:rsidR="002E3B9C" w:rsidRPr="00DD178E">
        <w:t xml:space="preserve">. </w:t>
      </w:r>
      <w:r w:rsidR="00D920A6">
        <w:t>For instance, the Victorian Law Reform Commission recommended in-court support measures for people who may be at risk of being unfit to stand trial as a way of providing additional support and allowing them to participate in the usual criminal process, rather than being found unfit.</w:t>
      </w:r>
      <w:r w:rsidR="00D920A6">
        <w:rPr>
          <w:rStyle w:val="FootnoteReference"/>
          <w:color w:val="000000" w:themeColor="text1"/>
        </w:rPr>
        <w:footnoteReference w:id="58"/>
      </w:r>
      <w:r w:rsidR="00D920A6">
        <w:t xml:space="preserve"> </w:t>
      </w:r>
      <w:r w:rsidR="000965D7" w:rsidRPr="00DD178E">
        <w:t xml:space="preserve">There is also a need for </w:t>
      </w:r>
      <w:r w:rsidR="007829E2">
        <w:t xml:space="preserve">further </w:t>
      </w:r>
      <w:r w:rsidR="000965D7" w:rsidRPr="00DD178E">
        <w:t xml:space="preserve">research into the residual </w:t>
      </w:r>
      <w:r w:rsidR="00BB227B" w:rsidRPr="00DD178E">
        <w:t>cultural an</w:t>
      </w:r>
      <w:r w:rsidR="009A573B" w:rsidRPr="00DD178E">
        <w:t>d attitudinal barriers to changes in adversarial legal culture and practice</w:t>
      </w:r>
      <w:r w:rsidR="00756475" w:rsidRPr="00DD178E">
        <w:t>.</w:t>
      </w:r>
    </w:p>
    <w:p w14:paraId="2230DDD6" w14:textId="5A797244" w:rsidR="00515A51" w:rsidRDefault="00515A51" w:rsidP="00396190">
      <w:r w:rsidRPr="002E269C">
        <w:t xml:space="preserve">Future research </w:t>
      </w:r>
      <w:r>
        <w:t>could be targeted at developing a</w:t>
      </w:r>
      <w:r w:rsidRPr="002E269C">
        <w:t xml:space="preserve"> larger evidence base across Australia and New Zealand </w:t>
      </w:r>
      <w:r w:rsidR="007A06AA">
        <w:t>of</w:t>
      </w:r>
      <w:r w:rsidRPr="002E269C">
        <w:t xml:space="preserve"> quantitative and qualitative data </w:t>
      </w:r>
      <w:r>
        <w:t>regarding</w:t>
      </w:r>
      <w:r w:rsidRPr="002E269C">
        <w:t xml:space="preserve"> people with disability and their involvement in criminal justice processes and procedures. There is also the opportunity to </w:t>
      </w:r>
      <w:r w:rsidRPr="002E269C">
        <w:lastRenderedPageBreak/>
        <w:t xml:space="preserve">develop research in this area that evaluates new and piloted measures to improve access </w:t>
      </w:r>
      <w:r>
        <w:t>for people with disability</w:t>
      </w:r>
      <w:r w:rsidRPr="002E269C">
        <w:t xml:space="preserve"> in the justice system, including changes to police investigative interviewin</w:t>
      </w:r>
      <w:r w:rsidR="00D77240">
        <w:t>g</w:t>
      </w:r>
      <w:r w:rsidR="00D323CE">
        <w:t>,</w:t>
      </w:r>
      <w:r w:rsidRPr="002E269C">
        <w:rPr>
          <w:rStyle w:val="FootnoteReference"/>
          <w:color w:val="000000" w:themeColor="text1"/>
        </w:rPr>
        <w:footnoteReference w:id="59"/>
      </w:r>
      <w:r w:rsidRPr="002E269C">
        <w:t xml:space="preserve"> the use of communication partners, </w:t>
      </w:r>
      <w:r>
        <w:t xml:space="preserve">support programs, advocacy, </w:t>
      </w:r>
      <w:r w:rsidRPr="002E269C">
        <w:t>pre-trial directions hearings and the pre-recording of evidence</w:t>
      </w:r>
      <w:r w:rsidRPr="002E269C">
        <w:rPr>
          <w:rStyle w:val="FootnoteReference"/>
          <w:color w:val="000000" w:themeColor="text1"/>
        </w:rPr>
        <w:footnoteReference w:id="60"/>
      </w:r>
      <w:r w:rsidR="002325BF">
        <w:t>, as well as measures adopted following recommendations for reform in the grey literature since 2012.</w:t>
      </w:r>
      <w:r w:rsidR="002325BF">
        <w:rPr>
          <w:rStyle w:val="FootnoteReference"/>
          <w:color w:val="000000" w:themeColor="text1"/>
        </w:rPr>
        <w:footnoteReference w:id="61"/>
      </w:r>
    </w:p>
    <w:p w14:paraId="735BAF9E" w14:textId="77777777" w:rsidR="00B55109" w:rsidRPr="002E269C" w:rsidRDefault="00B34C5E" w:rsidP="00396190">
      <w:r w:rsidRPr="002E269C">
        <w:t>P</w:t>
      </w:r>
      <w:r w:rsidR="009E0BD4" w:rsidRPr="002E269C">
        <w:t xml:space="preserve">articipatory </w:t>
      </w:r>
      <w:r w:rsidR="00865379" w:rsidRPr="002E269C">
        <w:t>research</w:t>
      </w:r>
      <w:r w:rsidR="00667799" w:rsidRPr="002E269C">
        <w:t xml:space="preserve"> </w:t>
      </w:r>
      <w:r w:rsidRPr="002E269C">
        <w:t xml:space="preserve">on this theme </w:t>
      </w:r>
      <w:r w:rsidR="007333A6" w:rsidRPr="002E269C">
        <w:t>has largely been</w:t>
      </w:r>
      <w:r w:rsidR="008B2512" w:rsidRPr="002E269C">
        <w:t xml:space="preserve"> limited to </w:t>
      </w:r>
      <w:r w:rsidR="00492EEF" w:rsidRPr="002E269C">
        <w:t xml:space="preserve">research with </w:t>
      </w:r>
      <w:r w:rsidR="00D6775A">
        <w:t>victims with disability</w:t>
      </w:r>
      <w:r w:rsidR="008B2512" w:rsidRPr="002E269C">
        <w:t xml:space="preserve"> within the criminal justice system</w:t>
      </w:r>
      <w:r w:rsidR="00601702" w:rsidRPr="002E269C">
        <w:t>, particularly in the context of violence against women</w:t>
      </w:r>
      <w:r w:rsidR="008B2512" w:rsidRPr="002E269C">
        <w:t>.</w:t>
      </w:r>
      <w:bookmarkStart w:id="30" w:name="_Ref514502477"/>
      <w:r w:rsidR="008B2512" w:rsidRPr="002E269C">
        <w:rPr>
          <w:rStyle w:val="FootnoteReference"/>
          <w:color w:val="000000" w:themeColor="text1"/>
        </w:rPr>
        <w:footnoteReference w:id="62"/>
      </w:r>
      <w:bookmarkEnd w:id="30"/>
      <w:r w:rsidR="002F0DB9" w:rsidRPr="002E269C">
        <w:t xml:space="preserve"> </w:t>
      </w:r>
      <w:r w:rsidR="00B16F38" w:rsidRPr="002E269C">
        <w:t>While there has been some research invol</w:t>
      </w:r>
      <w:r w:rsidR="0063274D" w:rsidRPr="002E269C">
        <w:t xml:space="preserve">ving offenders, this </w:t>
      </w:r>
      <w:r w:rsidR="00C5402B">
        <w:t xml:space="preserve">has been </w:t>
      </w:r>
      <w:r w:rsidR="0063274D" w:rsidRPr="002E269C">
        <w:t xml:space="preserve">restricted to the qualitative input of justice users into research findings rather than using a participatory </w:t>
      </w:r>
      <w:r w:rsidR="003D7FBE" w:rsidRPr="002E269C">
        <w:t>approach</w:t>
      </w:r>
      <w:r w:rsidR="000B4169" w:rsidRPr="002E269C">
        <w:t>.</w:t>
      </w:r>
      <w:r w:rsidR="003E6379" w:rsidRPr="002E269C">
        <w:rPr>
          <w:rStyle w:val="FootnoteReference"/>
          <w:color w:val="000000" w:themeColor="text1"/>
        </w:rPr>
        <w:footnoteReference w:id="63"/>
      </w:r>
    </w:p>
    <w:p w14:paraId="3C4E9163" w14:textId="691389B8" w:rsidR="00C351D2" w:rsidRPr="002E269C" w:rsidRDefault="002B40F5" w:rsidP="0065659F">
      <w:pPr>
        <w:pStyle w:val="Heading3"/>
      </w:pPr>
      <w:bookmarkStart w:id="31" w:name="_Toc514751831"/>
      <w:r>
        <w:t>Theme 3: Inclusion in civil, administrative and tribunal j</w:t>
      </w:r>
      <w:r w:rsidR="00C351D2" w:rsidRPr="002E269C">
        <w:t>u</w:t>
      </w:r>
      <w:r>
        <w:t>stice p</w:t>
      </w:r>
      <w:r w:rsidR="00C351D2" w:rsidRPr="002E269C">
        <w:t>rocesses</w:t>
      </w:r>
      <w:bookmarkEnd w:id="31"/>
    </w:p>
    <w:p w14:paraId="18954C29" w14:textId="07F13313" w:rsidR="00892551" w:rsidRPr="002E269C" w:rsidRDefault="00D323CE" w:rsidP="00396190">
      <w:r>
        <w:t xml:space="preserve">Civil and administrative processes are critically important to a range of disability rights protection areas, including housing, disability benefits, consumer protection, discrimination </w:t>
      </w:r>
      <w:r>
        <w:lastRenderedPageBreak/>
        <w:t>claims, and other areas. However, t</w:t>
      </w:r>
      <w:r w:rsidR="00892551" w:rsidRPr="002E269C">
        <w:t xml:space="preserve">here is </w:t>
      </w:r>
      <w:r w:rsidR="00A52EA5" w:rsidRPr="002E269C">
        <w:t xml:space="preserve">considerably </w:t>
      </w:r>
      <w:r w:rsidR="00892551" w:rsidRPr="002E269C">
        <w:t>less</w:t>
      </w:r>
      <w:r w:rsidR="00A52EA5" w:rsidRPr="002E269C">
        <w:t xml:space="preserve"> Australian</w:t>
      </w:r>
      <w:r w:rsidR="00892551" w:rsidRPr="002E269C">
        <w:t xml:space="preserve"> </w:t>
      </w:r>
      <w:r w:rsidR="008447C8">
        <w:t xml:space="preserve">and New Zealand </w:t>
      </w:r>
      <w:r w:rsidR="00892551" w:rsidRPr="002E269C">
        <w:t>literature addressing t</w:t>
      </w:r>
      <w:r w:rsidR="00515A51">
        <w:t xml:space="preserve">he issue of inclusion in civil and </w:t>
      </w:r>
      <w:r w:rsidR="00892551" w:rsidRPr="002E269C">
        <w:t xml:space="preserve">administrative justice processes for </w:t>
      </w:r>
      <w:r w:rsidR="00FC39AB" w:rsidRPr="002E269C">
        <w:t>people with disability</w:t>
      </w:r>
      <w:r>
        <w:t xml:space="preserve">, </w:t>
      </w:r>
      <w:r w:rsidR="00A52EA5" w:rsidRPr="002E269C">
        <w:t>compared with the literature on criminal justice processes and procedures</w:t>
      </w:r>
      <w:r w:rsidR="0056025D" w:rsidRPr="002E269C">
        <w:t>.</w:t>
      </w:r>
      <w:r w:rsidR="00EE7FAE" w:rsidRPr="002E269C">
        <w:t xml:space="preserve"> </w:t>
      </w:r>
      <w:r w:rsidR="006F165C">
        <w:t xml:space="preserve">This </w:t>
      </w:r>
      <w:r>
        <w:t xml:space="preserve">finding </w:t>
      </w:r>
      <w:r w:rsidR="006F165C">
        <w:t xml:space="preserve">is consistent with the </w:t>
      </w:r>
      <w:r w:rsidR="007347D3" w:rsidRPr="007347D3">
        <w:rPr>
          <w:i/>
        </w:rPr>
        <w:t>Disability Research</w:t>
      </w:r>
      <w:r w:rsidRPr="007347D3">
        <w:rPr>
          <w:i/>
        </w:rPr>
        <w:t xml:space="preserve"> </w:t>
      </w:r>
      <w:r w:rsidR="006F165C" w:rsidRPr="007347D3">
        <w:rPr>
          <w:i/>
        </w:rPr>
        <w:t>Audit</w:t>
      </w:r>
      <w:r w:rsidR="006F165C">
        <w:t xml:space="preserve">, which </w:t>
      </w:r>
      <w:r>
        <w:t>acknowledged</w:t>
      </w:r>
      <w:r w:rsidR="006F165C">
        <w:t xml:space="preserve"> that t</w:t>
      </w:r>
      <w:r w:rsidR="0056025D" w:rsidRPr="002E269C">
        <w:t xml:space="preserve">here </w:t>
      </w:r>
      <w:r w:rsidR="00FE1E9C" w:rsidRPr="002E269C">
        <w:t>continue to be gap</w:t>
      </w:r>
      <w:r w:rsidR="00EE7FAE" w:rsidRPr="002E269C">
        <w:t>s</w:t>
      </w:r>
      <w:r w:rsidR="00FE1E9C" w:rsidRPr="002E269C">
        <w:t xml:space="preserve"> in</w:t>
      </w:r>
      <w:r w:rsidR="00721840" w:rsidRPr="002E269C">
        <w:t xml:space="preserve"> research</w:t>
      </w:r>
      <w:r w:rsidR="0056025D" w:rsidRPr="002E269C">
        <w:t xml:space="preserve"> into</w:t>
      </w:r>
      <w:r w:rsidR="00892551" w:rsidRPr="002E269C">
        <w:t xml:space="preserve"> inclusive and accessible communities, rights protecti</w:t>
      </w:r>
      <w:r w:rsidR="005922B6" w:rsidRPr="002E269C">
        <w:t>on</w:t>
      </w:r>
      <w:r w:rsidR="0056025D" w:rsidRPr="002E269C">
        <w:t>s</w:t>
      </w:r>
      <w:r w:rsidR="005922B6" w:rsidRPr="002E269C">
        <w:t xml:space="preserve"> and justice and legislation</w:t>
      </w:r>
      <w:r>
        <w:t>.</w:t>
      </w:r>
    </w:p>
    <w:p w14:paraId="77441316" w14:textId="7C721678" w:rsidR="007B1475" w:rsidRDefault="00D323CE" w:rsidP="00396190">
      <w:r>
        <w:t>Nonetheless, some literature has emerged that addresses these civil, administrative and tribunal justice processes. O</w:t>
      </w:r>
      <w:r w:rsidR="006F165C">
        <w:t>ne study in New Zealand has addressed</w:t>
      </w:r>
      <w:r w:rsidR="00640130" w:rsidRPr="002E269C">
        <w:t xml:space="preserve"> improving access to justice in personal injury matters</w:t>
      </w:r>
      <w:r w:rsidR="00B260D4" w:rsidRPr="002E269C">
        <w:t xml:space="preserve"> </w:t>
      </w:r>
      <w:r w:rsidR="00F51772" w:rsidRPr="002E269C">
        <w:t>through a</w:t>
      </w:r>
      <w:r w:rsidR="00640130" w:rsidRPr="002E269C">
        <w:t xml:space="preserve"> rights</w:t>
      </w:r>
      <w:r w:rsidR="00EE7FAE" w:rsidRPr="002E269C">
        <w:t>-</w:t>
      </w:r>
      <w:r w:rsidR="00640130" w:rsidRPr="002E269C">
        <w:t>based ‘multi-factorial’ approach in relation to motor vehicle claims.</w:t>
      </w:r>
      <w:r w:rsidR="00640130" w:rsidRPr="002E269C">
        <w:rPr>
          <w:rStyle w:val="FootnoteReference"/>
          <w:color w:val="000000" w:themeColor="text1"/>
        </w:rPr>
        <w:t xml:space="preserve"> </w:t>
      </w:r>
      <w:r w:rsidR="00640130" w:rsidRPr="002E269C">
        <w:rPr>
          <w:rStyle w:val="FootnoteReference"/>
          <w:color w:val="000000" w:themeColor="text1"/>
        </w:rPr>
        <w:footnoteReference w:id="64"/>
      </w:r>
      <w:r w:rsidR="00640130" w:rsidRPr="002E269C">
        <w:t xml:space="preserve"> </w:t>
      </w:r>
      <w:r w:rsidR="006F165C">
        <w:t>It</w:t>
      </w:r>
      <w:r w:rsidR="00640130" w:rsidRPr="002E269C">
        <w:t xml:space="preserve"> argue</w:t>
      </w:r>
      <w:r w:rsidR="006F165C">
        <w:t>s</w:t>
      </w:r>
      <w:r w:rsidR="00640130" w:rsidRPr="002E269C">
        <w:t xml:space="preserve"> that there should be </w:t>
      </w:r>
      <w:r w:rsidR="002812CD" w:rsidRPr="002E269C">
        <w:t xml:space="preserve">equal recognition of people with </w:t>
      </w:r>
      <w:r w:rsidR="00700B63">
        <w:t>disability</w:t>
      </w:r>
      <w:r w:rsidR="002812CD" w:rsidRPr="002E269C">
        <w:t xml:space="preserve"> in personal injury claims, greater </w:t>
      </w:r>
      <w:r w:rsidR="00640130" w:rsidRPr="002E269C">
        <w:t xml:space="preserve">participation </w:t>
      </w:r>
      <w:r w:rsidR="002812CD" w:rsidRPr="002E269C">
        <w:t xml:space="preserve">by claimants in the </w:t>
      </w:r>
      <w:r w:rsidR="00640130" w:rsidRPr="002E269C">
        <w:t>resolution of th</w:t>
      </w:r>
      <w:r w:rsidR="008536AD" w:rsidRPr="002E269C">
        <w:t xml:space="preserve">eir claim, a </w:t>
      </w:r>
      <w:r w:rsidR="00640130" w:rsidRPr="002E269C">
        <w:t>role for DPOs</w:t>
      </w:r>
      <w:r w:rsidR="008536AD" w:rsidRPr="002E269C">
        <w:t xml:space="preserve"> in the process and </w:t>
      </w:r>
      <w:r w:rsidR="00640130" w:rsidRPr="002E269C">
        <w:t>access to non-legal remedies</w:t>
      </w:r>
      <w:r w:rsidR="00A50644" w:rsidRPr="002E269C">
        <w:t>.</w:t>
      </w:r>
      <w:r w:rsidR="00F20642" w:rsidRPr="002E269C">
        <w:rPr>
          <w:rStyle w:val="FootnoteReference"/>
          <w:color w:val="000000" w:themeColor="text1"/>
        </w:rPr>
        <w:footnoteReference w:id="65"/>
      </w:r>
      <w:r w:rsidR="00A50644" w:rsidRPr="002E269C">
        <w:t xml:space="preserve"> </w:t>
      </w:r>
      <w:r w:rsidR="007B1475">
        <w:t>Another study examining disciplinary proceedings in the New Zealand Lawyers and Conveyancers Disciplinary Tribunal (NZLCDT) involving lawyers with physical</w:t>
      </w:r>
      <w:r w:rsidR="00D90EBB">
        <w:t xml:space="preserve"> or mental impairments </w:t>
      </w:r>
      <w:r>
        <w:t>has advocated</w:t>
      </w:r>
      <w:r w:rsidR="00D90EBB">
        <w:t xml:space="preserve"> for</w:t>
      </w:r>
      <w:r w:rsidR="007B1475">
        <w:t xml:space="preserve"> a therapeutic and health-promoting approach to dealing with such disciplinary matters.</w:t>
      </w:r>
      <w:r w:rsidR="009B3A82">
        <w:rPr>
          <w:rStyle w:val="FootnoteReference"/>
        </w:rPr>
        <w:footnoteReference w:id="66"/>
      </w:r>
    </w:p>
    <w:p w14:paraId="6D43882F" w14:textId="738B6AA6" w:rsidR="00903A3E" w:rsidRPr="002E269C" w:rsidRDefault="00D3197B" w:rsidP="00396190">
      <w:r w:rsidRPr="002E269C">
        <w:t>There remain</w:t>
      </w:r>
      <w:r w:rsidR="00EF7243" w:rsidRPr="002E269C">
        <w:t xml:space="preserve"> barriers for people </w:t>
      </w:r>
      <w:r w:rsidR="007347D3">
        <w:t xml:space="preserve">with </w:t>
      </w:r>
      <w:r w:rsidR="001D3469">
        <w:t>disability</w:t>
      </w:r>
      <w:r w:rsidR="007347D3">
        <w:t xml:space="preserve"> </w:t>
      </w:r>
      <w:r w:rsidR="00EF7243" w:rsidRPr="002E269C">
        <w:t xml:space="preserve">to understand and advance their legal rights, including under </w:t>
      </w:r>
      <w:r w:rsidR="00892551" w:rsidRPr="002E269C">
        <w:t>discrimination laws.</w:t>
      </w:r>
      <w:r w:rsidR="00892551" w:rsidRPr="002E269C">
        <w:rPr>
          <w:rStyle w:val="FootnoteReference"/>
          <w:color w:val="000000" w:themeColor="text1"/>
        </w:rPr>
        <w:footnoteReference w:id="67"/>
      </w:r>
      <w:r w:rsidR="00892551" w:rsidRPr="002E269C">
        <w:t xml:space="preserve"> </w:t>
      </w:r>
      <w:r w:rsidR="006F165C">
        <w:t xml:space="preserve">In Australia, a pilot study was </w:t>
      </w:r>
      <w:r w:rsidR="00330428" w:rsidRPr="002E269C">
        <w:t>conducted in 2016 to investigate barriers to access to consumer transactions for people with decision-making impair</w:t>
      </w:r>
      <w:r w:rsidR="000903D7" w:rsidRPr="002E269C">
        <w:t xml:space="preserve">ment and to canvass options for improving support for accessing services and </w:t>
      </w:r>
      <w:r w:rsidR="00E97382" w:rsidRPr="002E269C">
        <w:t>exercising their consumer rights</w:t>
      </w:r>
      <w:r w:rsidR="00822932" w:rsidRPr="002E269C">
        <w:t xml:space="preserve"> in a manner consistent with Article 12 of the CRPD</w:t>
      </w:r>
      <w:r w:rsidR="00E97382" w:rsidRPr="002E269C">
        <w:t>.</w:t>
      </w:r>
      <w:r w:rsidR="00BF7021">
        <w:rPr>
          <w:rStyle w:val="FootnoteReference"/>
        </w:rPr>
        <w:footnoteReference w:id="68"/>
      </w:r>
    </w:p>
    <w:p w14:paraId="065B748B" w14:textId="77777777" w:rsidR="00515A51" w:rsidRDefault="002C4012" w:rsidP="00396190">
      <w:r w:rsidRPr="002E269C">
        <w:t>There</w:t>
      </w:r>
      <w:r w:rsidR="00D514E2" w:rsidRPr="002E269C">
        <w:t xml:space="preserve"> is </w:t>
      </w:r>
      <w:r w:rsidR="006F165C">
        <w:t>an ongoing</w:t>
      </w:r>
      <w:r w:rsidR="00D514E2" w:rsidRPr="002E269C">
        <w:t xml:space="preserve"> need for</w:t>
      </w:r>
      <w:r w:rsidR="000A4264" w:rsidRPr="002E269C">
        <w:t xml:space="preserve"> research about</w:t>
      </w:r>
      <w:r w:rsidR="00D514E2" w:rsidRPr="002E269C">
        <w:t xml:space="preserve"> </w:t>
      </w:r>
      <w:r w:rsidR="00C4362B" w:rsidRPr="002E269C">
        <w:t xml:space="preserve">access to </w:t>
      </w:r>
      <w:r w:rsidR="009614B0" w:rsidRPr="002E269C">
        <w:t xml:space="preserve">justice </w:t>
      </w:r>
      <w:r w:rsidR="00515A51">
        <w:t xml:space="preserve">in the broader civil and </w:t>
      </w:r>
      <w:r w:rsidR="00A12B9A" w:rsidRPr="002E269C">
        <w:t>adminis</w:t>
      </w:r>
      <w:r w:rsidR="006F165C">
        <w:t>trative processes.</w:t>
      </w:r>
      <w:r w:rsidR="00A12B9A" w:rsidRPr="002E269C">
        <w:t xml:space="preserve"> </w:t>
      </w:r>
      <w:r w:rsidR="00CE0A91" w:rsidRPr="002E269C">
        <w:t>For instance, research addressing</w:t>
      </w:r>
      <w:r w:rsidR="00A12B9A" w:rsidRPr="002E269C">
        <w:t xml:space="preserve"> the accessibility of </w:t>
      </w:r>
      <w:r w:rsidR="00151295" w:rsidRPr="002E269C">
        <w:t>complaint</w:t>
      </w:r>
      <w:r w:rsidR="00707BA9" w:rsidRPr="002E269C">
        <w:t xml:space="preserve"> and appeal</w:t>
      </w:r>
      <w:r w:rsidR="00151295" w:rsidRPr="002E269C">
        <w:t xml:space="preserve"> processes</w:t>
      </w:r>
      <w:r w:rsidR="00707BA9" w:rsidRPr="002E269C">
        <w:t xml:space="preserve"> and</w:t>
      </w:r>
      <w:r w:rsidR="00151295" w:rsidRPr="002E269C">
        <w:t xml:space="preserve"> informal and </w:t>
      </w:r>
      <w:r w:rsidR="00DE7412" w:rsidRPr="002E269C">
        <w:t>alternative</w:t>
      </w:r>
      <w:r w:rsidR="000A4264" w:rsidRPr="002E269C">
        <w:t xml:space="preserve"> </w:t>
      </w:r>
      <w:r w:rsidR="00C4362B" w:rsidRPr="002E269C">
        <w:t>dispute resolution processes</w:t>
      </w:r>
      <w:r w:rsidR="00151295" w:rsidRPr="002E269C">
        <w:t xml:space="preserve"> </w:t>
      </w:r>
      <w:r w:rsidR="006F165C">
        <w:t>would be beneficial</w:t>
      </w:r>
      <w:r w:rsidR="00C4362B" w:rsidRPr="002E269C">
        <w:t>.</w:t>
      </w:r>
      <w:r w:rsidR="000A47B2" w:rsidRPr="002E269C">
        <w:t xml:space="preserve"> </w:t>
      </w:r>
      <w:r w:rsidR="000C79C1" w:rsidRPr="002E269C">
        <w:t>T</w:t>
      </w:r>
      <w:r w:rsidR="00B557A3" w:rsidRPr="002E269C">
        <w:t>here is a</w:t>
      </w:r>
      <w:r w:rsidR="000C79C1" w:rsidRPr="002E269C">
        <w:t xml:space="preserve"> further</w:t>
      </w:r>
      <w:r w:rsidR="00B557A3" w:rsidRPr="002E269C">
        <w:t xml:space="preserve"> need to develop</w:t>
      </w:r>
      <w:r w:rsidR="00B478E9" w:rsidRPr="002E269C">
        <w:t xml:space="preserve"> </w:t>
      </w:r>
      <w:r w:rsidR="00892551" w:rsidRPr="002E269C">
        <w:t xml:space="preserve">accessible information about rights and </w:t>
      </w:r>
      <w:r w:rsidR="007B7AA5" w:rsidRPr="002E269C">
        <w:t>remedies</w:t>
      </w:r>
      <w:r w:rsidR="004D65A8" w:rsidRPr="002E269C">
        <w:t xml:space="preserve"> for people with disability</w:t>
      </w:r>
      <w:r w:rsidR="006F165C">
        <w:t xml:space="preserve"> in the civil justice context</w:t>
      </w:r>
      <w:r w:rsidR="00D4282B" w:rsidRPr="002E269C">
        <w:t xml:space="preserve">. </w:t>
      </w:r>
      <w:r w:rsidR="007B7AA5" w:rsidRPr="002E269C">
        <w:t xml:space="preserve"> </w:t>
      </w:r>
    </w:p>
    <w:p w14:paraId="0026D243" w14:textId="0C03F5E0" w:rsidR="00061B6C" w:rsidRPr="002E269C" w:rsidRDefault="00515A51" w:rsidP="00396190">
      <w:r>
        <w:t>Aspects of participatory research were used in the Australian pilot study mentioned above</w:t>
      </w:r>
      <w:r w:rsidR="0059157E">
        <w:t>,</w:t>
      </w:r>
      <w:r>
        <w:t xml:space="preserve"> including in the leadership, design, and dissemination of the project</w:t>
      </w:r>
      <w:r w:rsidR="007B7AA5" w:rsidRPr="002E269C">
        <w:t>.</w:t>
      </w:r>
      <w:r w:rsidR="00464D03">
        <w:rPr>
          <w:rStyle w:val="FootnoteReference"/>
        </w:rPr>
        <w:footnoteReference w:id="69"/>
      </w:r>
    </w:p>
    <w:p w14:paraId="45EB06A7" w14:textId="2DF71ACB" w:rsidR="00C351D2" w:rsidRPr="002E269C" w:rsidRDefault="00C351D2" w:rsidP="0065659F">
      <w:pPr>
        <w:pStyle w:val="Heading3"/>
      </w:pPr>
      <w:bookmarkStart w:id="32" w:name="_Toc514751832"/>
      <w:r w:rsidRPr="002E269C">
        <w:lastRenderedPageBreak/>
        <w:t>Theme 4</w:t>
      </w:r>
      <w:r w:rsidR="005D7016">
        <w:t>: Mental h</w:t>
      </w:r>
      <w:r w:rsidRPr="002E269C">
        <w:t>ealth</w:t>
      </w:r>
      <w:r w:rsidR="005D7016">
        <w:t xml:space="preserve"> and justice p</w:t>
      </w:r>
      <w:r w:rsidRPr="002E269C">
        <w:t>rocesses</w:t>
      </w:r>
      <w:bookmarkEnd w:id="32"/>
    </w:p>
    <w:p w14:paraId="7C124C22" w14:textId="6120379B" w:rsidR="00692110" w:rsidRPr="002E269C" w:rsidRDefault="000359CB" w:rsidP="00396190">
      <w:r w:rsidRPr="002E269C">
        <w:t>While</w:t>
      </w:r>
      <w:r w:rsidR="008D6628" w:rsidRPr="002E269C">
        <w:t xml:space="preserve"> mental health and justice processes </w:t>
      </w:r>
      <w:r w:rsidRPr="002E269C">
        <w:t>were not</w:t>
      </w:r>
      <w:r w:rsidR="008D6628" w:rsidRPr="002E269C">
        <w:t xml:space="preserve"> specifically addressed in the </w:t>
      </w:r>
      <w:r w:rsidR="00C20620" w:rsidRPr="00E32329">
        <w:rPr>
          <w:i/>
        </w:rPr>
        <w:t xml:space="preserve">Disability Research </w:t>
      </w:r>
      <w:r w:rsidR="00CB18BE" w:rsidRPr="00E32329">
        <w:rPr>
          <w:i/>
        </w:rPr>
        <w:t>Audit</w:t>
      </w:r>
      <w:r w:rsidR="00CB18BE" w:rsidRPr="002E269C">
        <w:t xml:space="preserve">, </w:t>
      </w:r>
      <w:r w:rsidR="008B4488" w:rsidRPr="002E269C">
        <w:t xml:space="preserve">research on </w:t>
      </w:r>
      <w:r w:rsidR="008D6628" w:rsidRPr="002E269C">
        <w:t xml:space="preserve">mental health and </w:t>
      </w:r>
      <w:r w:rsidR="00CB18BE" w:rsidRPr="002E269C">
        <w:t xml:space="preserve">access to justice </w:t>
      </w:r>
      <w:r w:rsidR="008B4488" w:rsidRPr="002E269C">
        <w:t>is increasingly recognised as</w:t>
      </w:r>
      <w:r w:rsidR="0062787F" w:rsidRPr="002E269C">
        <w:t xml:space="preserve"> </w:t>
      </w:r>
      <w:r w:rsidR="008B4488" w:rsidRPr="002E269C">
        <w:t>part of the</w:t>
      </w:r>
      <w:r w:rsidR="008D6628" w:rsidRPr="002E269C">
        <w:t xml:space="preserve"> disability </w:t>
      </w:r>
      <w:r w:rsidR="00B51DAC" w:rsidRPr="002E269C">
        <w:t>literature</w:t>
      </w:r>
      <w:r w:rsidR="008D6628" w:rsidRPr="002E269C">
        <w:t>.</w:t>
      </w:r>
      <w:r w:rsidR="00EB2A0D">
        <w:rPr>
          <w:rStyle w:val="FootnoteReference"/>
        </w:rPr>
        <w:footnoteReference w:id="70"/>
      </w:r>
      <w:r w:rsidR="003F3D38" w:rsidRPr="002E269C">
        <w:t xml:space="preserve"> </w:t>
      </w:r>
      <w:r w:rsidR="008D6628" w:rsidRPr="002E269C">
        <w:t xml:space="preserve">A significant body of work has been advanced </w:t>
      </w:r>
      <w:r w:rsidR="00515A51">
        <w:t xml:space="preserve">in Australia </w:t>
      </w:r>
      <w:r w:rsidR="008D6628" w:rsidRPr="002E269C">
        <w:t>in relation to</w:t>
      </w:r>
      <w:r w:rsidR="00A07F1C" w:rsidRPr="002E269C">
        <w:t xml:space="preserve"> the use of</w:t>
      </w:r>
      <w:r w:rsidR="008D6628" w:rsidRPr="002E269C">
        <w:t xml:space="preserve"> seclusion and restraint</w:t>
      </w:r>
      <w:r w:rsidR="006A0480" w:rsidRPr="002E269C">
        <w:t xml:space="preserve"> on</w:t>
      </w:r>
      <w:r w:rsidR="00515A51">
        <w:t xml:space="preserve"> </w:t>
      </w:r>
      <w:r w:rsidR="00700B63">
        <w:t>people</w:t>
      </w:r>
      <w:r w:rsidR="00515A51">
        <w:t xml:space="preserve"> with disability</w:t>
      </w:r>
      <w:r w:rsidR="008D6628" w:rsidRPr="002E269C">
        <w:t xml:space="preserve"> in mental health</w:t>
      </w:r>
      <w:r w:rsidR="008C627E" w:rsidRPr="002E269C">
        <w:t xml:space="preserve"> facilities</w:t>
      </w:r>
      <w:r w:rsidR="00411967" w:rsidRPr="002E269C">
        <w:t xml:space="preserve"> and other settings</w:t>
      </w:r>
      <w:r w:rsidR="005F11FB">
        <w:t>. This work</w:t>
      </w:r>
      <w:r w:rsidR="00197B86" w:rsidRPr="002E269C">
        <w:t xml:space="preserve"> has sought to incorporate the perspectives of</w:t>
      </w:r>
      <w:r w:rsidR="00411967" w:rsidRPr="002E269C">
        <w:t xml:space="preserve"> the </w:t>
      </w:r>
      <w:r w:rsidR="005F11FB">
        <w:t>people subjected</w:t>
      </w:r>
      <w:r w:rsidR="00411967" w:rsidRPr="002E269C">
        <w:t xml:space="preserve"> </w:t>
      </w:r>
      <w:r w:rsidR="0031625A">
        <w:t>to</w:t>
      </w:r>
      <w:r w:rsidR="00411967" w:rsidRPr="002E269C">
        <w:t xml:space="preserve"> these practices</w:t>
      </w:r>
      <w:r w:rsidR="00197B86" w:rsidRPr="002E269C">
        <w:t xml:space="preserve"> and </w:t>
      </w:r>
      <w:r w:rsidR="0059157E">
        <w:t xml:space="preserve">to </w:t>
      </w:r>
      <w:r w:rsidR="009126CC" w:rsidRPr="002E269C">
        <w:t>develop rights-based</w:t>
      </w:r>
      <w:r w:rsidR="006B4408" w:rsidRPr="002E269C">
        <w:t xml:space="preserve"> legal</w:t>
      </w:r>
      <w:r w:rsidR="006010BE" w:rsidRPr="002E269C">
        <w:t xml:space="preserve"> and policy</w:t>
      </w:r>
      <w:r w:rsidR="009126CC" w:rsidRPr="002E269C">
        <w:t xml:space="preserve"> responses to them</w:t>
      </w:r>
      <w:r w:rsidR="008D6628" w:rsidRPr="002E269C">
        <w:t>.</w:t>
      </w:r>
      <w:bookmarkStart w:id="33" w:name="_Ref514499537"/>
      <w:r w:rsidR="008D6628" w:rsidRPr="002E269C">
        <w:rPr>
          <w:rStyle w:val="FootnoteReference"/>
          <w:color w:val="000000" w:themeColor="text1"/>
        </w:rPr>
        <w:footnoteReference w:id="71"/>
      </w:r>
      <w:bookmarkEnd w:id="33"/>
      <w:r w:rsidR="008D6628" w:rsidRPr="002E269C">
        <w:t xml:space="preserve"> There is </w:t>
      </w:r>
      <w:r w:rsidR="0004764D" w:rsidRPr="002E269C">
        <w:t>also</w:t>
      </w:r>
      <w:r w:rsidR="00F54189" w:rsidRPr="002E269C">
        <w:t xml:space="preserve"> emerging literature</w:t>
      </w:r>
      <w:r w:rsidR="008D6628" w:rsidRPr="002E269C">
        <w:t xml:space="preserve"> </w:t>
      </w:r>
      <w:r w:rsidR="003570AE" w:rsidRPr="002E269C">
        <w:t xml:space="preserve">critiquing the </w:t>
      </w:r>
      <w:r w:rsidR="008D6628" w:rsidRPr="002E269C">
        <w:t xml:space="preserve">unfitness to stand trial laws for </w:t>
      </w:r>
      <w:r w:rsidR="00700B63">
        <w:t>people with cognitive disability</w:t>
      </w:r>
      <w:r w:rsidR="003570AE" w:rsidRPr="002E269C">
        <w:t xml:space="preserve"> in Australia</w:t>
      </w:r>
      <w:r w:rsidR="00CE3D08" w:rsidRPr="002E269C">
        <w:t>, and proposing a model of support for people at risk of being found unfit to plead,</w:t>
      </w:r>
      <w:r w:rsidR="002561BC" w:rsidRPr="002E269C">
        <w:t xml:space="preserve"> </w:t>
      </w:r>
      <w:r w:rsidR="00A63DA7" w:rsidRPr="002E269C">
        <w:t xml:space="preserve">using a human </w:t>
      </w:r>
      <w:r w:rsidR="00F54189" w:rsidRPr="002E269C">
        <w:t>rights framework</w:t>
      </w:r>
      <w:r w:rsidR="008D6628" w:rsidRPr="002E269C">
        <w:t>.</w:t>
      </w:r>
      <w:bookmarkStart w:id="34" w:name="_Ref514500876"/>
      <w:r w:rsidR="008D6628" w:rsidRPr="002E269C">
        <w:rPr>
          <w:rStyle w:val="FootnoteReference"/>
          <w:color w:val="000000" w:themeColor="text1"/>
        </w:rPr>
        <w:footnoteReference w:id="72"/>
      </w:r>
      <w:bookmarkEnd w:id="34"/>
      <w:r w:rsidR="008D6628" w:rsidRPr="002E269C">
        <w:t xml:space="preserve"> </w:t>
      </w:r>
      <w:r w:rsidR="0004450D" w:rsidRPr="0004450D">
        <w:t xml:space="preserve"> </w:t>
      </w:r>
      <w:r w:rsidR="0004450D">
        <w:t>This literature notes that mental impairment and unfitness laws in Victoria and elsewhere are predicated on the notion that the person will ‘recover’ from the underlying mental condition and if so, may be ultimately released from detention or supervision.</w:t>
      </w:r>
      <w:r w:rsidR="0004450D">
        <w:rPr>
          <w:rStyle w:val="FootnoteReference"/>
        </w:rPr>
        <w:footnoteReference w:id="73"/>
      </w:r>
      <w:r w:rsidR="0004450D">
        <w:t xml:space="preserve"> However</w:t>
      </w:r>
      <w:r w:rsidR="00DD4CED">
        <w:t>,</w:t>
      </w:r>
      <w:r w:rsidR="0004450D">
        <w:t xml:space="preserve"> this model</w:t>
      </w:r>
      <w:r w:rsidR="00761143">
        <w:t xml:space="preserve"> of staggered release</w:t>
      </w:r>
      <w:r w:rsidR="0004450D">
        <w:t xml:space="preserve"> does not fit with the </w:t>
      </w:r>
      <w:r w:rsidR="001D69B9">
        <w:t>modern</w:t>
      </w:r>
      <w:r w:rsidR="0004450D">
        <w:t xml:space="preserve"> approaches to </w:t>
      </w:r>
      <w:r w:rsidR="00761143">
        <w:t xml:space="preserve">disability and </w:t>
      </w:r>
      <w:r w:rsidR="0004450D">
        <w:t xml:space="preserve"> </w:t>
      </w:r>
      <w:r w:rsidR="00761143">
        <w:t>there remains a</w:t>
      </w:r>
      <w:r w:rsidR="001D69B9">
        <w:t xml:space="preserve"> </w:t>
      </w:r>
      <w:r w:rsidR="0004450D">
        <w:t xml:space="preserve">lack of a clear </w:t>
      </w:r>
      <w:r w:rsidR="00761143">
        <w:t xml:space="preserve">treatment </w:t>
      </w:r>
      <w:r w:rsidR="0004450D">
        <w:t>pathway for recovery.</w:t>
      </w:r>
      <w:r w:rsidR="0004450D">
        <w:rPr>
          <w:rStyle w:val="FootnoteReference"/>
        </w:rPr>
        <w:footnoteReference w:id="74"/>
      </w:r>
    </w:p>
    <w:p w14:paraId="413737E7" w14:textId="3F490922" w:rsidR="008D6628" w:rsidRDefault="00C12621" w:rsidP="00396190">
      <w:r w:rsidRPr="002E269C">
        <w:t xml:space="preserve">One </w:t>
      </w:r>
      <w:r w:rsidR="00C318B4" w:rsidRPr="002E269C">
        <w:t>gap</w:t>
      </w:r>
      <w:r w:rsidRPr="002E269C">
        <w:t xml:space="preserve"> in the literature relates to </w:t>
      </w:r>
      <w:r w:rsidR="001826D8" w:rsidRPr="002E269C">
        <w:t>the</w:t>
      </w:r>
      <w:r w:rsidR="00D74AF3" w:rsidRPr="002E269C">
        <w:t xml:space="preserve"> efficacy of</w:t>
      </w:r>
      <w:r w:rsidR="00DD4CED">
        <w:t xml:space="preserve"> mental h</w:t>
      </w:r>
      <w:r w:rsidR="008D6628" w:rsidRPr="002E269C">
        <w:t>e</w:t>
      </w:r>
      <w:r w:rsidR="00DD4CED">
        <w:t>alth c</w:t>
      </w:r>
      <w:r w:rsidR="00D74AF3" w:rsidRPr="002E269C">
        <w:t xml:space="preserve">ourt </w:t>
      </w:r>
      <w:r w:rsidR="00DD4CED">
        <w:t>l</w:t>
      </w:r>
      <w:r w:rsidR="00F4449F" w:rsidRPr="002E269C">
        <w:t xml:space="preserve">iaison service models across </w:t>
      </w:r>
      <w:r w:rsidR="000F3D85">
        <w:t>Australian</w:t>
      </w:r>
      <w:r w:rsidR="000F3D85" w:rsidRPr="002E269C">
        <w:t xml:space="preserve"> </w:t>
      </w:r>
      <w:r w:rsidR="00F4449F" w:rsidRPr="002E269C">
        <w:t>jurisdictions</w:t>
      </w:r>
      <w:r w:rsidRPr="002E269C">
        <w:t>, despite an over-representation of people with psychosocial disability in the criminal justice system</w:t>
      </w:r>
      <w:r w:rsidR="00F4449F" w:rsidRPr="002E269C">
        <w:t>.</w:t>
      </w:r>
      <w:r w:rsidR="004D17D9">
        <w:rPr>
          <w:rStyle w:val="FootnoteReference"/>
          <w:color w:val="000000" w:themeColor="text1"/>
        </w:rPr>
        <w:footnoteReference w:id="75"/>
      </w:r>
      <w:r w:rsidR="00F4449F" w:rsidRPr="002E269C">
        <w:t xml:space="preserve"> </w:t>
      </w:r>
      <w:r w:rsidR="005F11FB">
        <w:t>The need for</w:t>
      </w:r>
      <w:r w:rsidR="00D45BC8" w:rsidRPr="002E269C">
        <w:t xml:space="preserve"> clear national guidelines</w:t>
      </w:r>
      <w:r w:rsidR="005F11FB">
        <w:t xml:space="preserve"> has </w:t>
      </w:r>
      <w:r w:rsidR="0059157E">
        <w:t xml:space="preserve">subsequently </w:t>
      </w:r>
      <w:r w:rsidR="005F11FB">
        <w:t>emerged. Currently, s</w:t>
      </w:r>
      <w:r w:rsidR="00D45BC8" w:rsidRPr="002E269C">
        <w:t xml:space="preserve">ervices have formed independently of each other, and while </w:t>
      </w:r>
      <w:r w:rsidR="00E5555D">
        <w:t xml:space="preserve">these </w:t>
      </w:r>
      <w:r w:rsidR="00D45BC8" w:rsidRPr="002E269C">
        <w:t>services have si</w:t>
      </w:r>
      <w:r w:rsidR="008E51AA" w:rsidRPr="002E269C">
        <w:t xml:space="preserve">milar aims, the </w:t>
      </w:r>
      <w:r w:rsidR="00D45BC8" w:rsidRPr="002E269C">
        <w:t xml:space="preserve">variation </w:t>
      </w:r>
      <w:r w:rsidR="008E51AA" w:rsidRPr="002E269C">
        <w:t>in</w:t>
      </w:r>
      <w:r w:rsidR="00D45BC8" w:rsidRPr="002E269C">
        <w:t xml:space="preserve"> </w:t>
      </w:r>
      <w:r w:rsidR="008E51AA" w:rsidRPr="002E269C">
        <w:t>resources</w:t>
      </w:r>
      <w:r w:rsidR="00D45BC8" w:rsidRPr="002E269C">
        <w:t>, clinical</w:t>
      </w:r>
      <w:r w:rsidR="008E51AA" w:rsidRPr="002E269C">
        <w:t xml:space="preserve"> processes, </w:t>
      </w:r>
      <w:r w:rsidR="008E51AA" w:rsidRPr="002E269C">
        <w:lastRenderedPageBreak/>
        <w:t>geographic coverage</w:t>
      </w:r>
      <w:r w:rsidR="00D45BC8" w:rsidRPr="002E269C">
        <w:t xml:space="preserve"> and their abil</w:t>
      </w:r>
      <w:r w:rsidR="008E51AA" w:rsidRPr="002E269C">
        <w:t>ity to provide equitable access varies.</w:t>
      </w:r>
      <w:r w:rsidR="001758A4">
        <w:rPr>
          <w:rStyle w:val="FootnoteReference"/>
        </w:rPr>
        <w:footnoteReference w:id="76"/>
      </w:r>
      <w:r w:rsidR="008E51AA" w:rsidRPr="002E269C">
        <w:t xml:space="preserve"> </w:t>
      </w:r>
      <w:r w:rsidR="00C82858" w:rsidRPr="002E269C">
        <w:t>There are also issues attributed to</w:t>
      </w:r>
      <w:r w:rsidR="008D6628" w:rsidRPr="002E269C">
        <w:t xml:space="preserve"> broken referrals between allied health services and the legal system.</w:t>
      </w:r>
      <w:r w:rsidR="00CC0EAD">
        <w:rPr>
          <w:rStyle w:val="FootnoteReference"/>
          <w:color w:val="000000" w:themeColor="text1"/>
        </w:rPr>
        <w:footnoteReference w:id="77"/>
      </w:r>
      <w:r w:rsidR="00F53716" w:rsidRPr="002E269C">
        <w:t xml:space="preserve"> </w:t>
      </w:r>
    </w:p>
    <w:p w14:paraId="061044C9" w14:textId="76469F12" w:rsidR="006B443D" w:rsidRDefault="00171405" w:rsidP="00396190">
      <w:r w:rsidRPr="006B443D">
        <w:rPr>
          <w:color w:val="000000" w:themeColor="text1"/>
        </w:rPr>
        <w:t xml:space="preserve">There is </w:t>
      </w:r>
      <w:r>
        <w:t>some existing literature from New Zealand on mental health and justice processes, particularly in relation to the criminal justice system and community treatment orders</w:t>
      </w:r>
      <w:r w:rsidR="00E76AD9">
        <w:t xml:space="preserve"> (CTOs)</w:t>
      </w:r>
      <w:bookmarkStart w:id="35" w:name="_Ref514489054"/>
      <w:r w:rsidR="00F13EB1">
        <w:rPr>
          <w:rStyle w:val="FootnoteReference"/>
        </w:rPr>
        <w:footnoteReference w:id="78"/>
      </w:r>
      <w:bookmarkEnd w:id="35"/>
      <w:r w:rsidR="00944C13">
        <w:t xml:space="preserve"> and the role of the Mental Health Review Tribunal.</w:t>
      </w:r>
      <w:bookmarkStart w:id="36" w:name="_Ref514489037"/>
      <w:r w:rsidR="00944C13">
        <w:rPr>
          <w:rStyle w:val="FootnoteReference"/>
        </w:rPr>
        <w:footnoteReference w:id="79"/>
      </w:r>
      <w:bookmarkEnd w:id="36"/>
      <w:r>
        <w:t xml:space="preserve"> </w:t>
      </w:r>
      <w:r w:rsidR="00931B8D">
        <w:t>This</w:t>
      </w:r>
      <w:r>
        <w:t xml:space="preserve"> literature acknowledges the high and increasing rate of CTO use in</w:t>
      </w:r>
      <w:r w:rsidR="000A2BE3">
        <w:t xml:space="preserve"> New Zealand, and notes that this </w:t>
      </w:r>
      <w:r>
        <w:t>needs to be addressed as a human rights issue as well as a clinical issue.</w:t>
      </w:r>
      <w:r>
        <w:rPr>
          <w:rStyle w:val="FootnoteReference"/>
        </w:rPr>
        <w:footnoteReference w:id="80"/>
      </w:r>
      <w:r w:rsidR="008A3091">
        <w:t xml:space="preserve"> There is also existing </w:t>
      </w:r>
      <w:r w:rsidR="006B443D">
        <w:t>literature on the</w:t>
      </w:r>
      <w:r w:rsidR="008A3091">
        <w:t xml:space="preserve"> Alcohol and Other Drug Treatment</w:t>
      </w:r>
      <w:r w:rsidR="006E51D8">
        <w:t xml:space="preserve"> </w:t>
      </w:r>
      <w:r w:rsidR="00722A1F">
        <w:t xml:space="preserve">Court in New Zealand, </w:t>
      </w:r>
      <w:r w:rsidR="009A1B4D">
        <w:t xml:space="preserve">though it notes </w:t>
      </w:r>
      <w:r w:rsidR="008A3091">
        <w:t xml:space="preserve">that there remains limited in-depth research on the experiences of participants in the </w:t>
      </w:r>
      <w:r w:rsidR="00A11062">
        <w:t xml:space="preserve">Alcohol and Other Drug Treatment </w:t>
      </w:r>
      <w:r w:rsidR="008A3091">
        <w:t>Court that c</w:t>
      </w:r>
      <w:r w:rsidR="00B166E1">
        <w:t>an</w:t>
      </w:r>
      <w:r w:rsidR="008A3091">
        <w:t xml:space="preserve"> complement </w:t>
      </w:r>
      <w:r w:rsidR="00B166E1">
        <w:t xml:space="preserve">mere </w:t>
      </w:r>
      <w:r w:rsidR="008A3091">
        <w:t>statistical information.</w:t>
      </w:r>
      <w:r w:rsidR="00EE5FBD">
        <w:rPr>
          <w:rStyle w:val="FootnoteReference"/>
        </w:rPr>
        <w:footnoteReference w:id="81"/>
      </w:r>
      <w:r w:rsidR="006B443D">
        <w:t xml:space="preserve"> In addition, </w:t>
      </w:r>
      <w:r w:rsidR="007B22BA">
        <w:t>several studies</w:t>
      </w:r>
      <w:r w:rsidR="00D50927">
        <w:t xml:space="preserve"> </w:t>
      </w:r>
      <w:r w:rsidR="007B22BA">
        <w:t>discuss</w:t>
      </w:r>
      <w:r w:rsidR="006B443D">
        <w:t xml:space="preserve"> the Mental Health Review Tribunal in New Zealand</w:t>
      </w:r>
      <w:r w:rsidR="00A91FDA">
        <w:t>.</w:t>
      </w:r>
      <w:r w:rsidR="007C3429">
        <w:rPr>
          <w:rStyle w:val="FootnoteReference"/>
        </w:rPr>
        <w:footnoteReference w:id="82"/>
      </w:r>
      <w:r w:rsidR="006B443D">
        <w:t xml:space="preserve"> This </w:t>
      </w:r>
      <w:r w:rsidR="001C73C0">
        <w:t xml:space="preserve">study </w:t>
      </w:r>
      <w:r w:rsidR="006B443D">
        <w:t>addresses methodological issues, including issues of power differentials in the research betwe</w:t>
      </w:r>
      <w:r w:rsidR="00E5555D">
        <w:t xml:space="preserve">en clinician-researcher and </w:t>
      </w:r>
      <w:r w:rsidR="006B443D">
        <w:t>subjects, and the conflict between the need to provide care and containment to forensic patients who present a significant risk to others.</w:t>
      </w:r>
      <w:r w:rsidR="006B443D">
        <w:rPr>
          <w:rStyle w:val="FootnoteReference"/>
        </w:rPr>
        <w:footnoteReference w:id="83"/>
      </w:r>
      <w:r w:rsidR="00457468">
        <w:t xml:space="preserve"> </w:t>
      </w:r>
      <w:r w:rsidR="00D50927">
        <w:t xml:space="preserve">The literature notes in particular that </w:t>
      </w:r>
      <w:r w:rsidR="00F5230B">
        <w:t xml:space="preserve">existing </w:t>
      </w:r>
      <w:r w:rsidR="00D50927">
        <w:t>mental health legislation is often criticised for being inconsistent with a rights-based approach to healthcare</w:t>
      </w:r>
      <w:r w:rsidR="00F5230B">
        <w:t>,</w:t>
      </w:r>
      <w:r w:rsidR="00D50927">
        <w:t xml:space="preserve"> because it </w:t>
      </w:r>
      <w:r w:rsidR="00F5230B">
        <w:t>can</w:t>
      </w:r>
      <w:r w:rsidR="00D50927">
        <w:t xml:space="preserve"> permit the treatment choices of compulsory patients with capacity to be overridden.</w:t>
      </w:r>
      <w:r w:rsidR="007F1CBB">
        <w:rPr>
          <w:rStyle w:val="FootnoteReference"/>
        </w:rPr>
        <w:footnoteReference w:id="84"/>
      </w:r>
      <w:r w:rsidR="007F1CBB">
        <w:t xml:space="preserve"> </w:t>
      </w:r>
      <w:r w:rsidR="00C671D7">
        <w:t xml:space="preserve">The District Inspectors who are charged with being watchdogs of patients’ rights under the </w:t>
      </w:r>
      <w:r w:rsidR="00C671D7" w:rsidRPr="007F1CBB">
        <w:rPr>
          <w:i/>
        </w:rPr>
        <w:t>Mental Health (Compulsory Assessment and Treatment) Act 1992</w:t>
      </w:r>
      <w:r w:rsidR="00C671D7">
        <w:t xml:space="preserve"> (NZ) have also raised </w:t>
      </w:r>
      <w:r w:rsidR="004571A3">
        <w:t xml:space="preserve">concerns about </w:t>
      </w:r>
      <w:r w:rsidR="00C671D7">
        <w:t>the lack of advocacy available to voluntary patients</w:t>
      </w:r>
      <w:r w:rsidR="004571A3">
        <w:t xml:space="preserve"> seeking to exercise their rights</w:t>
      </w:r>
      <w:r w:rsidR="00C671D7">
        <w:t>.</w:t>
      </w:r>
      <w:bookmarkStart w:id="37" w:name="_Ref514490458"/>
      <w:r w:rsidR="002F1BC9">
        <w:rPr>
          <w:rStyle w:val="FootnoteReference"/>
        </w:rPr>
        <w:footnoteReference w:id="85"/>
      </w:r>
      <w:bookmarkEnd w:id="37"/>
      <w:r w:rsidR="00C671D7">
        <w:t xml:space="preserve">  </w:t>
      </w:r>
    </w:p>
    <w:p w14:paraId="5ADBA383" w14:textId="19500042" w:rsidR="00C671D7" w:rsidRPr="00C671D7" w:rsidRDefault="00C671D7" w:rsidP="00396190">
      <w:r>
        <w:lastRenderedPageBreak/>
        <w:t xml:space="preserve">It has been argued, however, that such </w:t>
      </w:r>
      <w:r w:rsidR="000924DA">
        <w:t>safeguards</w:t>
      </w:r>
      <w:r>
        <w:t xml:space="preserve"> are inadequate because they take a reactive approach, whereby a person’s condition will not be reviewed unless it is brought to attention</w:t>
      </w:r>
      <w:r w:rsidR="0029752E">
        <w:t>.</w:t>
      </w:r>
      <w:r w:rsidR="0029752E">
        <w:rPr>
          <w:rStyle w:val="FootnoteReference"/>
        </w:rPr>
        <w:footnoteReference w:id="86"/>
      </w:r>
      <w:r>
        <w:t xml:space="preserve"> Under the </w:t>
      </w:r>
      <w:r w:rsidRPr="007F1CBB">
        <w:rPr>
          <w:i/>
        </w:rPr>
        <w:t>Mental Health (Compulsory Assessment and Treatment) Act 1992</w:t>
      </w:r>
      <w:r>
        <w:t xml:space="preserve"> (NZ), people detained under the Act have access to district inspectors who are charged with being watchdogs of patients’ rights. In a recent study, however, district inspectors raised concerns about the lack of advocacy available for voluntary service users</w:t>
      </w:r>
      <w:r w:rsidR="00394807">
        <w:t>.</w:t>
      </w:r>
      <w:r w:rsidR="00394807">
        <w:rPr>
          <w:rStyle w:val="FootnoteReference"/>
        </w:rPr>
        <w:footnoteReference w:id="87"/>
      </w:r>
      <w:r>
        <w:t xml:space="preserve"> </w:t>
      </w:r>
    </w:p>
    <w:p w14:paraId="549D15C6" w14:textId="0C97F909" w:rsidR="008D6628" w:rsidRDefault="00F5230B" w:rsidP="00396190">
      <w:r>
        <w:t>There is therefore a need for further research which examines consent in mental health legislation within a human rights-based framework.</w:t>
      </w:r>
      <w:r w:rsidR="001C73C0">
        <w:rPr>
          <w:rStyle w:val="FootnoteReference"/>
          <w:color w:val="000000" w:themeColor="text1"/>
        </w:rPr>
        <w:footnoteReference w:id="88"/>
      </w:r>
      <w:r>
        <w:t xml:space="preserve"> </w:t>
      </w:r>
      <w:r w:rsidR="002642EB" w:rsidRPr="002E269C">
        <w:t>T</w:t>
      </w:r>
      <w:r w:rsidR="003548E1" w:rsidRPr="002E269C">
        <w:t>here is</w:t>
      </w:r>
      <w:r>
        <w:t xml:space="preserve"> also</w:t>
      </w:r>
      <w:r w:rsidR="003548E1" w:rsidRPr="002E269C">
        <w:t xml:space="preserve"> a need for further research </w:t>
      </w:r>
      <w:r w:rsidR="00731DD3" w:rsidRPr="002E269C">
        <w:t>on</w:t>
      </w:r>
      <w:r w:rsidR="00DF4AD6" w:rsidRPr="002E269C">
        <w:t xml:space="preserve"> the </w:t>
      </w:r>
      <w:r w:rsidR="008D6628" w:rsidRPr="002E269C">
        <w:t>use of chemical restraint</w:t>
      </w:r>
      <w:r w:rsidR="00DF4AD6" w:rsidRPr="002E269C">
        <w:t>s</w:t>
      </w:r>
      <w:r w:rsidR="008D6628" w:rsidRPr="002E269C">
        <w:t xml:space="preserve">, particularly </w:t>
      </w:r>
      <w:r w:rsidR="0057245A" w:rsidRPr="002E269C">
        <w:t>regarding the</w:t>
      </w:r>
      <w:r w:rsidR="008D6628" w:rsidRPr="002E269C">
        <w:t xml:space="preserve"> extent of the use of drugs aimed at controlling behaviour rather than ameliorating a medical condition</w:t>
      </w:r>
      <w:r w:rsidR="00776139">
        <w:t>,</w:t>
      </w:r>
      <w:r w:rsidR="008D6628" w:rsidRPr="002E269C">
        <w:rPr>
          <w:rStyle w:val="FootnoteReference"/>
          <w:color w:val="000000" w:themeColor="text1"/>
        </w:rPr>
        <w:footnoteReference w:id="89"/>
      </w:r>
      <w:r w:rsidR="008920C1">
        <w:t xml:space="preserve"> as well as psychiatric advanced directives.</w:t>
      </w:r>
      <w:r w:rsidR="00E13E67">
        <w:rPr>
          <w:rStyle w:val="FootnoteReference"/>
          <w:color w:val="000000" w:themeColor="text1"/>
        </w:rPr>
        <w:footnoteReference w:id="90"/>
      </w:r>
      <w:r w:rsidR="003A51E9" w:rsidRPr="002E269C">
        <w:t xml:space="preserve"> </w:t>
      </w:r>
      <w:r w:rsidR="00BD57FF">
        <w:t>Moreover, further research is needed to pinpoint and addre</w:t>
      </w:r>
      <w:r w:rsidR="00552DB4">
        <w:t>ss the underlying social custom</w:t>
      </w:r>
      <w:r w:rsidR="00BD57FF">
        <w:t xml:space="preserve">s through which requests for medical sterilisation procedures for </w:t>
      </w:r>
      <w:r w:rsidR="00552DB4">
        <w:t>intellectually disabled people are negotiated and resolved.</w:t>
      </w:r>
      <w:bookmarkStart w:id="38" w:name="_Ref514502603"/>
      <w:r w:rsidR="00552DB4">
        <w:rPr>
          <w:rStyle w:val="FootnoteReference"/>
          <w:color w:val="000000" w:themeColor="text1"/>
        </w:rPr>
        <w:footnoteReference w:id="91"/>
      </w:r>
      <w:bookmarkEnd w:id="38"/>
      <w:r w:rsidR="00552DB4">
        <w:t xml:space="preserve"> </w:t>
      </w:r>
      <w:r w:rsidR="003A51E9" w:rsidRPr="002E269C">
        <w:t xml:space="preserve">There are also </w:t>
      </w:r>
      <w:r w:rsidR="003548E1" w:rsidRPr="002E269C">
        <w:t>gaps</w:t>
      </w:r>
      <w:r w:rsidR="008D6628" w:rsidRPr="002E269C">
        <w:t xml:space="preserve"> in the literature in relation</w:t>
      </w:r>
      <w:r w:rsidR="008D6628" w:rsidRPr="002E269C">
        <w:rPr>
          <w:b/>
        </w:rPr>
        <w:t xml:space="preserve"> </w:t>
      </w:r>
      <w:r w:rsidR="009B79D0" w:rsidRPr="002E269C">
        <w:t xml:space="preserve">to </w:t>
      </w:r>
      <w:r w:rsidR="00700B63">
        <w:t>people</w:t>
      </w:r>
      <w:r w:rsidR="009B79D0" w:rsidRPr="002E269C">
        <w:t xml:space="preserve"> with </w:t>
      </w:r>
      <w:r w:rsidR="00515A51">
        <w:t>disability</w:t>
      </w:r>
      <w:r w:rsidR="00F25EF4" w:rsidRPr="002E269C">
        <w:t>’</w:t>
      </w:r>
      <w:r w:rsidR="00700B63">
        <w:t>s</w:t>
      </w:r>
      <w:r w:rsidR="008D6628" w:rsidRPr="002E269C">
        <w:t xml:space="preserve"> own views on the effectiveness of legislation aroun</w:t>
      </w:r>
      <w:r w:rsidR="00630FFB" w:rsidRPr="002E269C">
        <w:t>d mental health and disability</w:t>
      </w:r>
      <w:r w:rsidR="0012413D" w:rsidRPr="002E269C">
        <w:t>.</w:t>
      </w:r>
      <w:r w:rsidR="004368A0" w:rsidRPr="002E269C">
        <w:rPr>
          <w:rStyle w:val="FootnoteReference"/>
        </w:rPr>
        <w:footnoteReference w:id="92"/>
      </w:r>
    </w:p>
    <w:p w14:paraId="5F953E2E" w14:textId="77777777" w:rsidR="005F11FB" w:rsidRPr="002E269C" w:rsidRDefault="005F11FB" w:rsidP="00396190">
      <w:pPr>
        <w:rPr>
          <w:b/>
          <w:color w:val="000000" w:themeColor="text1"/>
        </w:rPr>
      </w:pPr>
      <w:r>
        <w:t xml:space="preserve">The participatory research methodologies used in this field are not clear. However, they </w:t>
      </w:r>
      <w:r w:rsidR="00AD3550">
        <w:t xml:space="preserve">do </w:t>
      </w:r>
      <w:r>
        <w:t>no</w:t>
      </w:r>
      <w:r w:rsidR="008A6F28">
        <w:t>t</w:t>
      </w:r>
      <w:r>
        <w:t xml:space="preserve"> appear to be widely adopted. </w:t>
      </w:r>
    </w:p>
    <w:p w14:paraId="5F9A82AF" w14:textId="60F4EA2D" w:rsidR="00C351D2" w:rsidRPr="0065659F" w:rsidRDefault="00C351D2" w:rsidP="0065659F">
      <w:pPr>
        <w:pStyle w:val="Heading3"/>
      </w:pPr>
      <w:bookmarkStart w:id="39" w:name="_Toc514751833"/>
      <w:r w:rsidRPr="0065659F">
        <w:t>Theme 5</w:t>
      </w:r>
      <w:r w:rsidR="005D7016" w:rsidRPr="0065659F">
        <w:t>:</w:t>
      </w:r>
      <w:r w:rsidRPr="0065659F">
        <w:t xml:space="preserve"> Child</w:t>
      </w:r>
      <w:r w:rsidR="005D7016" w:rsidRPr="0065659F">
        <w:t xml:space="preserve"> protection, marriage, partnerships, i</w:t>
      </w:r>
      <w:r w:rsidRPr="0065659F">
        <w:t>ntimate relationsh</w:t>
      </w:r>
      <w:r w:rsidR="005D7016" w:rsidRPr="0065659F">
        <w:t>ips, parenthood and family l</w:t>
      </w:r>
      <w:r w:rsidR="00D35D46" w:rsidRPr="0065659F">
        <w:t>aw</w:t>
      </w:r>
      <w:bookmarkEnd w:id="39"/>
    </w:p>
    <w:p w14:paraId="64EC32DE" w14:textId="77777777" w:rsidR="00551720" w:rsidRPr="002E269C" w:rsidRDefault="00574AC8" w:rsidP="00396190">
      <w:pPr>
        <w:rPr>
          <w:i/>
        </w:rPr>
      </w:pPr>
      <w:r w:rsidRPr="002E269C">
        <w:t xml:space="preserve">The </w:t>
      </w:r>
      <w:r w:rsidR="000843DB" w:rsidRPr="004F3ECC">
        <w:rPr>
          <w:i/>
        </w:rPr>
        <w:t xml:space="preserve">Disability Research </w:t>
      </w:r>
      <w:r w:rsidR="00A766AB" w:rsidRPr="004F3ECC">
        <w:rPr>
          <w:i/>
        </w:rPr>
        <w:t>Audit</w:t>
      </w:r>
      <w:r w:rsidR="00551720" w:rsidRPr="002E269C">
        <w:t xml:space="preserve"> identified a lack of research</w:t>
      </w:r>
      <w:r w:rsidR="00551720" w:rsidRPr="002E269C">
        <w:rPr>
          <w:i/>
        </w:rPr>
        <w:t xml:space="preserve"> </w:t>
      </w:r>
      <w:r w:rsidR="00551720" w:rsidRPr="002E269C">
        <w:t>into the inclusion of children and young people with disability in everyday life, as well as longitudinal studies that understand the potential drivers of inequities.</w:t>
      </w:r>
      <w:r w:rsidR="005C3B0F" w:rsidRPr="002E269C">
        <w:rPr>
          <w:rStyle w:val="FootnoteReference"/>
        </w:rPr>
        <w:footnoteReference w:id="93"/>
      </w:r>
      <w:r w:rsidR="00551720" w:rsidRPr="002E269C">
        <w:t xml:space="preserve"> </w:t>
      </w:r>
      <w:r w:rsidR="003A13D1" w:rsidRPr="002E269C">
        <w:t xml:space="preserve">Whilst </w:t>
      </w:r>
      <w:r w:rsidR="00245696" w:rsidRPr="002E269C">
        <w:t xml:space="preserve">access to justice for children and young people with </w:t>
      </w:r>
      <w:r w:rsidR="00515A51">
        <w:t>disability</w:t>
      </w:r>
      <w:r w:rsidR="00245696" w:rsidRPr="002E269C">
        <w:t xml:space="preserve">, and parents with </w:t>
      </w:r>
      <w:r w:rsidR="00515A51">
        <w:t>disability</w:t>
      </w:r>
      <w:r w:rsidR="00245696" w:rsidRPr="002E269C">
        <w:t>,</w:t>
      </w:r>
      <w:r w:rsidR="003A13D1" w:rsidRPr="002E269C">
        <w:t xml:space="preserve"> is</w:t>
      </w:r>
      <w:r w:rsidR="00551720" w:rsidRPr="002E269C">
        <w:t xml:space="preserve"> an em</w:t>
      </w:r>
      <w:r w:rsidR="003A13D1" w:rsidRPr="002E269C">
        <w:t xml:space="preserve">erging </w:t>
      </w:r>
      <w:r w:rsidR="00245696" w:rsidRPr="002E269C">
        <w:t xml:space="preserve">theme </w:t>
      </w:r>
      <w:r w:rsidR="003A13D1" w:rsidRPr="002E269C">
        <w:t>in the literature,</w:t>
      </w:r>
      <w:r w:rsidR="00551720" w:rsidRPr="002E269C">
        <w:t xml:space="preserve"> there</w:t>
      </w:r>
      <w:r w:rsidR="00245696" w:rsidRPr="002E269C">
        <w:t xml:space="preserve"> </w:t>
      </w:r>
      <w:r w:rsidR="00245696" w:rsidRPr="002E269C">
        <w:lastRenderedPageBreak/>
        <w:t>remains</w:t>
      </w:r>
      <w:r w:rsidR="00551720" w:rsidRPr="002E269C">
        <w:t xml:space="preserve"> a lack of</w:t>
      </w:r>
      <w:r w:rsidR="00C764D0" w:rsidRPr="002E269C">
        <w:t xml:space="preserve"> comprehensive research on</w:t>
      </w:r>
      <w:r w:rsidR="00AC19D2" w:rsidRPr="002E269C">
        <w:t xml:space="preserve"> most aspects of </w:t>
      </w:r>
      <w:r w:rsidR="00C764D0" w:rsidRPr="002E269C">
        <w:t>this theme</w:t>
      </w:r>
      <w:r w:rsidR="0026297E">
        <w:t xml:space="preserve"> in both Australia and New Zealand</w:t>
      </w:r>
      <w:r w:rsidR="00C764D0" w:rsidRPr="002E269C">
        <w:t xml:space="preserve">. </w:t>
      </w:r>
    </w:p>
    <w:p w14:paraId="43CDC5C0" w14:textId="7E614070" w:rsidR="009D0BF1" w:rsidRDefault="00551720" w:rsidP="00396190">
      <w:pPr>
        <w:rPr>
          <w:color w:val="000000" w:themeColor="text1"/>
        </w:rPr>
      </w:pPr>
      <w:r w:rsidRPr="002E269C">
        <w:rPr>
          <w:color w:val="000000" w:themeColor="text1"/>
        </w:rPr>
        <w:t>Th</w:t>
      </w:r>
      <w:r w:rsidR="001A2DBD" w:rsidRPr="002E269C">
        <w:rPr>
          <w:color w:val="000000" w:themeColor="text1"/>
        </w:rPr>
        <w:t xml:space="preserve">e literature </w:t>
      </w:r>
      <w:r w:rsidR="000D0B99" w:rsidRPr="002E269C">
        <w:rPr>
          <w:color w:val="000000" w:themeColor="text1"/>
        </w:rPr>
        <w:t>identifies systemic failures</w:t>
      </w:r>
      <w:r w:rsidRPr="002E269C">
        <w:rPr>
          <w:color w:val="000000" w:themeColor="text1"/>
        </w:rPr>
        <w:t xml:space="preserve"> resulting in disadvantage for children and parents with disability</w:t>
      </w:r>
      <w:r w:rsidR="003A13D1" w:rsidRPr="002E269C">
        <w:rPr>
          <w:color w:val="000000" w:themeColor="text1"/>
        </w:rPr>
        <w:t>.</w:t>
      </w:r>
      <w:r w:rsidR="000135D7" w:rsidRPr="002E269C">
        <w:rPr>
          <w:rStyle w:val="FootnoteReference"/>
          <w:color w:val="000000" w:themeColor="text1"/>
        </w:rPr>
        <w:footnoteReference w:id="94"/>
      </w:r>
      <w:r w:rsidR="003A13D1" w:rsidRPr="002E269C">
        <w:rPr>
          <w:color w:val="000000" w:themeColor="text1"/>
        </w:rPr>
        <w:t xml:space="preserve"> </w:t>
      </w:r>
      <w:r w:rsidR="00220F91">
        <w:t>Extensive research by Baldry et al provides that children and young people from already racialised and criminalised communities and families who struggle with cognitive or mental impairment are not supported in the community, in school or in the child and family support systems in the way middle class young people are; instead they are increasingly dealt with by systems of control rather than systems of care and support.</w:t>
      </w:r>
      <w:r w:rsidR="00220F91">
        <w:rPr>
          <w:rStyle w:val="FootnoteReference"/>
        </w:rPr>
        <w:footnoteReference w:id="95"/>
      </w:r>
      <w:r w:rsidR="00220F91">
        <w:t xml:space="preserve"> </w:t>
      </w:r>
      <w:r w:rsidR="003A13D1" w:rsidRPr="002E269C">
        <w:rPr>
          <w:color w:val="000000" w:themeColor="text1"/>
        </w:rPr>
        <w:t>I</w:t>
      </w:r>
      <w:r w:rsidRPr="002E269C">
        <w:rPr>
          <w:color w:val="000000" w:themeColor="text1"/>
        </w:rPr>
        <w:t xml:space="preserve">n </w:t>
      </w:r>
      <w:r w:rsidR="00220F91">
        <w:rPr>
          <w:color w:val="000000" w:themeColor="text1"/>
        </w:rPr>
        <w:t>addition</w:t>
      </w:r>
      <w:r w:rsidR="000D0B99" w:rsidRPr="002E269C">
        <w:rPr>
          <w:color w:val="000000" w:themeColor="text1"/>
        </w:rPr>
        <w:t>, the literature</w:t>
      </w:r>
      <w:r w:rsidR="00D30971" w:rsidRPr="002E269C">
        <w:rPr>
          <w:color w:val="000000" w:themeColor="text1"/>
        </w:rPr>
        <w:t xml:space="preserve"> identifies</w:t>
      </w:r>
      <w:r w:rsidR="000D0B99" w:rsidRPr="002E269C">
        <w:rPr>
          <w:color w:val="000000" w:themeColor="text1"/>
        </w:rPr>
        <w:t xml:space="preserve"> </w:t>
      </w:r>
      <w:r w:rsidR="00D30971" w:rsidRPr="002E269C">
        <w:rPr>
          <w:color w:val="000000" w:themeColor="text1"/>
        </w:rPr>
        <w:t xml:space="preserve">an </w:t>
      </w:r>
      <w:r w:rsidRPr="002E269C">
        <w:rPr>
          <w:color w:val="000000" w:themeColor="text1"/>
        </w:rPr>
        <w:t>overrepresentation of families where a parent has a disability in Victoria’s child protection system.</w:t>
      </w:r>
      <w:r w:rsidRPr="002E269C">
        <w:rPr>
          <w:rStyle w:val="FootnoteReference"/>
          <w:color w:val="000000" w:themeColor="text1"/>
        </w:rPr>
        <w:footnoteReference w:id="96"/>
      </w:r>
      <w:r w:rsidRPr="002E269C">
        <w:rPr>
          <w:color w:val="000000" w:themeColor="text1"/>
        </w:rPr>
        <w:t xml:space="preserve"> </w:t>
      </w:r>
    </w:p>
    <w:p w14:paraId="46F9F841" w14:textId="7AF839DA" w:rsidR="00551720" w:rsidRPr="000C5199" w:rsidRDefault="00FB7522" w:rsidP="00396190">
      <w:r w:rsidRPr="002E269C">
        <w:t>R</w:t>
      </w:r>
      <w:r w:rsidR="00551720" w:rsidRPr="002E269C">
        <w:t xml:space="preserve">esearch </w:t>
      </w:r>
      <w:r w:rsidR="0057708C">
        <w:t xml:space="preserve">from Australia </w:t>
      </w:r>
      <w:r w:rsidR="003A13D1" w:rsidRPr="002E269C">
        <w:t xml:space="preserve">also </w:t>
      </w:r>
      <w:r w:rsidRPr="002E269C">
        <w:t xml:space="preserve">indicates </w:t>
      </w:r>
      <w:r w:rsidR="00551720" w:rsidRPr="002E269C">
        <w:t>th</w:t>
      </w:r>
      <w:r w:rsidR="00511007" w:rsidRPr="002E269C">
        <w:t>at a history of offending places</w:t>
      </w:r>
      <w:r w:rsidR="00551720" w:rsidRPr="002E269C">
        <w:t xml:space="preserve"> young people with mental illness at substantially higher risk of subsequent victimisation.</w:t>
      </w:r>
      <w:r w:rsidR="00551720" w:rsidRPr="002E269C">
        <w:rPr>
          <w:rStyle w:val="FootnoteReference"/>
          <w:color w:val="000000" w:themeColor="text1"/>
        </w:rPr>
        <w:footnoteReference w:id="97"/>
      </w:r>
      <w:r w:rsidR="00551720" w:rsidRPr="002E269C">
        <w:t xml:space="preserve"> There is</w:t>
      </w:r>
      <w:r w:rsidR="00511007" w:rsidRPr="002E269C">
        <w:t xml:space="preserve"> also</w:t>
      </w:r>
      <w:r w:rsidR="00551720" w:rsidRPr="002E269C">
        <w:t xml:space="preserve"> some emerging literature on the links between Foetal Alcohol Spectrum Disorder (FASD) and offending, </w:t>
      </w:r>
      <w:r w:rsidR="00413BEA" w:rsidRPr="002E269C">
        <w:t>al</w:t>
      </w:r>
      <w:r w:rsidR="00551720" w:rsidRPr="002E269C">
        <w:t xml:space="preserve">though </w:t>
      </w:r>
      <w:r w:rsidR="00F03CAF" w:rsidRPr="002E269C">
        <w:t>the</w:t>
      </w:r>
      <w:r w:rsidR="00551720" w:rsidRPr="002E269C">
        <w:t xml:space="preserve"> lack of recognition of FASD as a disability</w:t>
      </w:r>
      <w:r w:rsidR="00480697" w:rsidRPr="002E269C">
        <w:t>,</w:t>
      </w:r>
      <w:r w:rsidR="00551720" w:rsidRPr="002E269C">
        <w:t xml:space="preserve"> and lack of prevalence </w:t>
      </w:r>
      <w:r w:rsidR="00342AAD">
        <w:t xml:space="preserve">of </w:t>
      </w:r>
      <w:r w:rsidR="00551720" w:rsidRPr="002E269C">
        <w:t>data on the issue</w:t>
      </w:r>
      <w:r w:rsidR="00480697" w:rsidRPr="002E269C">
        <w:t>, are identified as outstanding issues</w:t>
      </w:r>
      <w:r w:rsidR="00551720" w:rsidRPr="002E269C">
        <w:t>.</w:t>
      </w:r>
      <w:r w:rsidR="00551720" w:rsidRPr="002E269C">
        <w:rPr>
          <w:rStyle w:val="FootnoteReference"/>
          <w:color w:val="000000" w:themeColor="text1"/>
        </w:rPr>
        <w:footnoteReference w:id="98"/>
      </w:r>
    </w:p>
    <w:p w14:paraId="1B4C847D" w14:textId="383A69E8" w:rsidR="00551720" w:rsidRDefault="00551720" w:rsidP="00396190">
      <w:r w:rsidRPr="002E269C">
        <w:t xml:space="preserve">Further research is required into disability and family law outside </w:t>
      </w:r>
      <w:r w:rsidR="005E64DD" w:rsidRPr="002E269C">
        <w:t xml:space="preserve">the field of </w:t>
      </w:r>
      <w:r w:rsidRPr="002E269C">
        <w:t>child protection</w:t>
      </w:r>
      <w:r w:rsidR="005A7198" w:rsidRPr="002E269C">
        <w:t>, particularly</w:t>
      </w:r>
      <w:r w:rsidR="00937BB7" w:rsidRPr="002E269C">
        <w:t xml:space="preserve"> concerning</w:t>
      </w:r>
      <w:r w:rsidR="005A7198" w:rsidRPr="002E269C">
        <w:t xml:space="preserve"> the right to parenthood for people with intellectual disability</w:t>
      </w:r>
      <w:r w:rsidR="0084328C" w:rsidRPr="002E269C">
        <w:t>.</w:t>
      </w:r>
      <w:r w:rsidRPr="002E269C">
        <w:rPr>
          <w:b/>
        </w:rPr>
        <w:t xml:space="preserve"> </w:t>
      </w:r>
      <w:r w:rsidR="002E6EB6" w:rsidRPr="002E269C">
        <w:t>Similarly</w:t>
      </w:r>
      <w:r w:rsidR="00507A6A">
        <w:t xml:space="preserve">, </w:t>
      </w:r>
      <w:r w:rsidR="00405056" w:rsidRPr="002E269C">
        <w:t xml:space="preserve">research is required </w:t>
      </w:r>
      <w:r w:rsidR="00A25459" w:rsidRPr="002E269C">
        <w:t xml:space="preserve">regarding access to justice for </w:t>
      </w:r>
      <w:r w:rsidRPr="002E269C">
        <w:t xml:space="preserve">children </w:t>
      </w:r>
      <w:r w:rsidR="00BC2DF7" w:rsidRPr="002E269C">
        <w:t>with</w:t>
      </w:r>
      <w:r w:rsidR="00A25459" w:rsidRPr="002E269C">
        <w:t xml:space="preserve"> </w:t>
      </w:r>
      <w:r w:rsidR="00515A51">
        <w:t>disability</w:t>
      </w:r>
      <w:r w:rsidR="00A25459" w:rsidRPr="002E269C">
        <w:t xml:space="preserve"> and the children </w:t>
      </w:r>
      <w:r w:rsidR="00BC2DF7" w:rsidRPr="002E269C">
        <w:t>of</w:t>
      </w:r>
      <w:r w:rsidRPr="002E269C">
        <w:t xml:space="preserve"> parents with </w:t>
      </w:r>
      <w:r w:rsidR="00515A51">
        <w:t>disability</w:t>
      </w:r>
      <w:r w:rsidRPr="002E269C">
        <w:t>.</w:t>
      </w:r>
      <w:r w:rsidR="00244A6B">
        <w:rPr>
          <w:rStyle w:val="FootnoteReference"/>
        </w:rPr>
        <w:footnoteReference w:id="99"/>
      </w:r>
      <w:r w:rsidRPr="002E269C">
        <w:t xml:space="preserve"> Given that none of the research identified includes</w:t>
      </w:r>
      <w:r w:rsidR="001B6329" w:rsidRPr="002E269C">
        <w:t xml:space="preserve"> the perspectives of</w:t>
      </w:r>
      <w:r w:rsidRPr="002E269C">
        <w:t xml:space="preserve"> </w:t>
      </w:r>
      <w:r w:rsidR="00C77EF4" w:rsidRPr="002E269C">
        <w:t>children</w:t>
      </w:r>
      <w:r w:rsidRPr="002E269C">
        <w:t xml:space="preserve"> </w:t>
      </w:r>
      <w:r w:rsidR="001B6329" w:rsidRPr="002E269C">
        <w:t xml:space="preserve">with </w:t>
      </w:r>
      <w:r w:rsidR="00515A51">
        <w:t>disability</w:t>
      </w:r>
      <w:r w:rsidR="001B6329" w:rsidRPr="002E269C">
        <w:t xml:space="preserve">, </w:t>
      </w:r>
      <w:r w:rsidR="00DC775F" w:rsidRPr="002E269C">
        <w:t>there should also be an emphasis on</w:t>
      </w:r>
      <w:r w:rsidR="00BE0CCB" w:rsidRPr="002E269C">
        <w:t xml:space="preserve"> including their</w:t>
      </w:r>
      <w:r w:rsidR="00DC775F" w:rsidRPr="002E269C">
        <w:t xml:space="preserve"> voice</w:t>
      </w:r>
      <w:r w:rsidR="00BE0CCB" w:rsidRPr="002E269C">
        <w:t>s</w:t>
      </w:r>
      <w:r w:rsidRPr="002E269C">
        <w:t xml:space="preserve"> </w:t>
      </w:r>
      <w:r w:rsidR="00DC775F" w:rsidRPr="002E269C">
        <w:t>in future research</w:t>
      </w:r>
      <w:r w:rsidRPr="002E269C">
        <w:t>.</w:t>
      </w:r>
      <w:r w:rsidR="0013261E" w:rsidRPr="002E269C">
        <w:rPr>
          <w:rStyle w:val="FootnoteReference"/>
          <w:color w:val="000000" w:themeColor="text1"/>
        </w:rPr>
        <w:footnoteReference w:id="100"/>
      </w:r>
      <w:r w:rsidRPr="002E269C">
        <w:t xml:space="preserve"> </w:t>
      </w:r>
    </w:p>
    <w:p w14:paraId="08C5EC85" w14:textId="77777777" w:rsidR="00965EDE" w:rsidRPr="002E269C" w:rsidRDefault="00965EDE" w:rsidP="00396190">
      <w:pPr>
        <w:rPr>
          <w:b/>
        </w:rPr>
      </w:pPr>
      <w:r>
        <w:lastRenderedPageBreak/>
        <w:t xml:space="preserve">It is not clear whether participatory research methods have been used in research in this theme. Evidence of use of such methods was not found. </w:t>
      </w:r>
    </w:p>
    <w:p w14:paraId="647147B6" w14:textId="3DC5C48B" w:rsidR="00C351D2" w:rsidRPr="002E269C" w:rsidRDefault="00C351D2" w:rsidP="0065659F">
      <w:pPr>
        <w:pStyle w:val="Heading3"/>
      </w:pPr>
      <w:bookmarkStart w:id="40" w:name="_Toc514751834"/>
      <w:r w:rsidRPr="002E269C">
        <w:t>Theme 6</w:t>
      </w:r>
      <w:r w:rsidR="005D7016">
        <w:t xml:space="preserve">: </w:t>
      </w:r>
      <w:r w:rsidR="00525319">
        <w:t>Aboriginal</w:t>
      </w:r>
      <w:r w:rsidR="005D7016">
        <w:t xml:space="preserve"> p</w:t>
      </w:r>
      <w:r w:rsidRPr="002E269C">
        <w:t>eople</w:t>
      </w:r>
      <w:r w:rsidR="005A5286">
        <w:t>,</w:t>
      </w:r>
      <w:r w:rsidR="00525319">
        <w:t xml:space="preserve"> Torres Strait Islanders</w:t>
      </w:r>
      <w:r w:rsidR="005A5286">
        <w:t xml:space="preserve"> and Maori people</w:t>
      </w:r>
      <w:bookmarkEnd w:id="40"/>
    </w:p>
    <w:p w14:paraId="65168689" w14:textId="67A7608F" w:rsidR="00C7657C" w:rsidRDefault="00F57AC6" w:rsidP="00396190">
      <w:r w:rsidRPr="00E84BAE">
        <w:t>Since the</w:t>
      </w:r>
      <w:r w:rsidR="00714CC2" w:rsidRPr="00E84BAE">
        <w:t xml:space="preserve"> </w:t>
      </w:r>
      <w:r w:rsidR="00714CC2" w:rsidRPr="00F15319">
        <w:rPr>
          <w:i/>
        </w:rPr>
        <w:t>Disability Research</w:t>
      </w:r>
      <w:r w:rsidRPr="00F15319">
        <w:rPr>
          <w:i/>
        </w:rPr>
        <w:t xml:space="preserve"> </w:t>
      </w:r>
      <w:r w:rsidR="00C35686" w:rsidRPr="00F15319">
        <w:rPr>
          <w:i/>
        </w:rPr>
        <w:t>Audit</w:t>
      </w:r>
      <w:r w:rsidRPr="00E84BAE">
        <w:t xml:space="preserve"> there has been a substantial increase in the </w:t>
      </w:r>
      <w:r w:rsidR="004F18AF" w:rsidRPr="00E84BAE">
        <w:t>literature</w:t>
      </w:r>
      <w:r w:rsidRPr="00E84BAE">
        <w:t xml:space="preserve"> on </w:t>
      </w:r>
      <w:r w:rsidR="00F15319">
        <w:t>Aboriginal</w:t>
      </w:r>
      <w:r w:rsidRPr="00E84BAE">
        <w:t xml:space="preserve"> people</w:t>
      </w:r>
      <w:r w:rsidR="00F15319">
        <w:t xml:space="preserve"> and Torres Straits Islanders</w:t>
      </w:r>
      <w:r w:rsidRPr="00E84BAE">
        <w:t xml:space="preserve"> and disability</w:t>
      </w:r>
      <w:r w:rsidR="004F18AF" w:rsidRPr="00E84BAE">
        <w:t>.</w:t>
      </w:r>
      <w:bookmarkStart w:id="41" w:name="_Ref514500680"/>
      <w:r w:rsidR="00652FD1">
        <w:rPr>
          <w:rStyle w:val="FootnoteReference"/>
        </w:rPr>
        <w:footnoteReference w:id="101"/>
      </w:r>
      <w:bookmarkEnd w:id="41"/>
      <w:r w:rsidR="00652FD1" w:rsidRPr="00E84BAE">
        <w:t xml:space="preserve"> </w:t>
      </w:r>
      <w:r w:rsidR="004F18AF" w:rsidRPr="00E84BAE">
        <w:t xml:space="preserve">The majority of </w:t>
      </w:r>
      <w:r w:rsidR="000709A8" w:rsidRPr="00E84BAE">
        <w:t xml:space="preserve">existing </w:t>
      </w:r>
      <w:r w:rsidR="004F18AF" w:rsidRPr="00E84BAE">
        <w:t xml:space="preserve">research into Aboriginal </w:t>
      </w:r>
      <w:r w:rsidR="001D3469">
        <w:t xml:space="preserve">and Torres Strait Islander </w:t>
      </w:r>
      <w:r w:rsidR="00700B63" w:rsidRPr="00E84BAE">
        <w:t>people</w:t>
      </w:r>
      <w:r w:rsidR="004F18AF" w:rsidRPr="00E84BAE">
        <w:t xml:space="preserve"> with </w:t>
      </w:r>
      <w:r w:rsidR="00515A51" w:rsidRPr="00E84BAE">
        <w:t>disability</w:t>
      </w:r>
      <w:r w:rsidR="004F18AF" w:rsidRPr="00E84BAE">
        <w:t xml:space="preserve"> overlaps with criminal justice research, and the interaction of </w:t>
      </w:r>
      <w:r w:rsidR="00F15319">
        <w:t>Aboriginal</w:t>
      </w:r>
      <w:r w:rsidR="00F15319" w:rsidRPr="00E84BAE">
        <w:t xml:space="preserve"> </w:t>
      </w:r>
      <w:r w:rsidR="00F15319">
        <w:t>and Torres Straits Islanders</w:t>
      </w:r>
      <w:r w:rsidR="00F15319" w:rsidRPr="00E84BAE">
        <w:t xml:space="preserve"> </w:t>
      </w:r>
      <w:r w:rsidR="001D3469">
        <w:t xml:space="preserve">people </w:t>
      </w:r>
      <w:r w:rsidR="004F18AF" w:rsidRPr="00E84BAE">
        <w:t xml:space="preserve">with </w:t>
      </w:r>
      <w:r w:rsidR="00515A51" w:rsidRPr="00E84BAE">
        <w:t>disability</w:t>
      </w:r>
      <w:r w:rsidR="004F18AF" w:rsidRPr="00E84BAE">
        <w:t xml:space="preserve"> with criminal justice systems and processes </w:t>
      </w:r>
      <w:r w:rsidR="00E2764A" w:rsidRPr="00E84BAE">
        <w:t xml:space="preserve">is </w:t>
      </w:r>
      <w:r w:rsidR="004F18AF" w:rsidRPr="00E84BAE">
        <w:t>an ongoing focus</w:t>
      </w:r>
      <w:r w:rsidR="00763A34" w:rsidRPr="00E84BAE">
        <w:t xml:space="preserve"> of the </w:t>
      </w:r>
      <w:r w:rsidR="00FD62E1" w:rsidRPr="00E84BAE">
        <w:t xml:space="preserve">research </w:t>
      </w:r>
      <w:r w:rsidR="00763A34" w:rsidRPr="00E84BAE">
        <w:t>literature</w:t>
      </w:r>
      <w:r w:rsidR="004F18AF" w:rsidRPr="00E84BAE">
        <w:t>.</w:t>
      </w:r>
      <w:r w:rsidR="004A24B2" w:rsidRPr="002E269C">
        <w:rPr>
          <w:rStyle w:val="FootnoteReference"/>
          <w:color w:val="000000" w:themeColor="text1"/>
        </w:rPr>
        <w:footnoteReference w:id="102"/>
      </w:r>
      <w:r w:rsidR="00E57B99" w:rsidRPr="00E84BAE">
        <w:t xml:space="preserve"> </w:t>
      </w:r>
      <w:r w:rsidR="00E2764A" w:rsidRPr="00E84BAE">
        <w:t xml:space="preserve">As discussed above, this has included a growing research base on </w:t>
      </w:r>
      <w:r w:rsidR="0087230E" w:rsidRPr="00E84BAE">
        <w:t>the</w:t>
      </w:r>
      <w:r w:rsidR="004F18AF" w:rsidRPr="00E84BAE">
        <w:t xml:space="preserve"> indefinite incarceration of </w:t>
      </w:r>
      <w:r w:rsidR="00F15319">
        <w:t>Aboriginal</w:t>
      </w:r>
      <w:r w:rsidR="00F15319" w:rsidRPr="00E84BAE">
        <w:t xml:space="preserve"> </w:t>
      </w:r>
      <w:r w:rsidR="00F15319">
        <w:t>and Torres Straits Islander</w:t>
      </w:r>
      <w:r w:rsidR="00F15319" w:rsidRPr="00E84BAE">
        <w:t xml:space="preserve"> </w:t>
      </w:r>
      <w:r w:rsidR="0087230E" w:rsidRPr="00E84BAE">
        <w:t>p</w:t>
      </w:r>
      <w:r w:rsidR="00BB5000" w:rsidRPr="00E84BAE">
        <w:t xml:space="preserve">eople </w:t>
      </w:r>
      <w:r w:rsidR="00E57B99" w:rsidRPr="00E84BAE">
        <w:t xml:space="preserve">with </w:t>
      </w:r>
      <w:r w:rsidR="0075774A" w:rsidRPr="00E84BAE">
        <w:t>cognitive disability</w:t>
      </w:r>
      <w:r w:rsidR="00BC0C69" w:rsidRPr="00E84BAE">
        <w:t>.</w:t>
      </w:r>
      <w:r w:rsidR="0075774A" w:rsidRPr="00E84BAE">
        <w:rPr>
          <w:vertAlign w:val="superscript"/>
        </w:rPr>
        <w:t xml:space="preserve"> </w:t>
      </w:r>
      <w:r w:rsidR="0075774A" w:rsidRPr="002E269C">
        <w:rPr>
          <w:vertAlign w:val="superscript"/>
        </w:rPr>
        <w:footnoteReference w:id="103"/>
      </w:r>
      <w:r w:rsidR="00E84BAE" w:rsidRPr="00E84BAE">
        <w:t xml:space="preserve"> </w:t>
      </w:r>
    </w:p>
    <w:p w14:paraId="677240DF" w14:textId="58F33B7E" w:rsidR="00E84BAE" w:rsidRDefault="00E84BAE" w:rsidP="00396190">
      <w:r w:rsidRPr="00E84BAE">
        <w:t xml:space="preserve">Likewise, the existing literature into Maori people with disability mostly relates to </w:t>
      </w:r>
      <w:r w:rsidR="00501FC4">
        <w:t xml:space="preserve">the </w:t>
      </w:r>
      <w:r w:rsidRPr="00E84BAE">
        <w:t>criminal justice system and mental health processes</w:t>
      </w:r>
      <w:r w:rsidR="00C924C7">
        <w:t>.</w:t>
      </w:r>
      <w:r w:rsidR="001431CC">
        <w:rPr>
          <w:rStyle w:val="FootnoteReference"/>
        </w:rPr>
        <w:footnoteReference w:id="104"/>
      </w:r>
      <w:r w:rsidRPr="00E84BAE">
        <w:t xml:space="preserve"> </w:t>
      </w:r>
      <w:r>
        <w:t xml:space="preserve">The literature suggests that Maori youth in particular are overrepresented in both criminal justice statistics and youth forensic services, </w:t>
      </w:r>
      <w:r w:rsidR="00021B04">
        <w:t>and that further research into Maori mental health is important to inform ongoing service development and essential to striving for equity in mental health outcomes and offending rates among Maori</w:t>
      </w:r>
      <w:r w:rsidR="00501FC4">
        <w:t xml:space="preserve"> people</w:t>
      </w:r>
      <w:r>
        <w:t>.</w:t>
      </w:r>
      <w:r>
        <w:rPr>
          <w:rStyle w:val="FootnoteReference"/>
        </w:rPr>
        <w:footnoteReference w:id="105"/>
      </w:r>
    </w:p>
    <w:p w14:paraId="2F07C2D4" w14:textId="591E2DFB" w:rsidR="004F18AF" w:rsidRPr="002E269C" w:rsidRDefault="00FE0A03" w:rsidP="00396190">
      <w:pPr>
        <w:rPr>
          <w:i/>
        </w:rPr>
      </w:pPr>
      <w:r w:rsidRPr="002E269C">
        <w:t xml:space="preserve">While there is evidence of more </w:t>
      </w:r>
      <w:r w:rsidR="004F18AF" w:rsidRPr="002E269C">
        <w:t xml:space="preserve">inclusive and participatory </w:t>
      </w:r>
      <w:r w:rsidRPr="002E269C">
        <w:t xml:space="preserve">research </w:t>
      </w:r>
      <w:r w:rsidR="004F18AF" w:rsidRPr="002E269C">
        <w:t xml:space="preserve">in relation to </w:t>
      </w:r>
      <w:r w:rsidR="00E44EF9">
        <w:t>Aboriginal and Torres Strait Islander</w:t>
      </w:r>
      <w:r w:rsidR="004F18AF" w:rsidRPr="002E269C">
        <w:t xml:space="preserve"> </w:t>
      </w:r>
      <w:r w:rsidR="00FE2E7F" w:rsidRPr="002E269C">
        <w:t>communities and representatives</w:t>
      </w:r>
      <w:r w:rsidR="000414E5" w:rsidRPr="002E269C">
        <w:t>,</w:t>
      </w:r>
      <w:r w:rsidR="00FE2E7F" w:rsidRPr="002E269C">
        <w:t xml:space="preserve"> this is not necessarily</w:t>
      </w:r>
      <w:r w:rsidR="00AD41F2" w:rsidRPr="002E269C">
        <w:t xml:space="preserve"> the case</w:t>
      </w:r>
      <w:r w:rsidR="001D3469">
        <w:t xml:space="preserve"> in relation to those with </w:t>
      </w:r>
      <w:r w:rsidR="006A28EB" w:rsidRPr="002E269C">
        <w:t>disability.</w:t>
      </w:r>
      <w:r w:rsidR="004F18AF" w:rsidRPr="002E269C">
        <w:rPr>
          <w:rStyle w:val="FootnoteReference"/>
          <w:color w:val="000000" w:themeColor="text1"/>
        </w:rPr>
        <w:footnoteReference w:id="106"/>
      </w:r>
      <w:r w:rsidR="004F18AF" w:rsidRPr="002E269C">
        <w:t xml:space="preserve"> </w:t>
      </w:r>
      <w:r w:rsidR="005F4422">
        <w:t xml:space="preserve">However, there have been participatory methods used in unfitness to plead research related to </w:t>
      </w:r>
      <w:r w:rsidR="001D3469" w:rsidRPr="00E84BAE">
        <w:t xml:space="preserve">Aboriginal </w:t>
      </w:r>
      <w:r w:rsidR="001D3469">
        <w:t xml:space="preserve">and Torres Strait Islander </w:t>
      </w:r>
      <w:r w:rsidR="001D3469" w:rsidRPr="00E84BAE">
        <w:t>people</w:t>
      </w:r>
      <w:r w:rsidR="001D3469">
        <w:t xml:space="preserve"> </w:t>
      </w:r>
      <w:r w:rsidR="005F4422">
        <w:t>with cognitive disability</w:t>
      </w:r>
      <w:r w:rsidR="006E01BB">
        <w:t xml:space="preserve"> and in New Zealand</w:t>
      </w:r>
      <w:r w:rsidR="00CA597A">
        <w:t xml:space="preserve"> in relation to young people</w:t>
      </w:r>
      <w:r w:rsidR="006E01BB">
        <w:t xml:space="preserve"> using kaupapa Maori research methods</w:t>
      </w:r>
      <w:r w:rsidR="005F4422">
        <w:t>.</w:t>
      </w:r>
      <w:r w:rsidR="005F4422">
        <w:rPr>
          <w:rStyle w:val="FootnoteReference"/>
          <w:color w:val="000000" w:themeColor="text1"/>
        </w:rPr>
        <w:footnoteReference w:id="107"/>
      </w:r>
      <w:r w:rsidR="005F4422">
        <w:t xml:space="preserve"> </w:t>
      </w:r>
      <w:r w:rsidR="001A2EB6" w:rsidRPr="002E269C">
        <w:t xml:space="preserve">Research </w:t>
      </w:r>
      <w:r w:rsidR="000414E5" w:rsidRPr="002E269C">
        <w:t xml:space="preserve">on this theme </w:t>
      </w:r>
      <w:r w:rsidR="001A2EB6" w:rsidRPr="002E269C">
        <w:t>is heavily f</w:t>
      </w:r>
      <w:r w:rsidR="00D3493C" w:rsidRPr="002E269C">
        <w:t xml:space="preserve">ocused on criminal justice with gaps in research about </w:t>
      </w:r>
      <w:r w:rsidR="00207F0C" w:rsidRPr="002E269C">
        <w:t>interactions</w:t>
      </w:r>
      <w:r w:rsidR="00D3493C" w:rsidRPr="002E269C">
        <w:t xml:space="preserve"> with </w:t>
      </w:r>
      <w:r w:rsidR="004B0655" w:rsidRPr="002E269C">
        <w:t xml:space="preserve">other aspects of </w:t>
      </w:r>
      <w:r w:rsidR="005F4422">
        <w:t>access to justice</w:t>
      </w:r>
      <w:r w:rsidR="009E3068">
        <w:t xml:space="preserve"> that need to be addressed.</w:t>
      </w:r>
    </w:p>
    <w:p w14:paraId="7DB2AC0A" w14:textId="239F5DCC" w:rsidR="00C351D2" w:rsidRPr="002E269C" w:rsidRDefault="00C351D2" w:rsidP="0065659F">
      <w:pPr>
        <w:pStyle w:val="Heading3"/>
      </w:pPr>
      <w:bookmarkStart w:id="42" w:name="_Toc514751835"/>
      <w:r w:rsidRPr="002E269C">
        <w:lastRenderedPageBreak/>
        <w:t xml:space="preserve">Theme </w:t>
      </w:r>
      <w:r w:rsidR="00DD178E">
        <w:t>7</w:t>
      </w:r>
      <w:r w:rsidR="005D7016">
        <w:t>: Immigration, m</w:t>
      </w:r>
      <w:r w:rsidR="00DD178E">
        <w:t>ig</w:t>
      </w:r>
      <w:r w:rsidR="005D7016">
        <w:t>ration and culturally and linguistically d</w:t>
      </w:r>
      <w:r w:rsidR="00DD178E">
        <w:t>iverse</w:t>
      </w:r>
      <w:r w:rsidR="005D7016">
        <w:t xml:space="preserve"> c</w:t>
      </w:r>
      <w:r w:rsidRPr="002E269C">
        <w:t>ommunities</w:t>
      </w:r>
      <w:bookmarkEnd w:id="42"/>
    </w:p>
    <w:p w14:paraId="044B1599" w14:textId="77777777" w:rsidR="00DB1110" w:rsidRPr="002E269C" w:rsidRDefault="006E04E8" w:rsidP="00396190">
      <w:r w:rsidRPr="002E269C">
        <w:t>The particular profile, experience and issues affecting people with disability from cultur</w:t>
      </w:r>
      <w:r w:rsidR="00DD178E">
        <w:t>ally and linguistically diverse (CALD)</w:t>
      </w:r>
      <w:r w:rsidRPr="002E269C">
        <w:t xml:space="preserve"> communities was identified in the</w:t>
      </w:r>
      <w:r w:rsidR="00C37B33" w:rsidRPr="002E269C">
        <w:t xml:space="preserve"> </w:t>
      </w:r>
      <w:r w:rsidR="00C37B33" w:rsidRPr="00620053">
        <w:rPr>
          <w:i/>
        </w:rPr>
        <w:t>Disability Research</w:t>
      </w:r>
      <w:r w:rsidRPr="00620053">
        <w:rPr>
          <w:i/>
        </w:rPr>
        <w:t xml:space="preserve"> Audit</w:t>
      </w:r>
      <w:r w:rsidRPr="002E269C">
        <w:t xml:space="preserve"> as an area that the majority of research on </w:t>
      </w:r>
      <w:r w:rsidR="00700B63">
        <w:t>people</w:t>
      </w:r>
      <w:r w:rsidRPr="002E269C">
        <w:t xml:space="preserve"> with </w:t>
      </w:r>
      <w:r w:rsidR="00515A51">
        <w:t>disability</w:t>
      </w:r>
      <w:r w:rsidRPr="002E269C">
        <w:t xml:space="preserve"> did not address.</w:t>
      </w:r>
      <w:r w:rsidR="005A456B" w:rsidRPr="002E269C">
        <w:rPr>
          <w:rStyle w:val="FootnoteReference"/>
        </w:rPr>
        <w:footnoteReference w:id="108"/>
      </w:r>
      <w:r w:rsidRPr="002E269C">
        <w:t xml:space="preserve"> </w:t>
      </w:r>
      <w:r w:rsidR="00DB1110" w:rsidRPr="002E269C">
        <w:t>R</w:t>
      </w:r>
      <w:r w:rsidRPr="002E269C">
        <w:t>esearch on this area</w:t>
      </w:r>
      <w:r w:rsidR="00DB1110" w:rsidRPr="002E269C">
        <w:t xml:space="preserve"> remains </w:t>
      </w:r>
      <w:r w:rsidRPr="002E269C">
        <w:t xml:space="preserve">scarce. </w:t>
      </w:r>
    </w:p>
    <w:p w14:paraId="37E83BCE" w14:textId="3CC6F86F" w:rsidR="006E04E8" w:rsidRDefault="000C5511" w:rsidP="00396190">
      <w:r w:rsidRPr="002E269C">
        <w:t>A recent</w:t>
      </w:r>
      <w:r w:rsidR="006E04E8" w:rsidRPr="002E269C">
        <w:t xml:space="preserve"> literature review </w:t>
      </w:r>
      <w:r w:rsidRPr="002E269C">
        <w:t>found that</w:t>
      </w:r>
      <w:r w:rsidR="006E04E8" w:rsidRPr="002E269C">
        <w:t xml:space="preserve"> refugees and asylum seekers remain largely absent from both resettlement literature and disability research</w:t>
      </w:r>
      <w:r w:rsidR="002C1922">
        <w:t xml:space="preserve"> in Australia</w:t>
      </w:r>
      <w:r w:rsidR="006E04E8" w:rsidRPr="002E269C">
        <w:t>.</w:t>
      </w:r>
      <w:r w:rsidR="004270AC" w:rsidRPr="002E269C">
        <w:rPr>
          <w:rStyle w:val="FootnoteReference"/>
          <w:color w:val="000000" w:themeColor="text1"/>
        </w:rPr>
        <w:footnoteReference w:id="109"/>
      </w:r>
      <w:r w:rsidR="006E04E8" w:rsidRPr="002E269C">
        <w:t xml:space="preserve"> Issues </w:t>
      </w:r>
      <w:r w:rsidR="0098035F" w:rsidRPr="002E269C">
        <w:t xml:space="preserve">identified </w:t>
      </w:r>
      <w:r w:rsidR="006E04E8" w:rsidRPr="002E269C">
        <w:t>in the</w:t>
      </w:r>
      <w:r w:rsidR="0098035F" w:rsidRPr="002E269C">
        <w:t xml:space="preserve"> existing</w:t>
      </w:r>
      <w:r w:rsidR="006E04E8" w:rsidRPr="002E269C">
        <w:t xml:space="preserve"> scholarship</w:t>
      </w:r>
      <w:r w:rsidR="00E32112" w:rsidRPr="002E269C">
        <w:t xml:space="preserve"> on refugees and asylum seekers</w:t>
      </w:r>
      <w:r w:rsidR="006E04E8" w:rsidRPr="002E269C">
        <w:t xml:space="preserve"> include </w:t>
      </w:r>
      <w:r w:rsidR="0098035F" w:rsidRPr="002E269C">
        <w:t xml:space="preserve">the </w:t>
      </w:r>
      <w:r w:rsidR="006E04E8" w:rsidRPr="002E269C">
        <w:t>conflati</w:t>
      </w:r>
      <w:r w:rsidR="0098035F" w:rsidRPr="002E269C">
        <w:t>on of</w:t>
      </w:r>
      <w:r w:rsidR="006E04E8" w:rsidRPr="002E269C">
        <w:t xml:space="preserve"> ‘mental illness’ caused by the migratory process (particularly the impact of detention) with that of ‘social’ disability, caused by structural disadvantage and marginalisation.</w:t>
      </w:r>
      <w:r w:rsidR="006E04E8" w:rsidRPr="002E269C">
        <w:rPr>
          <w:rStyle w:val="FootnoteReference"/>
          <w:color w:val="000000" w:themeColor="text1"/>
        </w:rPr>
        <w:footnoteReference w:id="110"/>
      </w:r>
      <w:r w:rsidR="006E04E8" w:rsidRPr="002E269C">
        <w:t xml:space="preserve"> Moreover, there appear</w:t>
      </w:r>
      <w:r w:rsidR="00294350">
        <w:t>s</w:t>
      </w:r>
      <w:r w:rsidR="006E04E8" w:rsidRPr="002E269C">
        <w:t xml:space="preserve"> to be a lack of initiatives under national disability policy, including the new </w:t>
      </w:r>
      <w:r w:rsidR="005F4422">
        <w:t>National Disability Insurance Scheme (</w:t>
      </w:r>
      <w:r w:rsidR="006E04E8" w:rsidRPr="002E269C">
        <w:t>NDIS</w:t>
      </w:r>
      <w:r w:rsidR="005F4422">
        <w:t>)</w:t>
      </w:r>
      <w:r w:rsidR="006E04E8" w:rsidRPr="002E269C">
        <w:t xml:space="preserve">, </w:t>
      </w:r>
      <w:r w:rsidR="005F4422">
        <w:t>which</w:t>
      </w:r>
      <w:r w:rsidR="006E04E8" w:rsidRPr="002E269C">
        <w:t xml:space="preserve"> give consideration to refugee migration and resettlement and the resulting implications for </w:t>
      </w:r>
      <w:r w:rsidR="001D3469">
        <w:t>the participation and inclusion of people with disability</w:t>
      </w:r>
      <w:r w:rsidR="006E04E8" w:rsidRPr="002E269C">
        <w:t>.</w:t>
      </w:r>
      <w:r w:rsidR="006E04E8" w:rsidRPr="002E269C">
        <w:rPr>
          <w:rStyle w:val="FootnoteReference"/>
          <w:color w:val="000000" w:themeColor="text1"/>
        </w:rPr>
        <w:footnoteReference w:id="111"/>
      </w:r>
      <w:r w:rsidR="00E6500A">
        <w:t xml:space="preserve"> </w:t>
      </w:r>
    </w:p>
    <w:p w14:paraId="545AD3BC" w14:textId="5501048F" w:rsidR="00803BF4" w:rsidRPr="00362DAE" w:rsidRDefault="00803BF4" w:rsidP="00396190">
      <w:r>
        <w:rPr>
          <w:color w:val="000000" w:themeColor="text1"/>
        </w:rPr>
        <w:t xml:space="preserve">One </w:t>
      </w:r>
      <w:r w:rsidRPr="00E6500A">
        <w:rPr>
          <w:color w:val="000000" w:themeColor="text1"/>
        </w:rPr>
        <w:t>N</w:t>
      </w:r>
      <w:r>
        <w:rPr>
          <w:color w:val="000000" w:themeColor="text1"/>
        </w:rPr>
        <w:t xml:space="preserve">ew Zealand </w:t>
      </w:r>
      <w:r w:rsidRPr="00E6500A">
        <w:rPr>
          <w:color w:val="000000" w:themeColor="text1"/>
        </w:rPr>
        <w:t xml:space="preserve">article has addressed </w:t>
      </w:r>
      <w:r>
        <w:t xml:space="preserve">the narrow question of rights accorded to migrants suffering from mental harm under the </w:t>
      </w:r>
      <w:r w:rsidRPr="00620053">
        <w:rPr>
          <w:i/>
        </w:rPr>
        <w:t>Immigration Act 2009</w:t>
      </w:r>
      <w:r w:rsidR="00620053">
        <w:t xml:space="preserve"> (NZ)</w:t>
      </w:r>
      <w:r>
        <w:t>.</w:t>
      </w:r>
      <w:r>
        <w:rPr>
          <w:rStyle w:val="FootnoteReference"/>
        </w:rPr>
        <w:footnoteReference w:id="112"/>
      </w:r>
      <w:r>
        <w:t xml:space="preserve"> This article argues that deportation policies under New Zealand law </w:t>
      </w:r>
      <w:r w:rsidR="00A83AC1">
        <w:t>need to be</w:t>
      </w:r>
      <w:r>
        <w:t xml:space="preserve"> reformed to align with international human rights obligations for people with disability</w:t>
      </w:r>
      <w:r w:rsidR="001D3469" w:rsidRPr="001D3469">
        <w:t xml:space="preserve"> </w:t>
      </w:r>
      <w:r w:rsidR="001D3469">
        <w:t>(including mental illness)</w:t>
      </w:r>
      <w:r>
        <w:t>, including equal treatment before the law in relation to deportation.</w:t>
      </w:r>
      <w:r w:rsidR="00620053">
        <w:rPr>
          <w:rStyle w:val="FootnoteReference"/>
        </w:rPr>
        <w:footnoteReference w:id="113"/>
      </w:r>
    </w:p>
    <w:p w14:paraId="48AE69F6" w14:textId="11E4AC58" w:rsidR="006E04E8" w:rsidRPr="002E269C" w:rsidRDefault="006E04E8" w:rsidP="00396190">
      <w:r w:rsidRPr="002E269C">
        <w:t xml:space="preserve">Further research is required </w:t>
      </w:r>
      <w:r w:rsidR="001C7A85" w:rsidRPr="002E269C">
        <w:t xml:space="preserve">on access to justice for people with disability from </w:t>
      </w:r>
      <w:r w:rsidR="00620053">
        <w:t xml:space="preserve">culturally and linguistically diverse </w:t>
      </w:r>
      <w:r w:rsidR="001C7A85" w:rsidRPr="002E269C">
        <w:t xml:space="preserve">communities and refugee or asylum seeker </w:t>
      </w:r>
      <w:r w:rsidR="005F4422" w:rsidRPr="002E269C">
        <w:t>backgrounds</w:t>
      </w:r>
      <w:r w:rsidR="00012D70" w:rsidRPr="002E269C">
        <w:t xml:space="preserve">. </w:t>
      </w:r>
      <w:r w:rsidR="00746325" w:rsidRPr="002E269C">
        <w:t xml:space="preserve">Future research should also strive to be participatory and </w:t>
      </w:r>
      <w:r w:rsidR="005F11FB">
        <w:t>to include</w:t>
      </w:r>
      <w:r w:rsidR="00746325" w:rsidRPr="002E269C">
        <w:t xml:space="preserve"> </w:t>
      </w:r>
      <w:r w:rsidR="00700B63">
        <w:t>people</w:t>
      </w:r>
      <w:r w:rsidR="00746325" w:rsidRPr="002E269C">
        <w:t xml:space="preserve"> with </w:t>
      </w:r>
      <w:r w:rsidR="00515A51">
        <w:t>disability</w:t>
      </w:r>
      <w:r w:rsidR="00746325" w:rsidRPr="002E269C">
        <w:t xml:space="preserve"> from these backgrounds, as there is little evidence of this in the current literature on this theme.</w:t>
      </w:r>
    </w:p>
    <w:p w14:paraId="081A168F" w14:textId="6C2F7C24" w:rsidR="00C351D2" w:rsidRPr="002E269C" w:rsidRDefault="00971339" w:rsidP="0065659F">
      <w:pPr>
        <w:pStyle w:val="Heading3"/>
      </w:pPr>
      <w:bookmarkStart w:id="43" w:name="_Toc514751836"/>
      <w:r w:rsidRPr="002E269C">
        <w:t>Theme 8</w:t>
      </w:r>
      <w:r w:rsidR="005D7016">
        <w:t>:</w:t>
      </w:r>
      <w:r w:rsidRPr="002E269C">
        <w:t xml:space="preserve"> </w:t>
      </w:r>
      <w:r w:rsidR="00C351D2" w:rsidRPr="002E269C">
        <w:t>Women</w:t>
      </w:r>
      <w:bookmarkEnd w:id="43"/>
      <w:r w:rsidR="00C351D2" w:rsidRPr="002E269C">
        <w:t xml:space="preserve"> </w:t>
      </w:r>
    </w:p>
    <w:p w14:paraId="120274AD" w14:textId="77777777" w:rsidR="001135E6" w:rsidRDefault="00831351" w:rsidP="00396190">
      <w:r w:rsidRPr="002E269C">
        <w:t>The</w:t>
      </w:r>
      <w:r w:rsidR="00C57821" w:rsidRPr="002E269C">
        <w:t xml:space="preserve"> </w:t>
      </w:r>
      <w:r w:rsidR="00C57821" w:rsidRPr="00BF4800">
        <w:rPr>
          <w:i/>
        </w:rPr>
        <w:t>Disability Research</w:t>
      </w:r>
      <w:r w:rsidRPr="00BF4800">
        <w:rPr>
          <w:i/>
        </w:rPr>
        <w:t xml:space="preserve"> </w:t>
      </w:r>
      <w:r w:rsidR="006E04E8" w:rsidRPr="00BF4800">
        <w:rPr>
          <w:i/>
        </w:rPr>
        <w:t>Audit</w:t>
      </w:r>
      <w:r w:rsidR="006E04E8" w:rsidRPr="002E269C">
        <w:t xml:space="preserve"> also identified that the majority of the existing disability research did not address the profile, experience or issues specifically affecting women with disability.</w:t>
      </w:r>
      <w:r w:rsidR="00D4392D" w:rsidRPr="002E269C">
        <w:rPr>
          <w:rStyle w:val="FootnoteReference"/>
          <w:rFonts w:cs="Helvetica"/>
          <w:color w:val="000000" w:themeColor="text1"/>
        </w:rPr>
        <w:footnoteReference w:id="114"/>
      </w:r>
      <w:r w:rsidR="006E04E8" w:rsidRPr="002E269C">
        <w:t xml:space="preserve"> Since 2012, there has been a growing body of research related to</w:t>
      </w:r>
      <w:r w:rsidR="00B25456" w:rsidRPr="002E269C">
        <w:t xml:space="preserve"> access to justice for</w:t>
      </w:r>
      <w:r w:rsidR="006E04E8" w:rsidRPr="002E269C">
        <w:t xml:space="preserve"> women with disability</w:t>
      </w:r>
      <w:r w:rsidR="00B802C3" w:rsidRPr="002E269C">
        <w:t xml:space="preserve">, much of which has focused on violence perpetrated against them </w:t>
      </w:r>
      <w:r w:rsidR="00B802C3" w:rsidRPr="002E269C">
        <w:lastRenderedPageBreak/>
        <w:t>in domestic or service settings</w:t>
      </w:r>
      <w:r w:rsidR="006E04E8" w:rsidRPr="002E269C">
        <w:t>.</w:t>
      </w:r>
      <w:bookmarkStart w:id="44" w:name="_Ref514502088"/>
      <w:r w:rsidR="004A24B2" w:rsidRPr="002E269C">
        <w:rPr>
          <w:rStyle w:val="FootnoteReference"/>
          <w:color w:val="000000" w:themeColor="text1"/>
        </w:rPr>
        <w:footnoteReference w:id="115"/>
      </w:r>
      <w:bookmarkEnd w:id="44"/>
      <w:r w:rsidR="00070542" w:rsidRPr="002E269C">
        <w:t xml:space="preserve"> </w:t>
      </w:r>
      <w:r w:rsidR="001135E6">
        <w:t xml:space="preserve">There is a significant gap in all other areas of access to justice issues related to women with disability. </w:t>
      </w:r>
    </w:p>
    <w:p w14:paraId="33BD3276" w14:textId="2318D4AB" w:rsidR="0088068D" w:rsidRDefault="00E25AF4" w:rsidP="00396190">
      <w:r w:rsidRPr="002E269C">
        <w:t>The</w:t>
      </w:r>
      <w:r w:rsidR="006E04E8" w:rsidRPr="002E269C">
        <w:t xml:space="preserve"> prevalence of</w:t>
      </w:r>
      <w:r w:rsidR="007651A2" w:rsidRPr="002E269C">
        <w:t xml:space="preserve"> </w:t>
      </w:r>
      <w:r w:rsidR="006E04E8" w:rsidRPr="002E269C">
        <w:t>violence</w:t>
      </w:r>
      <w:r w:rsidR="007651A2" w:rsidRPr="002E269C">
        <w:t xml:space="preserve"> against women with</w:t>
      </w:r>
      <w:r w:rsidR="006E04E8" w:rsidRPr="002E269C">
        <w:t xml:space="preserve"> disability has proven </w:t>
      </w:r>
      <w:r w:rsidRPr="002E269C">
        <w:t>to be difficult to measure due to a</w:t>
      </w:r>
      <w:r w:rsidR="006E04E8" w:rsidRPr="002E269C">
        <w:t xml:space="preserve"> lack of national data.</w:t>
      </w:r>
      <w:r w:rsidR="00C93235">
        <w:rPr>
          <w:rStyle w:val="FootnoteReference"/>
        </w:rPr>
        <w:footnoteReference w:id="116"/>
      </w:r>
      <w:r w:rsidR="006E04E8" w:rsidRPr="002E269C">
        <w:t xml:space="preserve"> T</w:t>
      </w:r>
      <w:r w:rsidR="007A445C" w:rsidRPr="002E269C">
        <w:t xml:space="preserve">he existing research identifies </w:t>
      </w:r>
      <w:r w:rsidR="006E04E8" w:rsidRPr="002E269C">
        <w:t xml:space="preserve">under-reporting and inadequate </w:t>
      </w:r>
      <w:r w:rsidR="00C84304" w:rsidRPr="002E269C">
        <w:t>recording of data in the</w:t>
      </w:r>
      <w:r w:rsidR="006E04E8" w:rsidRPr="002E269C">
        <w:t xml:space="preserve"> current national surveys as contributing to this problem.</w:t>
      </w:r>
      <w:r w:rsidR="006E04E8" w:rsidRPr="002E269C">
        <w:rPr>
          <w:rStyle w:val="FootnoteReference"/>
          <w:color w:val="000000" w:themeColor="text1"/>
        </w:rPr>
        <w:footnoteReference w:id="117"/>
      </w:r>
      <w:r w:rsidR="001135E6">
        <w:rPr>
          <w:rFonts w:cs="Helvetica"/>
        </w:rPr>
        <w:t xml:space="preserve"> </w:t>
      </w:r>
      <w:r w:rsidR="0088068D">
        <w:t>W</w:t>
      </w:r>
      <w:r w:rsidR="0088068D" w:rsidRPr="002E269C">
        <w:t>omen with intellectual disability</w:t>
      </w:r>
      <w:r w:rsidR="0088068D">
        <w:t>,</w:t>
      </w:r>
      <w:r w:rsidR="0088068D" w:rsidRPr="002E269C">
        <w:t xml:space="preserve"> in particular</w:t>
      </w:r>
      <w:r w:rsidR="0088068D">
        <w:t>,</w:t>
      </w:r>
      <w:r w:rsidR="0088068D" w:rsidRPr="002E269C">
        <w:t xml:space="preserve"> are under-represented in domestic violence research, despite being one of the groups most at risk of violence and abuse.</w:t>
      </w:r>
      <w:bookmarkStart w:id="45" w:name="_Ref514502339"/>
      <w:r w:rsidR="0088068D" w:rsidRPr="002E269C">
        <w:rPr>
          <w:rStyle w:val="FootnoteReference"/>
          <w:color w:val="000000" w:themeColor="text1"/>
        </w:rPr>
        <w:footnoteReference w:id="118"/>
      </w:r>
      <w:bookmarkEnd w:id="45"/>
      <w:r w:rsidR="0088068D" w:rsidRPr="002E269C">
        <w:t xml:space="preserve"> The literature specifically identifies issues </w:t>
      </w:r>
      <w:r w:rsidR="00CA5D36">
        <w:t xml:space="preserve">in </w:t>
      </w:r>
      <w:r w:rsidR="0088068D" w:rsidRPr="002E269C">
        <w:t xml:space="preserve">accessing and engaging with women with </w:t>
      </w:r>
      <w:r w:rsidR="0088068D">
        <w:t>disability</w:t>
      </w:r>
      <w:r w:rsidR="0088068D" w:rsidRPr="002E269C">
        <w:t xml:space="preserve"> in institutional and residential settings.</w:t>
      </w:r>
      <w:r w:rsidR="0088068D" w:rsidRPr="002E269C">
        <w:rPr>
          <w:rStyle w:val="FootnoteReference"/>
          <w:color w:val="000000" w:themeColor="text1"/>
        </w:rPr>
        <w:footnoteReference w:id="119"/>
      </w:r>
      <w:r w:rsidR="0088068D" w:rsidRPr="002E269C">
        <w:t xml:space="preserve"> </w:t>
      </w:r>
      <w:r w:rsidR="001135E6" w:rsidRPr="002E269C">
        <w:t>Existing research points to the need for an intersectional approach to research and policy that recognises the relationship between disability violence and gendered violence in both research and reporting in this area.</w:t>
      </w:r>
      <w:r w:rsidR="001135E6" w:rsidRPr="002E269C">
        <w:rPr>
          <w:rStyle w:val="FootnoteReference"/>
          <w:color w:val="000000" w:themeColor="text1"/>
        </w:rPr>
        <w:footnoteReference w:id="120"/>
      </w:r>
      <w:r w:rsidR="001135E6" w:rsidRPr="002E269C">
        <w:t xml:space="preserve"> </w:t>
      </w:r>
    </w:p>
    <w:p w14:paraId="1A052580" w14:textId="77777777" w:rsidR="000B0313" w:rsidRPr="000B0313" w:rsidRDefault="001135E6" w:rsidP="00396190">
      <w:pPr>
        <w:rPr>
          <w:b/>
        </w:rPr>
      </w:pPr>
      <w:r w:rsidRPr="000B0313">
        <w:t>The literature also acknowledges a need for future research focused on supporting women with intellectual disability in a way that allows for autonomy yet prevents abuse.</w:t>
      </w:r>
      <w:r w:rsidRPr="002E269C">
        <w:rPr>
          <w:rStyle w:val="FootnoteReference"/>
          <w:color w:val="000000" w:themeColor="text1"/>
        </w:rPr>
        <w:footnoteReference w:id="121"/>
      </w:r>
      <w:r w:rsidR="005E5CA3" w:rsidRPr="000B0313">
        <w:t xml:space="preserve"> Future research should</w:t>
      </w:r>
      <w:r w:rsidRPr="000B0313">
        <w:t xml:space="preserve"> acknowledge the interrelated issues for women with disability in the criminal justice system and the child protection system in relation to rights-based versus interventionist </w:t>
      </w:r>
      <w:r w:rsidRPr="000B0313">
        <w:lastRenderedPageBreak/>
        <w:t>approaches.</w:t>
      </w:r>
      <w:r w:rsidR="005E5CA3">
        <w:rPr>
          <w:rStyle w:val="FootnoteReference"/>
          <w:color w:val="000000" w:themeColor="text1"/>
        </w:rPr>
        <w:footnoteReference w:id="122"/>
      </w:r>
      <w:r w:rsidRPr="000B0313">
        <w:t xml:space="preserve"> </w:t>
      </w:r>
      <w:r w:rsidR="0088068D" w:rsidRPr="000B0313">
        <w:t xml:space="preserve">Research beyond that related to violence is much needed in the area of women with disability and access to justice. </w:t>
      </w:r>
      <w:r w:rsidR="000B0313" w:rsidRPr="000B0313">
        <w:t xml:space="preserve">In addition, </w:t>
      </w:r>
      <w:r w:rsidR="000B0313">
        <w:t>further research is needed to pinpoint and address the underlying social customs through whi</w:t>
      </w:r>
      <w:r w:rsidR="005C3C7A">
        <w:t>ch requests for medical sterilis</w:t>
      </w:r>
      <w:r w:rsidR="000B0313">
        <w:t>ation procedures are negotiated and resolved.</w:t>
      </w:r>
      <w:r w:rsidR="000B0313">
        <w:rPr>
          <w:rStyle w:val="FootnoteReference"/>
        </w:rPr>
        <w:footnoteReference w:id="123"/>
      </w:r>
    </w:p>
    <w:p w14:paraId="069951B8" w14:textId="1321D35C" w:rsidR="006E04E8" w:rsidRPr="002E269C" w:rsidRDefault="000A59E8" w:rsidP="00396190">
      <w:r w:rsidRPr="002E269C">
        <w:t xml:space="preserve">Some of the literature, particularly in relation to violence against women with </w:t>
      </w:r>
      <w:r w:rsidR="00515A51">
        <w:t>disability</w:t>
      </w:r>
      <w:r w:rsidR="00C70541">
        <w:t>,</w:t>
      </w:r>
      <w:r w:rsidR="00BE01F8" w:rsidRPr="002E269C">
        <w:t xml:space="preserve"> </w:t>
      </w:r>
      <w:r w:rsidR="00F41C91">
        <w:t>has been</w:t>
      </w:r>
      <w:r w:rsidR="004B1A9A" w:rsidRPr="002E269C">
        <w:t xml:space="preserve"> participatory</w:t>
      </w:r>
      <w:r w:rsidR="00DC1A34">
        <w:t>.</w:t>
      </w:r>
      <w:r w:rsidR="00DF14C6" w:rsidRPr="002E269C">
        <w:rPr>
          <w:rStyle w:val="FootnoteReference"/>
          <w:color w:val="000000" w:themeColor="text1"/>
        </w:rPr>
        <w:footnoteReference w:id="124"/>
      </w:r>
      <w:r w:rsidR="004B1A9A" w:rsidRPr="002E269C">
        <w:t xml:space="preserve"> </w:t>
      </w:r>
      <w:r w:rsidR="00DC1A34">
        <w:t>T</w:t>
      </w:r>
      <w:r w:rsidR="004B1A9A" w:rsidRPr="002E269C">
        <w:t>his i</w:t>
      </w:r>
      <w:r w:rsidR="00BE01F8" w:rsidRPr="002E269C">
        <w:t>s not</w:t>
      </w:r>
      <w:r w:rsidR="00DC1A34">
        <w:t>, however,</w:t>
      </w:r>
      <w:r w:rsidR="00BE01F8" w:rsidRPr="002E269C">
        <w:t xml:space="preserve"> the case for all research</w:t>
      </w:r>
      <w:r w:rsidR="007C22F3" w:rsidRPr="002E269C">
        <w:t xml:space="preserve"> on this theme. </w:t>
      </w:r>
    </w:p>
    <w:p w14:paraId="43460BB3" w14:textId="430E5AC0" w:rsidR="00C351D2" w:rsidRPr="002E269C" w:rsidRDefault="00971339" w:rsidP="0065659F">
      <w:pPr>
        <w:pStyle w:val="Heading3"/>
      </w:pPr>
      <w:bookmarkStart w:id="46" w:name="_Toc514751837"/>
      <w:r w:rsidRPr="002E269C">
        <w:t>Theme 9</w:t>
      </w:r>
      <w:r w:rsidR="005D7016">
        <w:t>:</w:t>
      </w:r>
      <w:r w:rsidRPr="002E269C">
        <w:t xml:space="preserve"> </w:t>
      </w:r>
      <w:r w:rsidR="00C351D2" w:rsidRPr="002E269C">
        <w:t>Rural</w:t>
      </w:r>
      <w:r w:rsidR="005D7016">
        <w:t xml:space="preserve"> and r</w:t>
      </w:r>
      <w:r w:rsidR="00C351D2" w:rsidRPr="002E269C">
        <w:t>egional</w:t>
      </w:r>
      <w:r w:rsidR="005D7016">
        <w:t xml:space="preserve"> justice i</w:t>
      </w:r>
      <w:r w:rsidR="00DD178E">
        <w:t>ssues</w:t>
      </w:r>
      <w:bookmarkEnd w:id="46"/>
    </w:p>
    <w:p w14:paraId="19B5EFE4" w14:textId="0877AAA0" w:rsidR="00487109" w:rsidRPr="002E269C" w:rsidRDefault="00831351" w:rsidP="00396190">
      <w:r w:rsidRPr="002E269C">
        <w:t xml:space="preserve">The </w:t>
      </w:r>
      <w:r w:rsidR="009E1C34" w:rsidRPr="00DC1A34">
        <w:rPr>
          <w:i/>
        </w:rPr>
        <w:t xml:space="preserve">Disability Research </w:t>
      </w:r>
      <w:r w:rsidR="006E04E8" w:rsidRPr="00DC1A34">
        <w:rPr>
          <w:i/>
        </w:rPr>
        <w:t>Audit</w:t>
      </w:r>
      <w:r w:rsidR="006E04E8" w:rsidRPr="002E269C">
        <w:t xml:space="preserve"> identified people living in remote areas as one of the specific areas that the majority of </w:t>
      </w:r>
      <w:r w:rsidR="00B41ECC" w:rsidRPr="002E269C">
        <w:t xml:space="preserve">existing </w:t>
      </w:r>
      <w:r w:rsidR="00B27307" w:rsidRPr="002E269C">
        <w:t xml:space="preserve">disability </w:t>
      </w:r>
      <w:r w:rsidR="006E04E8" w:rsidRPr="002E269C">
        <w:t xml:space="preserve">research </w:t>
      </w:r>
      <w:r w:rsidR="00B27307" w:rsidRPr="002E269C">
        <w:t xml:space="preserve">had </w:t>
      </w:r>
      <w:r w:rsidR="006E04E8" w:rsidRPr="002E269C">
        <w:t>failed to address.</w:t>
      </w:r>
      <w:r w:rsidR="00180635" w:rsidRPr="002E269C">
        <w:rPr>
          <w:rStyle w:val="FootnoteReference"/>
          <w:color w:val="000000" w:themeColor="text1"/>
        </w:rPr>
        <w:footnoteReference w:id="125"/>
      </w:r>
      <w:r w:rsidR="006E04E8" w:rsidRPr="002E269C">
        <w:t xml:space="preserve"> </w:t>
      </w:r>
      <w:r w:rsidR="0088068D">
        <w:t>In particular, there is very little</w:t>
      </w:r>
      <w:r w:rsidR="00487109" w:rsidRPr="002E269C">
        <w:t xml:space="preserve"> research reflecting the experiences of </w:t>
      </w:r>
      <w:r w:rsidR="00700B63">
        <w:t>people</w:t>
      </w:r>
      <w:r w:rsidR="00487109" w:rsidRPr="002E269C">
        <w:t xml:space="preserve"> </w:t>
      </w:r>
      <w:r w:rsidR="0088068D">
        <w:t xml:space="preserve">with disability </w:t>
      </w:r>
      <w:r w:rsidR="001D3469">
        <w:t>(including</w:t>
      </w:r>
      <w:r w:rsidR="0088068D">
        <w:t xml:space="preserve"> mental </w:t>
      </w:r>
      <w:r w:rsidR="001D3469">
        <w:t>illness)</w:t>
      </w:r>
      <w:r w:rsidR="00487109" w:rsidRPr="002E269C">
        <w:t xml:space="preserve"> living in rural and remote </w:t>
      </w:r>
      <w:r w:rsidR="00941645">
        <w:t>areas</w:t>
      </w:r>
      <w:r w:rsidR="00487109" w:rsidRPr="002E269C">
        <w:t>, and the particular issues they face.</w:t>
      </w:r>
      <w:bookmarkStart w:id="47" w:name="_Ref514503216"/>
      <w:r w:rsidR="00487109" w:rsidRPr="002E269C">
        <w:rPr>
          <w:rStyle w:val="FootnoteReference"/>
          <w:color w:val="000000" w:themeColor="text1"/>
        </w:rPr>
        <w:footnoteReference w:id="126"/>
      </w:r>
      <w:bookmarkEnd w:id="47"/>
      <w:r w:rsidR="00487109" w:rsidRPr="002E269C">
        <w:t xml:space="preserve"> </w:t>
      </w:r>
    </w:p>
    <w:p w14:paraId="451C2F74" w14:textId="26675CB2" w:rsidR="006E04E8" w:rsidRPr="002E269C" w:rsidRDefault="006E04E8" w:rsidP="00396190">
      <w:r w:rsidRPr="002E269C">
        <w:t>Where literature exists</w:t>
      </w:r>
      <w:r w:rsidR="0060294D" w:rsidRPr="002E269C">
        <w:t xml:space="preserve"> in relation to </w:t>
      </w:r>
      <w:r w:rsidR="00770C45" w:rsidRPr="002E269C">
        <w:t>this theme</w:t>
      </w:r>
      <w:r w:rsidRPr="002E269C">
        <w:t xml:space="preserve">, it is mostly limited to issues in </w:t>
      </w:r>
      <w:r w:rsidR="00E7422F" w:rsidRPr="002E269C">
        <w:t xml:space="preserve">relation to rural and regional </w:t>
      </w:r>
      <w:r w:rsidR="00E44EF9">
        <w:t>Aboriginal and Torres Strait Islander</w:t>
      </w:r>
      <w:r w:rsidRPr="002E269C">
        <w:t xml:space="preserve"> communities and criminal justice</w:t>
      </w:r>
      <w:r w:rsidR="005B2AFE" w:rsidRPr="002E269C">
        <w:t xml:space="preserve"> systems and processes</w:t>
      </w:r>
      <w:r w:rsidR="00DC1A34">
        <w:t xml:space="preserve"> (see above, T</w:t>
      </w:r>
      <w:r w:rsidR="00555CE8" w:rsidRPr="002E269C">
        <w:t>heme 6)</w:t>
      </w:r>
      <w:r w:rsidRPr="002E269C">
        <w:t>.</w:t>
      </w:r>
      <w:r w:rsidRPr="002E269C">
        <w:rPr>
          <w:rStyle w:val="FootnoteReference"/>
          <w:color w:val="000000" w:themeColor="text1"/>
        </w:rPr>
        <w:footnoteReference w:id="127"/>
      </w:r>
      <w:r w:rsidRPr="002E269C">
        <w:t xml:space="preserve"> </w:t>
      </w:r>
      <w:r w:rsidR="00C347F3" w:rsidRPr="002E269C">
        <w:t xml:space="preserve"> Future</w:t>
      </w:r>
      <w:r w:rsidR="004475DE" w:rsidRPr="002E269C">
        <w:t xml:space="preserve"> </w:t>
      </w:r>
      <w:r w:rsidRPr="002E269C">
        <w:t xml:space="preserve">research is required </w:t>
      </w:r>
      <w:r w:rsidR="004475DE" w:rsidRPr="002E269C">
        <w:t>regarding</w:t>
      </w:r>
      <w:r w:rsidRPr="002E269C">
        <w:t xml:space="preserve"> </w:t>
      </w:r>
      <w:r w:rsidR="00700B63">
        <w:t>people</w:t>
      </w:r>
      <w:r w:rsidRPr="002E269C">
        <w:t xml:space="preserve"> with </w:t>
      </w:r>
      <w:r w:rsidR="00515A51">
        <w:t>disability</w:t>
      </w:r>
      <w:r w:rsidRPr="002E269C">
        <w:t xml:space="preserve"> in rural and regional areas</w:t>
      </w:r>
      <w:r w:rsidR="004475DE" w:rsidRPr="002E269C">
        <w:t xml:space="preserve"> across the justice system</w:t>
      </w:r>
      <w:r w:rsidR="00644F1D">
        <w:t>, both in Australia and New Zealand.</w:t>
      </w:r>
    </w:p>
    <w:p w14:paraId="1381D358" w14:textId="4E270900" w:rsidR="00353091" w:rsidRPr="002E269C" w:rsidRDefault="0068356E" w:rsidP="00396190">
      <w:pPr>
        <w:pStyle w:val="Heading2"/>
      </w:pPr>
      <w:bookmarkStart w:id="48" w:name="_Toc514751838"/>
      <w:r w:rsidRPr="002E269C">
        <w:t>Research</w:t>
      </w:r>
      <w:r w:rsidR="00DF7A11">
        <w:t xml:space="preserve"> g</w:t>
      </w:r>
      <w:r w:rsidR="004515F6" w:rsidRPr="002E269C">
        <w:t>aps</w:t>
      </w:r>
      <w:r w:rsidR="001D797F" w:rsidRPr="002E269C">
        <w:t xml:space="preserve"> </w:t>
      </w:r>
      <w:r w:rsidR="003574F5">
        <w:t xml:space="preserve">and </w:t>
      </w:r>
      <w:r w:rsidR="00DF7A11">
        <w:t>future research o</w:t>
      </w:r>
      <w:r w:rsidR="003574F5" w:rsidRPr="002E269C">
        <w:t>pportunities in Australia and New Zealand</w:t>
      </w:r>
      <w:bookmarkEnd w:id="48"/>
    </w:p>
    <w:p w14:paraId="6209C7CA" w14:textId="51F249F9" w:rsidR="00301248" w:rsidRPr="002E269C" w:rsidRDefault="00622077" w:rsidP="00396190">
      <w:r w:rsidRPr="002E269C">
        <w:t>While there has been growth in research</w:t>
      </w:r>
      <w:r w:rsidR="00015A46" w:rsidRPr="002E269C">
        <w:t xml:space="preserve"> addressing disability access to justice in some areas</w:t>
      </w:r>
      <w:r w:rsidR="00A769DE">
        <w:t>—</w:t>
      </w:r>
      <w:r w:rsidR="00015A46" w:rsidRPr="002E269C">
        <w:t xml:space="preserve">such as </w:t>
      </w:r>
      <w:r w:rsidRPr="002E269C">
        <w:t>access to justice in the criminal justice system,</w:t>
      </w:r>
      <w:r w:rsidR="00987940" w:rsidRPr="002E269C">
        <w:t xml:space="preserve"> and</w:t>
      </w:r>
      <w:r w:rsidRPr="002E269C">
        <w:t xml:space="preserve"> </w:t>
      </w:r>
      <w:r w:rsidR="00015A46" w:rsidRPr="002E269C">
        <w:t xml:space="preserve">access to justice for </w:t>
      </w:r>
      <w:r w:rsidR="001D3469">
        <w:t>Aboriginal and Torres Strait Islander</w:t>
      </w:r>
      <w:r w:rsidRPr="002E269C">
        <w:t xml:space="preserve"> people and women with disability</w:t>
      </w:r>
      <w:r w:rsidR="00987940" w:rsidRPr="002E269C">
        <w:t xml:space="preserve"> </w:t>
      </w:r>
      <w:r w:rsidR="003574F5">
        <w:t>facing violence</w:t>
      </w:r>
      <w:r w:rsidR="00A769DE">
        <w:t>—</w:t>
      </w:r>
      <w:r w:rsidRPr="002E269C">
        <w:t xml:space="preserve"> this</w:t>
      </w:r>
      <w:r w:rsidR="00DB217E" w:rsidRPr="002E269C">
        <w:t xml:space="preserve"> review revealed</w:t>
      </w:r>
      <w:r w:rsidR="005C58F2" w:rsidRPr="002E269C">
        <w:t xml:space="preserve"> gaps in the researc</w:t>
      </w:r>
      <w:r w:rsidR="00F24135" w:rsidRPr="002E269C">
        <w:t>h acr</w:t>
      </w:r>
      <w:r w:rsidR="00DB217E" w:rsidRPr="002E269C">
        <w:t xml:space="preserve">oss and within </w:t>
      </w:r>
      <w:r w:rsidR="008375D0" w:rsidRPr="002E269C">
        <w:t>each of the</w:t>
      </w:r>
      <w:r w:rsidR="00015A46" w:rsidRPr="002E269C">
        <w:t xml:space="preserve"> ten</w:t>
      </w:r>
      <w:r w:rsidR="00DB217E" w:rsidRPr="002E269C">
        <w:t xml:space="preserve"> themes</w:t>
      </w:r>
      <w:r w:rsidR="00015A46" w:rsidRPr="002E269C">
        <w:t xml:space="preserve"> identified in the literature review</w:t>
      </w:r>
      <w:r w:rsidR="003574F5">
        <w:t>.</w:t>
      </w:r>
      <w:r w:rsidR="00F82B4A" w:rsidRPr="002E269C">
        <w:t xml:space="preserve"> The biggest gaps relate to inclusion in </w:t>
      </w:r>
      <w:r w:rsidR="00E06E62" w:rsidRPr="002E269C">
        <w:t>c</w:t>
      </w:r>
      <w:r w:rsidR="00F82B4A" w:rsidRPr="002E269C">
        <w:t xml:space="preserve">ivil, </w:t>
      </w:r>
      <w:r w:rsidR="00E06E62" w:rsidRPr="002E269C">
        <w:t>a</w:t>
      </w:r>
      <w:r w:rsidR="00F82B4A" w:rsidRPr="002E269C">
        <w:t xml:space="preserve">dministrative and </w:t>
      </w:r>
      <w:r w:rsidR="00E06E62" w:rsidRPr="002E269C">
        <w:t>t</w:t>
      </w:r>
      <w:r w:rsidR="00F82B4A" w:rsidRPr="002E269C">
        <w:t xml:space="preserve">ribunal </w:t>
      </w:r>
      <w:r w:rsidR="00E06E62" w:rsidRPr="002E269C">
        <w:t>j</w:t>
      </w:r>
      <w:r w:rsidR="00F82B4A" w:rsidRPr="002E269C">
        <w:t xml:space="preserve">ustice </w:t>
      </w:r>
      <w:r w:rsidR="00E06E62" w:rsidRPr="002E269C">
        <w:t>p</w:t>
      </w:r>
      <w:r w:rsidR="00F82B4A" w:rsidRPr="002E269C">
        <w:t>rocesses,</w:t>
      </w:r>
      <w:r w:rsidR="003E1D5E" w:rsidRPr="002E269C">
        <w:t xml:space="preserve"> </w:t>
      </w:r>
      <w:r w:rsidR="00E06E62" w:rsidRPr="002E269C">
        <w:t>f</w:t>
      </w:r>
      <w:r w:rsidR="003E1D5E" w:rsidRPr="002E269C">
        <w:t xml:space="preserve">amily </w:t>
      </w:r>
      <w:r w:rsidR="00E06E62" w:rsidRPr="002E269C">
        <w:t>l</w:t>
      </w:r>
      <w:r w:rsidR="003E1D5E" w:rsidRPr="002E269C">
        <w:t>aw</w:t>
      </w:r>
      <w:r w:rsidR="00F12985" w:rsidRPr="002E269C">
        <w:t>,</w:t>
      </w:r>
      <w:r w:rsidR="00F82B4A" w:rsidRPr="002E269C">
        <w:t xml:space="preserve"> </w:t>
      </w:r>
      <w:r w:rsidR="00E06E62" w:rsidRPr="002E269C">
        <w:t>i</w:t>
      </w:r>
      <w:r w:rsidR="00F82B4A" w:rsidRPr="002E269C">
        <w:t xml:space="preserve">mmigration, </w:t>
      </w:r>
      <w:r w:rsidR="00E06E62" w:rsidRPr="002E269C">
        <w:t>m</w:t>
      </w:r>
      <w:r w:rsidR="00F82B4A" w:rsidRPr="002E269C">
        <w:t xml:space="preserve">igration and </w:t>
      </w:r>
      <w:r w:rsidR="000F15E7">
        <w:t>culturally and linguistically diverse</w:t>
      </w:r>
      <w:r w:rsidR="00F82B4A" w:rsidRPr="002E269C">
        <w:t xml:space="preserve"> </w:t>
      </w:r>
      <w:r w:rsidR="00E06E62" w:rsidRPr="002E269C">
        <w:t>co</w:t>
      </w:r>
      <w:r w:rsidR="00F82B4A" w:rsidRPr="002E269C">
        <w:t>mmunities</w:t>
      </w:r>
      <w:r w:rsidR="00054A29" w:rsidRPr="002E269C">
        <w:t xml:space="preserve">, </w:t>
      </w:r>
      <w:r w:rsidR="003574F5">
        <w:t xml:space="preserve">and </w:t>
      </w:r>
      <w:r w:rsidR="00E06E62" w:rsidRPr="002E269C">
        <w:t>r</w:t>
      </w:r>
      <w:r w:rsidR="00054A29" w:rsidRPr="002E269C">
        <w:t xml:space="preserve">ural and </w:t>
      </w:r>
      <w:r w:rsidR="00E06E62" w:rsidRPr="002E269C">
        <w:t>r</w:t>
      </w:r>
      <w:r w:rsidR="00054A29" w:rsidRPr="002E269C">
        <w:t xml:space="preserve">egional </w:t>
      </w:r>
      <w:r w:rsidR="00E06E62" w:rsidRPr="002E269C">
        <w:t>c</w:t>
      </w:r>
      <w:r w:rsidR="00054A29" w:rsidRPr="002E269C">
        <w:t>ommunities</w:t>
      </w:r>
      <w:r w:rsidR="00F82B4A" w:rsidRPr="002E269C">
        <w:t xml:space="preserve">. </w:t>
      </w:r>
      <w:r w:rsidR="003574F5">
        <w:t xml:space="preserve">There are also likely research gaps in areas not covered by the themes identified in this document. </w:t>
      </w:r>
      <w:r w:rsidR="008F68ED" w:rsidRPr="002E269C">
        <w:t xml:space="preserve">There </w:t>
      </w:r>
      <w:r w:rsidR="00E06E62" w:rsidRPr="002E269C">
        <w:t xml:space="preserve">is also a lack of </w:t>
      </w:r>
      <w:r w:rsidR="007C1873" w:rsidRPr="002E269C">
        <w:t>research</w:t>
      </w:r>
      <w:r w:rsidR="003574F5">
        <w:t xml:space="preserve"> in all </w:t>
      </w:r>
      <w:r w:rsidR="003574F5">
        <w:lastRenderedPageBreak/>
        <w:t>areas that include</w:t>
      </w:r>
      <w:r w:rsidR="00E06E62" w:rsidRPr="002E269C">
        <w:t xml:space="preserve"> </w:t>
      </w:r>
      <w:r w:rsidR="007D412F">
        <w:t xml:space="preserve">participatory research practices such as involving </w:t>
      </w:r>
      <w:r w:rsidR="00E06E62" w:rsidRPr="002E269C">
        <w:t>people with disability as partners and co-producers of research</w:t>
      </w:r>
      <w:r w:rsidR="00F24135" w:rsidRPr="002E269C">
        <w:t xml:space="preserve">. </w:t>
      </w:r>
    </w:p>
    <w:p w14:paraId="103321DC" w14:textId="2782B82F" w:rsidR="002875CD" w:rsidRPr="002E269C" w:rsidRDefault="00EA0222" w:rsidP="00396190">
      <w:r w:rsidRPr="002E269C">
        <w:t xml:space="preserve">Other </w:t>
      </w:r>
      <w:r w:rsidR="002F5EB3" w:rsidRPr="002E269C">
        <w:t xml:space="preserve">areas for further </w:t>
      </w:r>
      <w:r w:rsidRPr="002E269C">
        <w:t xml:space="preserve">research </w:t>
      </w:r>
      <w:r w:rsidR="002875CD" w:rsidRPr="002E269C">
        <w:t>include</w:t>
      </w:r>
      <w:r w:rsidR="000F15E7">
        <w:t xml:space="preserve"> the following</w:t>
      </w:r>
      <w:r w:rsidR="002875CD" w:rsidRPr="002E269C">
        <w:t xml:space="preserve">: </w:t>
      </w:r>
    </w:p>
    <w:p w14:paraId="56F3759B" w14:textId="6A7D4509" w:rsidR="00FA2F25" w:rsidRPr="00EC7DF6" w:rsidRDefault="00FA2F25" w:rsidP="00EC7DF6">
      <w:pPr>
        <w:pStyle w:val="ListParagraph"/>
      </w:pPr>
      <w:r w:rsidRPr="00EC7DF6">
        <w:t>Further research into a universal legal capacity model</w:t>
      </w:r>
      <w:r w:rsidR="000F15E7">
        <w:t>,</w:t>
      </w:r>
      <w:r w:rsidRPr="00EC7DF6">
        <w:t xml:space="preserve"> including both potential law reform and the further development of sup</w:t>
      </w:r>
      <w:r w:rsidR="000F15E7">
        <w:t>ported decision-making practice.</w:t>
      </w:r>
    </w:p>
    <w:p w14:paraId="54F3AEEC" w14:textId="201A40B2" w:rsidR="002875CD" w:rsidRPr="00EC7DF6" w:rsidRDefault="002875CD" w:rsidP="00EC7DF6">
      <w:pPr>
        <w:pStyle w:val="ListParagraph"/>
      </w:pPr>
      <w:r w:rsidRPr="00EC7DF6">
        <w:t>The development of a best-practice support and advocacy model for people with disability in justice processes ac</w:t>
      </w:r>
      <w:r w:rsidR="000F15E7">
        <w:t>ross Australia and New Zealand.</w:t>
      </w:r>
    </w:p>
    <w:p w14:paraId="238A77FE" w14:textId="2ADA8472" w:rsidR="002875CD" w:rsidRPr="00EC7DF6" w:rsidRDefault="00D303FE" w:rsidP="00EC7DF6">
      <w:pPr>
        <w:pStyle w:val="ListParagraph"/>
      </w:pPr>
      <w:r w:rsidRPr="00EC7DF6">
        <w:t>Investigation of the role of</w:t>
      </w:r>
      <w:r w:rsidR="002875CD" w:rsidRPr="00EC7DF6">
        <w:t xml:space="preserve"> support services in assisting paren</w:t>
      </w:r>
      <w:r w:rsidR="00941DF9" w:rsidRPr="00EC7DF6">
        <w:t>ts with intellectual</w:t>
      </w:r>
      <w:r w:rsidR="000F15E7">
        <w:t xml:space="preserve"> disability and their children.</w:t>
      </w:r>
    </w:p>
    <w:p w14:paraId="122A001A" w14:textId="570CC600" w:rsidR="002875CD" w:rsidRPr="00EC7DF6" w:rsidRDefault="00013547" w:rsidP="00EC7DF6">
      <w:pPr>
        <w:pStyle w:val="ListParagraph"/>
      </w:pPr>
      <w:r w:rsidRPr="00EC7DF6">
        <w:t>An analysis of the number of children in</w:t>
      </w:r>
      <w:r w:rsidR="002875CD" w:rsidRPr="00EC7DF6">
        <w:t xml:space="preserve"> </w:t>
      </w:r>
      <w:r w:rsidR="000F15E7">
        <w:t>out-of-home c</w:t>
      </w:r>
      <w:r w:rsidRPr="00EC7DF6">
        <w:t>are in</w:t>
      </w:r>
      <w:r w:rsidR="002875CD" w:rsidRPr="00EC7DF6">
        <w:t xml:space="preserve"> Australia </w:t>
      </w:r>
      <w:r w:rsidRPr="00EC7DF6">
        <w:t xml:space="preserve">and New Zealand </w:t>
      </w:r>
      <w:r w:rsidR="002875CD" w:rsidRPr="00EC7DF6">
        <w:t>with disability</w:t>
      </w:r>
      <w:r w:rsidR="001D3469">
        <w:t>,</w:t>
      </w:r>
      <w:r w:rsidR="002875CD" w:rsidRPr="00EC7DF6">
        <w:t xml:space="preserve"> a</w:t>
      </w:r>
      <w:r w:rsidR="000F15E7">
        <w:t>nd their care and support needs.</w:t>
      </w:r>
    </w:p>
    <w:p w14:paraId="70529B17" w14:textId="6D64DF44" w:rsidR="002875CD" w:rsidRPr="00EC7DF6" w:rsidRDefault="00312790" w:rsidP="00EC7DF6">
      <w:pPr>
        <w:pStyle w:val="ListParagraph"/>
      </w:pPr>
      <w:r w:rsidRPr="00EC7DF6">
        <w:t xml:space="preserve">Research </w:t>
      </w:r>
      <w:r w:rsidR="00993017" w:rsidRPr="00EC7DF6">
        <w:t>that investigates the emerging</w:t>
      </w:r>
      <w:r w:rsidR="002875CD" w:rsidRPr="00EC7DF6">
        <w:t xml:space="preserve"> over-representation of parents and children with disability in</w:t>
      </w:r>
      <w:r w:rsidR="00993017" w:rsidRPr="00EC7DF6">
        <w:t xml:space="preserve"> the care and protection system across Austral</w:t>
      </w:r>
      <w:r w:rsidR="000F15E7">
        <w:t>ia and New Zealand.</w:t>
      </w:r>
    </w:p>
    <w:p w14:paraId="2C14C3A8" w14:textId="1D1FD03E" w:rsidR="00E45DEA" w:rsidRPr="00EC7DF6" w:rsidRDefault="002875CD" w:rsidP="00EC7DF6">
      <w:pPr>
        <w:pStyle w:val="ListParagraph"/>
      </w:pPr>
      <w:r w:rsidRPr="00EC7DF6">
        <w:t>Intersectional approaches to violence</w:t>
      </w:r>
      <w:r w:rsidR="007D412F" w:rsidRPr="00EC7DF6">
        <w:t xml:space="preserve"> for women with disability </w:t>
      </w:r>
      <w:r w:rsidR="00E45DEA" w:rsidRPr="00EC7DF6">
        <w:t>living in institutional and residential settings</w:t>
      </w:r>
      <w:r w:rsidR="000F15E7">
        <w:t>.</w:t>
      </w:r>
    </w:p>
    <w:p w14:paraId="33A2D913" w14:textId="26E9BB35" w:rsidR="002875CD" w:rsidRPr="00EC7DF6" w:rsidRDefault="00A12C01" w:rsidP="00EC7DF6">
      <w:pPr>
        <w:pStyle w:val="ListParagraph"/>
      </w:pPr>
      <w:r w:rsidRPr="00EC7DF6">
        <w:t>The creation of a</w:t>
      </w:r>
      <w:r w:rsidR="00E45DEA" w:rsidRPr="00EC7DF6">
        <w:t xml:space="preserve"> model approach to interdisciplinary</w:t>
      </w:r>
      <w:r w:rsidR="006E4EFF" w:rsidRPr="00EC7DF6">
        <w:t xml:space="preserve"> </w:t>
      </w:r>
      <w:r w:rsidRPr="00EC7DF6">
        <w:t>participatory</w:t>
      </w:r>
      <w:r w:rsidR="00E45DEA" w:rsidRPr="00EC7DF6">
        <w:t xml:space="preserve"> research on disabilit</w:t>
      </w:r>
      <w:r w:rsidR="000F15E7">
        <w:t>y rights and access to justice.</w:t>
      </w:r>
    </w:p>
    <w:p w14:paraId="096E8DF7" w14:textId="29D832D8" w:rsidR="00030ADA" w:rsidRPr="00EC7DF6" w:rsidRDefault="00B472BC" w:rsidP="00EC7DF6">
      <w:pPr>
        <w:pStyle w:val="ListParagraph"/>
      </w:pPr>
      <w:r w:rsidRPr="00EC7DF6">
        <w:t>R</w:t>
      </w:r>
      <w:r w:rsidR="004E6C72" w:rsidRPr="00EC7DF6">
        <w:t>esearch specifically focused on access to justice for people with disability regarding parenthood and family law</w:t>
      </w:r>
      <w:r w:rsidR="00030ADA" w:rsidRPr="00EC7DF6">
        <w:t>.</w:t>
      </w:r>
    </w:p>
    <w:p w14:paraId="156ABBFB" w14:textId="6A22ADDE" w:rsidR="007C7A34" w:rsidRPr="008826BF" w:rsidRDefault="00E1786A" w:rsidP="00396190">
      <w:r>
        <w:t xml:space="preserve">As noted </w:t>
      </w:r>
      <w:r w:rsidR="00985DB1">
        <w:t>above</w:t>
      </w:r>
      <w:r>
        <w:t xml:space="preserve">, </w:t>
      </w:r>
      <w:r w:rsidR="00985DB1">
        <w:t>given the over</w:t>
      </w:r>
      <w:r w:rsidR="00F72AD0">
        <w:t>-</w:t>
      </w:r>
      <w:r w:rsidR="00985DB1">
        <w:t xml:space="preserve">representation of people with </w:t>
      </w:r>
      <w:r w:rsidR="001D3469">
        <w:t>disability</w:t>
      </w:r>
      <w:r w:rsidR="00985DB1">
        <w:t xml:space="preserve"> in so many areas of the justice system, </w:t>
      </w:r>
      <w:r w:rsidR="00511923">
        <w:t xml:space="preserve">there is also a need to ensure that future research is targeted at </w:t>
      </w:r>
      <w:r w:rsidR="00685049">
        <w:t>informing and facilitating a system-wide reform of all aspects of the justice systems in Australia and</w:t>
      </w:r>
      <w:r w:rsidR="00876E2F">
        <w:t xml:space="preserve"> New Zealand. Therefore, whilst</w:t>
      </w:r>
      <w:r w:rsidR="00273558">
        <w:t xml:space="preserve"> it is important to address the gaps in the existing literature </w:t>
      </w:r>
      <w:r w:rsidR="004D41B6">
        <w:t xml:space="preserve">as </w:t>
      </w:r>
      <w:r w:rsidR="00273558">
        <w:t xml:space="preserve">identified above, </w:t>
      </w:r>
      <w:r w:rsidR="004D063E">
        <w:t>future rese</w:t>
      </w:r>
      <w:r w:rsidR="000371ED">
        <w:t xml:space="preserve">arch </w:t>
      </w:r>
      <w:r w:rsidR="00876E2F">
        <w:t>should also take a holistic approach and be</w:t>
      </w:r>
      <w:r w:rsidR="000371ED">
        <w:t xml:space="preserve"> </w:t>
      </w:r>
      <w:r w:rsidR="00C70541">
        <w:t>‘</w:t>
      </w:r>
      <w:r w:rsidR="000371ED">
        <w:t>fit for purpose</w:t>
      </w:r>
      <w:r w:rsidR="00C70541">
        <w:t>’</w:t>
      </w:r>
      <w:r w:rsidR="000371ED">
        <w:t xml:space="preserve"> for this reform agenda. </w:t>
      </w:r>
      <w:r w:rsidR="004D41B6">
        <w:t>This includes adopting a human rights-based framework</w:t>
      </w:r>
      <w:r w:rsidR="00FA247B">
        <w:t xml:space="preserve"> </w:t>
      </w:r>
      <w:r w:rsidR="004D41B6">
        <w:t xml:space="preserve">and ensuring </w:t>
      </w:r>
      <w:r w:rsidR="00BB4EF5">
        <w:t xml:space="preserve">greater representation of people with </w:t>
      </w:r>
      <w:r w:rsidR="001D3469">
        <w:t>disability</w:t>
      </w:r>
      <w:r w:rsidR="00BB4EF5">
        <w:t xml:space="preserve"> in the research process through </w:t>
      </w:r>
      <w:r w:rsidR="00D77257">
        <w:t xml:space="preserve">participatory </w:t>
      </w:r>
      <w:r w:rsidR="005F2B77">
        <w:t>methods.</w:t>
      </w:r>
      <w:r w:rsidR="00D77257">
        <w:t xml:space="preserve"> </w:t>
      </w:r>
      <w:r w:rsidR="00030ADA" w:rsidRPr="002E269C">
        <w:rPr>
          <w:b/>
        </w:rPr>
        <w:br w:type="page"/>
      </w:r>
    </w:p>
    <w:p w14:paraId="3ABA5324" w14:textId="77777777" w:rsidR="00926006" w:rsidRPr="002E269C" w:rsidRDefault="00030ADA" w:rsidP="00396190">
      <w:pPr>
        <w:pStyle w:val="Heading1"/>
      </w:pPr>
      <w:bookmarkStart w:id="49" w:name="_Toc514751839"/>
      <w:r w:rsidRPr="002E269C">
        <w:lastRenderedPageBreak/>
        <w:t>DPO consultation: Research gaps and issues identified by the disability community</w:t>
      </w:r>
      <w:bookmarkEnd w:id="49"/>
    </w:p>
    <w:p w14:paraId="3EAAD923" w14:textId="58ABD19E" w:rsidR="00335F87" w:rsidRPr="002E269C" w:rsidRDefault="00DF7A11" w:rsidP="00396190">
      <w:pPr>
        <w:pStyle w:val="Heading2"/>
      </w:pPr>
      <w:bookmarkStart w:id="50" w:name="_Toc514751840"/>
      <w:r>
        <w:t>Research m</w:t>
      </w:r>
      <w:r w:rsidR="00335F87" w:rsidRPr="002E269C">
        <w:t>ethodology</w:t>
      </w:r>
      <w:bookmarkEnd w:id="50"/>
    </w:p>
    <w:p w14:paraId="5EFA029C" w14:textId="2C7F1C4B" w:rsidR="00335F87" w:rsidRDefault="00335F87" w:rsidP="00396190">
      <w:r w:rsidRPr="00B802F7">
        <w:t>The goal of this research was to gain an overview of access to justice</w:t>
      </w:r>
      <w:r w:rsidR="002641AF">
        <w:t xml:space="preserve"> issues</w:t>
      </w:r>
      <w:r w:rsidRPr="00B802F7">
        <w:t xml:space="preserve"> </w:t>
      </w:r>
      <w:r w:rsidR="00715CAE">
        <w:t xml:space="preserve">for </w:t>
      </w:r>
      <w:r w:rsidRPr="00B802F7">
        <w:t xml:space="preserve">people with </w:t>
      </w:r>
      <w:r w:rsidR="00515A51">
        <w:t>disability</w:t>
      </w:r>
      <w:r w:rsidRPr="00B802F7">
        <w:t xml:space="preserve"> as ident</w:t>
      </w:r>
      <w:r w:rsidR="00810847">
        <w:t>ified by disabled people’s o</w:t>
      </w:r>
      <w:r w:rsidRPr="00B802F7">
        <w:t>rganisations (DPOs) and other community organisations</w:t>
      </w:r>
      <w:r w:rsidR="00E928D6" w:rsidRPr="00E928D6">
        <w:t xml:space="preserve"> </w:t>
      </w:r>
      <w:r w:rsidR="00E928D6">
        <w:t>with specialist knowledge or expertise</w:t>
      </w:r>
      <w:r w:rsidRPr="00B802F7">
        <w:t xml:space="preserve">.  </w:t>
      </w:r>
      <w:r w:rsidRPr="00B802F7">
        <w:rPr>
          <w:color w:val="000000" w:themeColor="text1"/>
        </w:rPr>
        <w:t>We wanted to hear from the disability community about experienc</w:t>
      </w:r>
      <w:r w:rsidR="00715CAE">
        <w:rPr>
          <w:color w:val="000000" w:themeColor="text1"/>
        </w:rPr>
        <w:t>e</w:t>
      </w:r>
      <w:r w:rsidR="00810847">
        <w:rPr>
          <w:color w:val="000000" w:themeColor="text1"/>
        </w:rPr>
        <w:t>s</w:t>
      </w:r>
      <w:r w:rsidR="00715CAE">
        <w:rPr>
          <w:color w:val="000000" w:themeColor="text1"/>
        </w:rPr>
        <w:t xml:space="preserve"> of</w:t>
      </w:r>
      <w:r w:rsidRPr="00B802F7">
        <w:rPr>
          <w:color w:val="000000" w:themeColor="text1"/>
        </w:rPr>
        <w:t xml:space="preserve"> the justice system.</w:t>
      </w:r>
      <w:r w:rsidRPr="00B802F7">
        <w:t xml:space="preserve"> </w:t>
      </w:r>
      <w:r w:rsidR="00474AF8">
        <w:t>T</w:t>
      </w:r>
      <w:r w:rsidRPr="00B802F7">
        <w:t>he interviews</w:t>
      </w:r>
      <w:r w:rsidR="00474AF8">
        <w:t xml:space="preserve"> were </w:t>
      </w:r>
      <w:r w:rsidR="00BA18BA">
        <w:t xml:space="preserve">semi-structured and </w:t>
      </w:r>
      <w:r w:rsidR="00474AF8">
        <w:t>conducted</w:t>
      </w:r>
      <w:r w:rsidRPr="00B802F7">
        <w:t xml:space="preserve"> </w:t>
      </w:r>
      <w:r w:rsidR="00474AF8">
        <w:t>via</w:t>
      </w:r>
      <w:r w:rsidRPr="00B802F7">
        <w:t xml:space="preserve"> Skype</w:t>
      </w:r>
      <w:r w:rsidR="00474AF8">
        <w:t>, which</w:t>
      </w:r>
      <w:r w:rsidRPr="00B802F7">
        <w:t xml:space="preserve"> enabled </w:t>
      </w:r>
      <w:r w:rsidR="00474AF8">
        <w:t xml:space="preserve">the inclusion of </w:t>
      </w:r>
      <w:r w:rsidRPr="00B802F7">
        <w:t>representatives from several interstate</w:t>
      </w:r>
      <w:r w:rsidR="00474AF8">
        <w:t xml:space="preserve"> and New Zealand</w:t>
      </w:r>
      <w:r w:rsidRPr="00B802F7">
        <w:t xml:space="preserve"> organisations as well as several Victorian organisations</w:t>
      </w:r>
      <w:r w:rsidR="00474AF8">
        <w:t>.</w:t>
      </w:r>
      <w:r w:rsidR="007D2973">
        <w:t xml:space="preserve"> </w:t>
      </w:r>
      <w:r w:rsidR="00DF7548">
        <w:t xml:space="preserve">Most of the organisations consulted focused their responses on </w:t>
      </w:r>
      <w:r w:rsidR="00187B37">
        <w:t>the area of criminal</w:t>
      </w:r>
      <w:r w:rsidR="00DF7548">
        <w:t xml:space="preserve"> law,</w:t>
      </w:r>
      <w:r w:rsidR="00187B37">
        <w:t xml:space="preserve"> but there were some references to other areas of law.</w:t>
      </w:r>
    </w:p>
    <w:p w14:paraId="7B9CB7E8" w14:textId="757D5DD3" w:rsidR="00BA18BA" w:rsidRPr="00B802F7" w:rsidRDefault="00BA18BA" w:rsidP="00396190">
      <w:r>
        <w:t xml:space="preserve">Funding for this consultation was limited and the findings are not meant to be an exhaustive representation of the perspectives of people with disability in Australia. The organisations were selected based on their past work and expertise in this area. It is not an exhaustive list of organisations that have worked in the field of disability justice in Australia and New Zealand. The interviews that were conducted provided much more valuable information and </w:t>
      </w:r>
      <w:r w:rsidR="00432591">
        <w:t>insights</w:t>
      </w:r>
      <w:r>
        <w:t xml:space="preserve"> than could be included in this report. We intend this report to merely be a starting point for a </w:t>
      </w:r>
      <w:r w:rsidR="00432591">
        <w:t xml:space="preserve">collaborative effort between academics, </w:t>
      </w:r>
      <w:r w:rsidR="00810847">
        <w:t>DPOs</w:t>
      </w:r>
      <w:r w:rsidR="00432591">
        <w:t>, activists, community groups, and other stakeholders to work towards ensuring better access to ju</w:t>
      </w:r>
      <w:r w:rsidR="00810847">
        <w:t xml:space="preserve">stice for people with </w:t>
      </w:r>
      <w:r w:rsidR="00FE4999">
        <w:t>disability</w:t>
      </w:r>
      <w:r w:rsidR="00432591">
        <w:t>.</w:t>
      </w:r>
    </w:p>
    <w:p w14:paraId="59FDC925" w14:textId="2F5A09BE" w:rsidR="00474AF8" w:rsidRDefault="00474AF8" w:rsidP="00396190">
      <w:r>
        <w:t xml:space="preserve">The </w:t>
      </w:r>
      <w:r w:rsidR="00F83BBB">
        <w:t xml:space="preserve">following </w:t>
      </w:r>
      <w:r w:rsidR="00335F87" w:rsidRPr="00B802F7">
        <w:t>organisations</w:t>
      </w:r>
      <w:r>
        <w:t xml:space="preserve"> were </w:t>
      </w:r>
      <w:r w:rsidR="006E2B46">
        <w:t>consulted</w:t>
      </w:r>
      <w:r>
        <w:t>:</w:t>
      </w:r>
    </w:p>
    <w:p w14:paraId="28F337C0" w14:textId="4E8E8AC2" w:rsidR="00335F87" w:rsidRPr="00D775A2" w:rsidRDefault="00335F87" w:rsidP="00396190">
      <w:pPr>
        <w:pStyle w:val="ListParagraph"/>
        <w:numPr>
          <w:ilvl w:val="0"/>
          <w:numId w:val="4"/>
        </w:numPr>
        <w:rPr>
          <w:b/>
        </w:rPr>
      </w:pPr>
      <w:r w:rsidRPr="00810847">
        <w:rPr>
          <w:b/>
        </w:rPr>
        <w:t>Disabled People</w:t>
      </w:r>
      <w:r w:rsidR="00474AF8" w:rsidRPr="00810847">
        <w:rPr>
          <w:b/>
        </w:rPr>
        <w:t>’</w:t>
      </w:r>
      <w:r w:rsidRPr="00810847">
        <w:rPr>
          <w:b/>
        </w:rPr>
        <w:t>s Organisation</w:t>
      </w:r>
      <w:r w:rsidR="00474AF8" w:rsidRPr="00810847">
        <w:rPr>
          <w:b/>
        </w:rPr>
        <w:t>s (DPO) Australia</w:t>
      </w:r>
      <w:r w:rsidR="00474AF8" w:rsidRPr="00810847">
        <w:t>:</w:t>
      </w:r>
      <w:r w:rsidR="00474AF8" w:rsidRPr="00D775A2">
        <w:t xml:space="preserve"> </w:t>
      </w:r>
      <w:r w:rsidR="00734C53" w:rsidRPr="00D775A2">
        <w:t xml:space="preserve">DPO Australia is an alliance of </w:t>
      </w:r>
      <w:r w:rsidR="00474AF8" w:rsidRPr="00D775A2">
        <w:t xml:space="preserve">four national peak bodies: </w:t>
      </w:r>
      <w:r w:rsidRPr="00D775A2">
        <w:t xml:space="preserve"> First People</w:t>
      </w:r>
      <w:r w:rsidR="00474AF8" w:rsidRPr="00D775A2">
        <w:t>s</w:t>
      </w:r>
      <w:r w:rsidRPr="00D775A2">
        <w:t xml:space="preserve"> Disabilit</w:t>
      </w:r>
      <w:r w:rsidR="00474AF8" w:rsidRPr="00D775A2">
        <w:t>y</w:t>
      </w:r>
      <w:r w:rsidRPr="00D775A2">
        <w:t xml:space="preserve"> Network</w:t>
      </w:r>
      <w:r w:rsidR="00474AF8" w:rsidRPr="00D775A2">
        <w:t xml:space="preserve">, </w:t>
      </w:r>
      <w:r w:rsidR="00810847">
        <w:t>Women W</w:t>
      </w:r>
      <w:r w:rsidRPr="00D775A2">
        <w:t>ith Disabi</w:t>
      </w:r>
      <w:r w:rsidR="00474AF8" w:rsidRPr="00D775A2">
        <w:t>l</w:t>
      </w:r>
      <w:r w:rsidRPr="00D775A2">
        <w:t>ities</w:t>
      </w:r>
      <w:r w:rsidR="00474AF8" w:rsidRPr="00D775A2">
        <w:t xml:space="preserve"> Australia, National Ethnic D</w:t>
      </w:r>
      <w:r w:rsidR="00FE4999">
        <w:t>isability Alliance, and People w</w:t>
      </w:r>
      <w:r w:rsidR="00474AF8" w:rsidRPr="00D775A2">
        <w:t xml:space="preserve">ith Disability Australia. </w:t>
      </w:r>
    </w:p>
    <w:p w14:paraId="15AE9858" w14:textId="38FE2EC1" w:rsidR="005F5F07" w:rsidRPr="00D775A2" w:rsidRDefault="00FE4999" w:rsidP="00396190">
      <w:pPr>
        <w:pStyle w:val="ListParagraph"/>
        <w:numPr>
          <w:ilvl w:val="0"/>
          <w:numId w:val="4"/>
        </w:numPr>
        <w:rPr>
          <w:lang w:val="en-GB"/>
        </w:rPr>
      </w:pPr>
      <w:r>
        <w:rPr>
          <w:b/>
        </w:rPr>
        <w:t>People w</w:t>
      </w:r>
      <w:r w:rsidR="00335F87" w:rsidRPr="00810847">
        <w:rPr>
          <w:b/>
        </w:rPr>
        <w:t>ith Disabilit</w:t>
      </w:r>
      <w:r w:rsidR="00474AF8" w:rsidRPr="00810847">
        <w:rPr>
          <w:b/>
        </w:rPr>
        <w:t>y</w:t>
      </w:r>
      <w:r w:rsidR="00734C53" w:rsidRPr="00810847">
        <w:rPr>
          <w:b/>
        </w:rPr>
        <w:t xml:space="preserve"> Australia</w:t>
      </w:r>
      <w:r w:rsidR="00810847">
        <w:rPr>
          <w:b/>
        </w:rPr>
        <w:t xml:space="preserve"> (PWDA)</w:t>
      </w:r>
      <w:r w:rsidR="00D54F55" w:rsidRPr="00810847">
        <w:t>:</w:t>
      </w:r>
      <w:r w:rsidR="005F5F07" w:rsidRPr="00D775A2">
        <w:t xml:space="preserve"> </w:t>
      </w:r>
      <w:r w:rsidR="00E9505B" w:rsidRPr="00D775A2">
        <w:t>PWDA</w:t>
      </w:r>
      <w:r w:rsidR="00474AF8" w:rsidRPr="00D775A2">
        <w:t xml:space="preserve"> </w:t>
      </w:r>
      <w:r w:rsidR="00335F87" w:rsidRPr="00D775A2">
        <w:t xml:space="preserve">provides rights-related information, advice and referral services for people with disability and their associates; </w:t>
      </w:r>
      <w:r w:rsidR="005F5F07" w:rsidRPr="00D775A2">
        <w:t>s</w:t>
      </w:r>
      <w:r w:rsidR="00335F87" w:rsidRPr="00D775A2">
        <w:t xml:space="preserve">hort-term individual and group advocacy assistance to people with disability and their associates; </w:t>
      </w:r>
      <w:r w:rsidR="005F5F07" w:rsidRPr="00D775A2">
        <w:t>a</w:t>
      </w:r>
      <w:r w:rsidR="00335F87" w:rsidRPr="00D775A2">
        <w:t>dvocacy for reform around systemic issues that adversely affect people with disability and their associates</w:t>
      </w:r>
      <w:r w:rsidR="005F5F07" w:rsidRPr="00D775A2">
        <w:t>.</w:t>
      </w:r>
    </w:p>
    <w:p w14:paraId="66172868" w14:textId="0E3A7442" w:rsidR="00D54F55" w:rsidRPr="00D775A2" w:rsidRDefault="00335F87" w:rsidP="00396190">
      <w:pPr>
        <w:pStyle w:val="ListParagraph"/>
        <w:numPr>
          <w:ilvl w:val="0"/>
          <w:numId w:val="4"/>
        </w:numPr>
      </w:pPr>
      <w:r w:rsidRPr="00810847">
        <w:rPr>
          <w:b/>
        </w:rPr>
        <w:t>First People</w:t>
      </w:r>
      <w:r w:rsidR="005F5F07" w:rsidRPr="00810847">
        <w:rPr>
          <w:b/>
        </w:rPr>
        <w:t>s</w:t>
      </w:r>
      <w:r w:rsidRPr="00810847">
        <w:rPr>
          <w:b/>
        </w:rPr>
        <w:t xml:space="preserve"> Disabilit</w:t>
      </w:r>
      <w:r w:rsidR="005F5F07" w:rsidRPr="00810847">
        <w:rPr>
          <w:b/>
        </w:rPr>
        <w:t>y</w:t>
      </w:r>
      <w:r w:rsidRPr="00810847">
        <w:rPr>
          <w:b/>
        </w:rPr>
        <w:t xml:space="preserve"> Network</w:t>
      </w:r>
      <w:r w:rsidR="005F5F07" w:rsidRPr="00810847">
        <w:rPr>
          <w:b/>
        </w:rPr>
        <w:t xml:space="preserve"> (FPDN)</w:t>
      </w:r>
      <w:r w:rsidR="005F5F07" w:rsidRPr="00810847">
        <w:t>:</w:t>
      </w:r>
      <w:r w:rsidR="005F5F07" w:rsidRPr="00D775A2">
        <w:t xml:space="preserve"> </w:t>
      </w:r>
      <w:r w:rsidR="00810847">
        <w:t>FPDN</w:t>
      </w:r>
      <w:r w:rsidRPr="00D775A2">
        <w:t xml:space="preserve"> is a rights-based advocacy service for Aboriginal</w:t>
      </w:r>
      <w:r w:rsidR="005F5F07" w:rsidRPr="00D775A2">
        <w:t xml:space="preserve"> and Torres Strait Islander</w:t>
      </w:r>
      <w:r w:rsidRPr="00D775A2">
        <w:t xml:space="preserve"> people with disabilit</w:t>
      </w:r>
      <w:r w:rsidR="005F5F07" w:rsidRPr="00D775A2">
        <w:t>y</w:t>
      </w:r>
      <w:r w:rsidRPr="00D775A2">
        <w:t xml:space="preserve">. </w:t>
      </w:r>
      <w:r w:rsidR="00D54F55" w:rsidRPr="00D775A2">
        <w:t>In relation to access to justice</w:t>
      </w:r>
      <w:r w:rsidR="00993B8D">
        <w:t>,</w:t>
      </w:r>
      <w:r w:rsidR="00D54F55" w:rsidRPr="00D775A2">
        <w:t xml:space="preserve"> FPDN </w:t>
      </w:r>
      <w:r w:rsidRPr="00D775A2">
        <w:t>assist</w:t>
      </w:r>
      <w:r w:rsidR="00D54F55" w:rsidRPr="00D775A2">
        <w:t>s</w:t>
      </w:r>
      <w:r w:rsidRPr="00D775A2">
        <w:t xml:space="preserve"> people before and after contact with the judicial system</w:t>
      </w:r>
      <w:r w:rsidR="00D54F55" w:rsidRPr="00D775A2">
        <w:t>.</w:t>
      </w:r>
    </w:p>
    <w:p w14:paraId="2175FFB7" w14:textId="77777777" w:rsidR="00335F87" w:rsidRPr="00D775A2" w:rsidRDefault="00335F87" w:rsidP="00396190">
      <w:pPr>
        <w:pStyle w:val="ListParagraph"/>
        <w:numPr>
          <w:ilvl w:val="0"/>
          <w:numId w:val="4"/>
        </w:numPr>
      </w:pPr>
      <w:r w:rsidRPr="00810847">
        <w:rPr>
          <w:b/>
        </w:rPr>
        <w:t>Disabled Peoples’ Assembly, New Zealand</w:t>
      </w:r>
      <w:r w:rsidR="00D54F55" w:rsidRPr="00810847">
        <w:t>:</w:t>
      </w:r>
      <w:r w:rsidR="00D54F55" w:rsidRPr="00D775A2">
        <w:t xml:space="preserve"> Disabled Peoples’ Assembly focuses on systemic advocacy, </w:t>
      </w:r>
      <w:r w:rsidRPr="00D775A2">
        <w:t>work</w:t>
      </w:r>
      <w:r w:rsidR="00D54F55" w:rsidRPr="00D775A2">
        <w:t>ing</w:t>
      </w:r>
      <w:r w:rsidRPr="00D775A2">
        <w:t xml:space="preserve"> across various issues</w:t>
      </w:r>
      <w:r w:rsidR="00734C53" w:rsidRPr="00D775A2">
        <w:t xml:space="preserve">. </w:t>
      </w:r>
    </w:p>
    <w:p w14:paraId="46DFD277" w14:textId="683823F8" w:rsidR="00354DBC" w:rsidRPr="00D775A2" w:rsidRDefault="00335F87" w:rsidP="00396190">
      <w:pPr>
        <w:pStyle w:val="ListParagraph"/>
        <w:numPr>
          <w:ilvl w:val="0"/>
          <w:numId w:val="4"/>
        </w:numPr>
        <w:rPr>
          <w:lang w:val="en-GB"/>
        </w:rPr>
      </w:pPr>
      <w:r w:rsidRPr="00810847">
        <w:rPr>
          <w:b/>
        </w:rPr>
        <w:t xml:space="preserve">Women </w:t>
      </w:r>
      <w:r w:rsidR="00F83BBB">
        <w:rPr>
          <w:b/>
        </w:rPr>
        <w:t>w</w:t>
      </w:r>
      <w:r w:rsidRPr="00810847">
        <w:rPr>
          <w:b/>
        </w:rPr>
        <w:t xml:space="preserve">ith Disabilities </w:t>
      </w:r>
      <w:r w:rsidR="00F83BBB">
        <w:rPr>
          <w:b/>
        </w:rPr>
        <w:t>Victoria (WDV</w:t>
      </w:r>
      <w:r w:rsidRPr="00810847">
        <w:rPr>
          <w:b/>
        </w:rPr>
        <w:t>)</w:t>
      </w:r>
      <w:r w:rsidR="00E9505B" w:rsidRPr="00810847">
        <w:t>:</w:t>
      </w:r>
      <w:r w:rsidRPr="00D775A2">
        <w:t xml:space="preserve"> </w:t>
      </w:r>
      <w:r w:rsidR="00F83BBB">
        <w:t>WDV</w:t>
      </w:r>
      <w:r w:rsidR="00E9505B" w:rsidRPr="00D775A2">
        <w:t xml:space="preserve"> </w:t>
      </w:r>
      <w:r w:rsidRPr="00D775A2">
        <w:t xml:space="preserve">is the peak organisation for women with all types of </w:t>
      </w:r>
      <w:r w:rsidR="00515A51" w:rsidRPr="00D775A2">
        <w:t>disability</w:t>
      </w:r>
      <w:r w:rsidRPr="00D775A2">
        <w:t xml:space="preserve"> in </w:t>
      </w:r>
      <w:r w:rsidR="00F83BBB">
        <w:t>Victoria</w:t>
      </w:r>
      <w:r w:rsidRPr="00D775A2">
        <w:t>. </w:t>
      </w:r>
      <w:r w:rsidR="00F83BBB">
        <w:t>It</w:t>
      </w:r>
      <w:r w:rsidRPr="00D775A2">
        <w:t xml:space="preserve"> is run by women with </w:t>
      </w:r>
      <w:r w:rsidR="00515A51" w:rsidRPr="00D775A2">
        <w:t>disability</w:t>
      </w:r>
      <w:r w:rsidRPr="00D775A2">
        <w:t xml:space="preserve">, for women with </w:t>
      </w:r>
      <w:r w:rsidR="00515A51" w:rsidRPr="00D775A2">
        <w:t>disability</w:t>
      </w:r>
      <w:r w:rsidR="006A3094" w:rsidRPr="00D775A2">
        <w:t>. Its</w:t>
      </w:r>
      <w:r w:rsidRPr="00D775A2">
        <w:t xml:space="preserve"> work is grounded in a human rights</w:t>
      </w:r>
      <w:r w:rsidR="00666002">
        <w:t>-</w:t>
      </w:r>
      <w:r w:rsidRPr="00D775A2">
        <w:t xml:space="preserve">based framework </w:t>
      </w:r>
      <w:r w:rsidR="00810847">
        <w:t>that</w:t>
      </w:r>
      <w:r w:rsidRPr="00D775A2">
        <w:t xml:space="preserve"> links gender and disability issues to a full range of civil, political, economic, social and cultural rights.</w:t>
      </w:r>
      <w:r w:rsidR="00354DBC" w:rsidRPr="00D775A2">
        <w:t xml:space="preserve"> </w:t>
      </w:r>
    </w:p>
    <w:p w14:paraId="139A07E9" w14:textId="77777777" w:rsidR="00335F87" w:rsidRPr="00D775A2" w:rsidRDefault="00335F87" w:rsidP="00396190">
      <w:pPr>
        <w:pStyle w:val="ListParagraph"/>
        <w:numPr>
          <w:ilvl w:val="0"/>
          <w:numId w:val="4"/>
        </w:numPr>
        <w:rPr>
          <w:lang w:val="en-GB"/>
        </w:rPr>
      </w:pPr>
      <w:r w:rsidRPr="00B14AB8">
        <w:rPr>
          <w:b/>
        </w:rPr>
        <w:t>Communication Rights Australia</w:t>
      </w:r>
      <w:r w:rsidR="00354DBC" w:rsidRPr="00B14AB8">
        <w:t>:</w:t>
      </w:r>
      <w:r w:rsidR="00354DBC" w:rsidRPr="00D775A2">
        <w:t xml:space="preserve"> </w:t>
      </w:r>
      <w:r w:rsidRPr="00D775A2">
        <w:t xml:space="preserve">Communication Rights Australia provides specialist information and advocates for people with </w:t>
      </w:r>
      <w:r w:rsidR="00515A51" w:rsidRPr="00D775A2">
        <w:t>disability</w:t>
      </w:r>
      <w:r w:rsidRPr="00D775A2">
        <w:t xml:space="preserve"> whose human rights have been infringed, giving priority to those with little or no speech.</w:t>
      </w:r>
    </w:p>
    <w:p w14:paraId="172E1F9B" w14:textId="247C0F82" w:rsidR="00B91E2B" w:rsidRPr="00D775A2" w:rsidRDefault="00335F87" w:rsidP="00396190">
      <w:pPr>
        <w:pStyle w:val="ListParagraph"/>
        <w:numPr>
          <w:ilvl w:val="0"/>
          <w:numId w:val="4"/>
        </w:numPr>
      </w:pPr>
      <w:r w:rsidRPr="00B14AB8">
        <w:rPr>
          <w:b/>
        </w:rPr>
        <w:t>Ann</w:t>
      </w:r>
      <w:r w:rsidR="00B14AB8" w:rsidRPr="00B14AB8">
        <w:rPr>
          <w:b/>
        </w:rPr>
        <w:t>e</w:t>
      </w:r>
      <w:r w:rsidRPr="00B14AB8">
        <w:rPr>
          <w:b/>
        </w:rPr>
        <w:t xml:space="preserve"> </w:t>
      </w:r>
      <w:r w:rsidR="005F5F07" w:rsidRPr="00B14AB8">
        <w:rPr>
          <w:b/>
        </w:rPr>
        <w:t>M</w:t>
      </w:r>
      <w:r w:rsidRPr="00B14AB8">
        <w:rPr>
          <w:b/>
        </w:rPr>
        <w:t>cDonald Centre</w:t>
      </w:r>
      <w:r w:rsidR="00354DBC" w:rsidRPr="00B14AB8">
        <w:t>:</w:t>
      </w:r>
      <w:r w:rsidR="00354DBC" w:rsidRPr="00D775A2">
        <w:t xml:space="preserve"> </w:t>
      </w:r>
      <w:r w:rsidRPr="00D775A2">
        <w:t xml:space="preserve">The Anne McDonald Centre provides assessment and therapy for people </w:t>
      </w:r>
      <w:r w:rsidR="00B91E2B" w:rsidRPr="00D775A2">
        <w:t>of</w:t>
      </w:r>
      <w:r w:rsidRPr="00D775A2">
        <w:t xml:space="preserve"> any age</w:t>
      </w:r>
      <w:r w:rsidR="00B91E2B" w:rsidRPr="00D775A2">
        <w:t xml:space="preserve"> and with</w:t>
      </w:r>
      <w:r w:rsidRPr="00D775A2">
        <w:t xml:space="preserve"> any diagnosis with little or no functional speech.</w:t>
      </w:r>
    </w:p>
    <w:p w14:paraId="5F7F4C5B" w14:textId="090F2FD4" w:rsidR="00B91E2B" w:rsidRPr="00D775A2" w:rsidRDefault="00335F87" w:rsidP="00396190">
      <w:pPr>
        <w:pStyle w:val="ListParagraph"/>
        <w:numPr>
          <w:ilvl w:val="0"/>
          <w:numId w:val="4"/>
        </w:numPr>
        <w:rPr>
          <w:lang w:val="en-GB"/>
        </w:rPr>
      </w:pPr>
      <w:r w:rsidRPr="00B14AB8">
        <w:rPr>
          <w:b/>
        </w:rPr>
        <w:t>Victorian Advocacy League for Individuals with Disabilities</w:t>
      </w:r>
      <w:r w:rsidR="00B91E2B" w:rsidRPr="00B14AB8">
        <w:rPr>
          <w:b/>
        </w:rPr>
        <w:t xml:space="preserve"> (</w:t>
      </w:r>
      <w:r w:rsidRPr="00B14AB8">
        <w:rPr>
          <w:b/>
        </w:rPr>
        <w:t>VALiD</w:t>
      </w:r>
      <w:r w:rsidR="00B91E2B" w:rsidRPr="00B14AB8">
        <w:rPr>
          <w:b/>
        </w:rPr>
        <w:t>)</w:t>
      </w:r>
      <w:r w:rsidR="00B91E2B" w:rsidRPr="00B14AB8">
        <w:t>:</w:t>
      </w:r>
      <w:r w:rsidR="00B91E2B" w:rsidRPr="00D775A2">
        <w:t xml:space="preserve"> </w:t>
      </w:r>
      <w:r w:rsidR="00B14AB8" w:rsidRPr="00B14AB8">
        <w:t>VALiD</w:t>
      </w:r>
      <w:r w:rsidR="00B14AB8" w:rsidRPr="00D775A2">
        <w:t xml:space="preserve"> </w:t>
      </w:r>
      <w:r w:rsidRPr="00D775A2">
        <w:t>provides a range of advocacy and information strategies that connect toge</w:t>
      </w:r>
      <w:r w:rsidR="00B14AB8">
        <w:t xml:space="preserve">ther, supporting people with </w:t>
      </w:r>
      <w:r w:rsidRPr="00D775A2">
        <w:t>disability on their journey towards empowerment and a good life.</w:t>
      </w:r>
    </w:p>
    <w:p w14:paraId="31A1311A" w14:textId="3E6FE52C" w:rsidR="00335F87" w:rsidRPr="00D775A2" w:rsidRDefault="005633CB" w:rsidP="00396190">
      <w:pPr>
        <w:pStyle w:val="ListParagraph"/>
        <w:numPr>
          <w:ilvl w:val="0"/>
          <w:numId w:val="4"/>
        </w:numPr>
      </w:pPr>
      <w:r w:rsidRPr="00B14AB8">
        <w:rPr>
          <w:b/>
        </w:rPr>
        <w:lastRenderedPageBreak/>
        <w:t>Disability Justice Advocacy (DJA)</w:t>
      </w:r>
      <w:r w:rsidR="00B91E2B" w:rsidRPr="00B14AB8">
        <w:t>:</w:t>
      </w:r>
      <w:r w:rsidR="00B91E2B" w:rsidRPr="00D775A2">
        <w:t xml:space="preserve"> </w:t>
      </w:r>
      <w:r w:rsidRPr="00D775A2">
        <w:t>DJA</w:t>
      </w:r>
      <w:r w:rsidR="00B91E2B" w:rsidRPr="00D775A2">
        <w:t xml:space="preserve"> </w:t>
      </w:r>
      <w:r w:rsidR="00335F87" w:rsidRPr="00D775A2">
        <w:t>provides</w:t>
      </w:r>
      <w:r w:rsidR="00B91E2B" w:rsidRPr="00D775A2">
        <w:t xml:space="preserve"> </w:t>
      </w:r>
      <w:r w:rsidR="00335F87" w:rsidRPr="00D775A2">
        <w:t>advocacy</w:t>
      </w:r>
      <w:r w:rsidR="00B91E2B" w:rsidRPr="00D775A2">
        <w:t xml:space="preserve"> </w:t>
      </w:r>
      <w:r w:rsidR="00335F87" w:rsidRPr="00D775A2">
        <w:t xml:space="preserve">support to people who have ongoing support needs as a result of disability.  </w:t>
      </w:r>
      <w:r w:rsidR="00B14AB8">
        <w:t>Its</w:t>
      </w:r>
      <w:r w:rsidR="00335F87" w:rsidRPr="00D775A2">
        <w:t xml:space="preserve"> focus is on </w:t>
      </w:r>
      <w:r w:rsidR="00B14AB8">
        <w:t xml:space="preserve">the </w:t>
      </w:r>
      <w:r w:rsidR="00700B63" w:rsidRPr="00D775A2">
        <w:t>people</w:t>
      </w:r>
      <w:r w:rsidR="00335F87" w:rsidRPr="00D775A2">
        <w:t xml:space="preserve"> with disability and supporting their needs, rights and interests to address and resolve issues they identify.</w:t>
      </w:r>
    </w:p>
    <w:p w14:paraId="0FE57775" w14:textId="2AFBE0D7" w:rsidR="001A7D18" w:rsidRDefault="00966DD0" w:rsidP="00396190">
      <w:pPr>
        <w:pStyle w:val="ListParagraph"/>
        <w:numPr>
          <w:ilvl w:val="0"/>
          <w:numId w:val="4"/>
        </w:numPr>
      </w:pPr>
      <w:r w:rsidRPr="00D775A2">
        <w:t xml:space="preserve"> </w:t>
      </w:r>
      <w:r w:rsidR="00DF7548" w:rsidRPr="00B14AB8">
        <w:rPr>
          <w:b/>
        </w:rPr>
        <w:t>Victoria Legal Aid</w:t>
      </w:r>
      <w:r w:rsidR="00DF7548" w:rsidRPr="00B14AB8">
        <w:t>:</w:t>
      </w:r>
      <w:r w:rsidR="00DF7548" w:rsidRPr="00D775A2">
        <w:t xml:space="preserve"> </w:t>
      </w:r>
      <w:r w:rsidRPr="00D775A2">
        <w:t>Victoria Legal</w:t>
      </w:r>
      <w:r w:rsidR="00DF7548" w:rsidRPr="00D775A2">
        <w:t xml:space="preserve"> Aid</w:t>
      </w:r>
      <w:r w:rsidRPr="00D775A2">
        <w:t xml:space="preserve"> assists people</w:t>
      </w:r>
      <w:r w:rsidR="00647B05" w:rsidRPr="00D775A2">
        <w:t xml:space="preserve"> with t</w:t>
      </w:r>
      <w:r w:rsidR="008C3594" w:rsidRPr="00D775A2">
        <w:t xml:space="preserve">heir </w:t>
      </w:r>
      <w:r w:rsidR="00647B05" w:rsidRPr="00D775A2">
        <w:t xml:space="preserve">legal issues.  </w:t>
      </w:r>
      <w:r w:rsidR="00B14AB8">
        <w:t>It</w:t>
      </w:r>
      <w:r w:rsidR="00647B05" w:rsidRPr="00D775A2">
        <w:t xml:space="preserve"> focus</w:t>
      </w:r>
      <w:r w:rsidR="00B14AB8">
        <w:t>es</w:t>
      </w:r>
      <w:r w:rsidR="00647B05" w:rsidRPr="00D775A2">
        <w:t xml:space="preserve"> on protecting the rights of all Victorians</w:t>
      </w:r>
      <w:r w:rsidR="009F7672">
        <w:t>,</w:t>
      </w:r>
      <w:r w:rsidR="00647B05" w:rsidRPr="00D775A2">
        <w:t> and providing assistance for those who need it the most.</w:t>
      </w:r>
      <w:r w:rsidR="000F3D0F" w:rsidRPr="00D775A2">
        <w:t xml:space="preserve"> </w:t>
      </w:r>
      <w:r w:rsidR="009F7672">
        <w:t>It</w:t>
      </w:r>
      <w:r w:rsidR="000F3D0F" w:rsidRPr="00D775A2">
        <w:t xml:space="preserve"> assist</w:t>
      </w:r>
      <w:r w:rsidR="009F7672">
        <w:t>s</w:t>
      </w:r>
      <w:r w:rsidR="000F3D0F" w:rsidRPr="00D775A2">
        <w:t xml:space="preserve"> people with legal problems in the areas of criminal law</w:t>
      </w:r>
      <w:r w:rsidR="00DF7548" w:rsidRPr="00D775A2">
        <w:t>,</w:t>
      </w:r>
      <w:r w:rsidR="000F3D0F" w:rsidRPr="00D775A2">
        <w:t xml:space="preserve"> family law and some civil law matters.</w:t>
      </w:r>
    </w:p>
    <w:p w14:paraId="20A19997" w14:textId="77777777" w:rsidR="00335F87" w:rsidRPr="002E269C" w:rsidRDefault="00335F87" w:rsidP="00396190">
      <w:pPr>
        <w:pStyle w:val="Heading2"/>
        <w:rPr>
          <w:rFonts w:eastAsia="Times New Roman" w:cs="Times New Roman"/>
          <w:lang w:val="en-GB" w:eastAsia="en-GB"/>
        </w:rPr>
      </w:pPr>
      <w:bookmarkStart w:id="51" w:name="_Toc514751841"/>
      <w:r w:rsidRPr="002E269C">
        <w:t>Overview of findings</w:t>
      </w:r>
      <w:bookmarkEnd w:id="51"/>
      <w:r w:rsidRPr="002E269C">
        <w:t xml:space="preserve"> </w:t>
      </w:r>
    </w:p>
    <w:p w14:paraId="49263496" w14:textId="2ED4DACD" w:rsidR="00335F87" w:rsidRPr="007313D7" w:rsidRDefault="00E928D6" w:rsidP="00396190">
      <w:pPr>
        <w:rPr>
          <w:rStyle w:val="CommentReference"/>
          <w:sz w:val="24"/>
          <w:szCs w:val="24"/>
        </w:rPr>
      </w:pPr>
      <w:r w:rsidRPr="002416C8">
        <w:t>The</w:t>
      </w:r>
      <w:r w:rsidR="00AC1153">
        <w:t xml:space="preserve"> organisations consulted for this paper emphasised </w:t>
      </w:r>
      <w:r w:rsidR="00335F87" w:rsidRPr="002416C8">
        <w:t xml:space="preserve">the importance of equal access to justice for people with </w:t>
      </w:r>
      <w:r w:rsidR="00515A51">
        <w:t>disability</w:t>
      </w:r>
      <w:r w:rsidR="00335F87" w:rsidRPr="002416C8">
        <w:t xml:space="preserve"> and the barriers that prevent that access.</w:t>
      </w:r>
      <w:r w:rsidR="00AC1153">
        <w:t xml:space="preserve"> Improving access to justice is</w:t>
      </w:r>
      <w:r w:rsidR="00487446">
        <w:t xml:space="preserve"> </w:t>
      </w:r>
      <w:r w:rsidR="00AC1153">
        <w:t xml:space="preserve">pressing because, </w:t>
      </w:r>
      <w:r w:rsidR="001A01F8">
        <w:t>with</w:t>
      </w:r>
      <w:r w:rsidR="00335F87" w:rsidRPr="002416C8">
        <w:t xml:space="preserve"> the gradual integration and now the greater push for inclusion of people with disability within society, undoubtedly</w:t>
      </w:r>
      <w:r w:rsidR="007313D7">
        <w:t>,</w:t>
      </w:r>
      <w:r w:rsidR="00A3074F">
        <w:t xml:space="preserve"> they will experience ‘the good, bad and ugly’</w:t>
      </w:r>
      <w:r w:rsidR="00335F87" w:rsidRPr="002416C8">
        <w:t xml:space="preserve"> of society that everyone else experiences in society.</w:t>
      </w:r>
      <w:r w:rsidR="00732465">
        <w:t xml:space="preserve"> Especially in light of </w:t>
      </w:r>
      <w:r w:rsidR="00335F87" w:rsidRPr="002416C8">
        <w:t>the</w:t>
      </w:r>
      <w:r w:rsidR="00732465">
        <w:t xml:space="preserve"> advent of the</w:t>
      </w:r>
      <w:r w:rsidR="00335F87" w:rsidRPr="002416C8">
        <w:t xml:space="preserve"> </w:t>
      </w:r>
      <w:r w:rsidR="00732465">
        <w:t>National Disability Insurance Scheme</w:t>
      </w:r>
      <w:r w:rsidR="005633CB">
        <w:t xml:space="preserve"> (NDIS)</w:t>
      </w:r>
      <w:r w:rsidR="00D2080D">
        <w:t xml:space="preserve"> in Australia</w:t>
      </w:r>
      <w:r w:rsidR="00335F87" w:rsidRPr="002416C8">
        <w:t>,</w:t>
      </w:r>
      <w:r w:rsidR="00732465">
        <w:t xml:space="preserve"> which is intended to give people with </w:t>
      </w:r>
      <w:r w:rsidR="00515A51">
        <w:t>disability</w:t>
      </w:r>
      <w:r w:rsidR="00732465">
        <w:t xml:space="preserve"> greater choice and control over their lives and the resources to live independently in the community,</w:t>
      </w:r>
      <w:r w:rsidR="00FE4999">
        <w:t xml:space="preserve"> people with </w:t>
      </w:r>
      <w:r w:rsidR="00515A51">
        <w:t>disability</w:t>
      </w:r>
      <w:r w:rsidR="00335F87" w:rsidRPr="002416C8">
        <w:t xml:space="preserve"> will be more involved in the community and </w:t>
      </w:r>
      <w:r w:rsidR="005633CB">
        <w:t>may have a higher</w:t>
      </w:r>
      <w:r w:rsidR="007D412F">
        <w:t xml:space="preserve"> </w:t>
      </w:r>
      <w:r w:rsidR="005633CB">
        <w:t xml:space="preserve">involvement in justice processes. </w:t>
      </w:r>
    </w:p>
    <w:p w14:paraId="23EF7062" w14:textId="000C155D" w:rsidR="00335F87" w:rsidRDefault="00FD6DBD" w:rsidP="00396190">
      <w:r w:rsidRPr="007313D7">
        <w:t xml:space="preserve">The consultations </w:t>
      </w:r>
      <w:r w:rsidR="00027BDB">
        <w:t xml:space="preserve">indicated a common view of why </w:t>
      </w:r>
      <w:r w:rsidR="00335F87" w:rsidRPr="007313D7">
        <w:t xml:space="preserve">barriers to access to justice for people with </w:t>
      </w:r>
      <w:r w:rsidR="00515A51">
        <w:t>disability</w:t>
      </w:r>
      <w:r w:rsidR="00027BDB">
        <w:t xml:space="preserve"> exist. P</w:t>
      </w:r>
      <w:r w:rsidR="00335F87" w:rsidRPr="007313D7">
        <w:t xml:space="preserve">eople with </w:t>
      </w:r>
      <w:r w:rsidR="00515A51">
        <w:t>disability</w:t>
      </w:r>
      <w:r w:rsidR="00335F87" w:rsidRPr="007313D7">
        <w:t xml:space="preserve"> have</w:t>
      </w:r>
      <w:r w:rsidR="00A3074F">
        <w:t xml:space="preserve"> been perceived as having been ‘looked after’</w:t>
      </w:r>
      <w:r w:rsidR="00335F87" w:rsidRPr="007313D7">
        <w:t xml:space="preserve"> by their parents or by the institutions where people with </w:t>
      </w:r>
      <w:r w:rsidR="00700B63">
        <w:t>disability</w:t>
      </w:r>
      <w:r w:rsidR="00335F87" w:rsidRPr="007313D7">
        <w:t xml:space="preserve"> have been placed in the past</w:t>
      </w:r>
      <w:r w:rsidR="00027BDB">
        <w:t>; consequently,</w:t>
      </w:r>
      <w:r w:rsidR="00335F87" w:rsidRPr="007313D7">
        <w:t xml:space="preserve"> wrongdoing against people with </w:t>
      </w:r>
      <w:r w:rsidR="00700B63">
        <w:t>disability</w:t>
      </w:r>
      <w:r w:rsidR="00335F87" w:rsidRPr="007313D7">
        <w:t xml:space="preserve"> is often denied or dealt with by internal investigations by disability</w:t>
      </w:r>
      <w:r w:rsidR="00027BDB">
        <w:t xml:space="preserve"> </w:t>
      </w:r>
      <w:r w:rsidR="00FE4999">
        <w:t xml:space="preserve">organisations. </w:t>
      </w:r>
      <w:r w:rsidR="00D56C65">
        <w:t>There was commonly</w:t>
      </w:r>
      <w:r w:rsidR="00335F87" w:rsidRPr="007313D7">
        <w:t xml:space="preserve"> no desire or</w:t>
      </w:r>
      <w:r w:rsidR="00D56C65">
        <w:t xml:space="preserve"> perceived</w:t>
      </w:r>
      <w:r w:rsidR="00335F87" w:rsidRPr="007313D7">
        <w:t xml:space="preserve"> need to trouble the police or the justice system.</w:t>
      </w:r>
    </w:p>
    <w:p w14:paraId="1243EDDA" w14:textId="52E2825F" w:rsidR="00E32F15" w:rsidRDefault="00DE6BF5" w:rsidP="00396190">
      <w:r>
        <w:t xml:space="preserve">Those consulted </w:t>
      </w:r>
      <w:r w:rsidR="00264D6B">
        <w:t>made a range of recommendations for legal and policy changes</w:t>
      </w:r>
      <w:r w:rsidR="00A3074F">
        <w:rPr>
          <w:rFonts w:cs="Times New Roman"/>
        </w:rPr>
        <w:t>—</w:t>
      </w:r>
      <w:r w:rsidR="00264D6B">
        <w:t xml:space="preserve">most of which </w:t>
      </w:r>
      <w:r w:rsidR="005633CB">
        <w:t>would benefit from</w:t>
      </w:r>
      <w:r w:rsidR="00264D6B">
        <w:t xml:space="preserve"> a research evidence base</w:t>
      </w:r>
      <w:r w:rsidR="00A3074F">
        <w:rPr>
          <w:rFonts w:cs="Times New Roman"/>
        </w:rPr>
        <w:t>—</w:t>
      </w:r>
      <w:r w:rsidR="00264D6B">
        <w:t xml:space="preserve">to improve access to justice for people with </w:t>
      </w:r>
      <w:r w:rsidR="00700B63">
        <w:t>disability</w:t>
      </w:r>
      <w:r w:rsidR="00264D6B">
        <w:t xml:space="preserve">. For example, </w:t>
      </w:r>
      <w:r w:rsidR="00264D6B" w:rsidRPr="00E20083">
        <w:t>most of the organisations</w:t>
      </w:r>
      <w:r w:rsidR="00264D6B">
        <w:t xml:space="preserve"> recommended a g</w:t>
      </w:r>
      <w:r w:rsidR="00264D6B" w:rsidRPr="007313D7">
        <w:t>reater amount of training on disability itself</w:t>
      </w:r>
      <w:r w:rsidR="00264D6B">
        <w:t xml:space="preserve">. </w:t>
      </w:r>
      <w:r w:rsidR="00335F87" w:rsidRPr="007313D7">
        <w:t>They</w:t>
      </w:r>
      <w:r w:rsidR="00264D6B">
        <w:t xml:space="preserve"> argued</w:t>
      </w:r>
      <w:r w:rsidR="00335F87" w:rsidRPr="007313D7">
        <w:t xml:space="preserve"> that most police, lawyers and solicitors need more disability training to be able to work </w:t>
      </w:r>
      <w:r w:rsidR="00993B8D">
        <w:t xml:space="preserve">with </w:t>
      </w:r>
      <w:r w:rsidR="00335F87" w:rsidRPr="007313D7">
        <w:t xml:space="preserve">and relate to people with </w:t>
      </w:r>
      <w:r w:rsidR="00700B63">
        <w:t>disability</w:t>
      </w:r>
      <w:r w:rsidR="00335F87" w:rsidRPr="007313D7">
        <w:t xml:space="preserve"> in a more dignified, confident and equal manner.</w:t>
      </w:r>
      <w:r w:rsidR="00264D6B">
        <w:t xml:space="preserve"> </w:t>
      </w:r>
      <w:r w:rsidR="00264D6B" w:rsidRPr="0016400F">
        <w:t>Many groups also emphasised the need for g</w:t>
      </w:r>
      <w:r w:rsidR="00335F87" w:rsidRPr="0016400F">
        <w:t>reater adaptability of court process to accommodate varying communication methods</w:t>
      </w:r>
      <w:r w:rsidR="00264D6B" w:rsidRPr="0016400F">
        <w:t xml:space="preserve">. </w:t>
      </w:r>
      <w:r w:rsidR="00335F87" w:rsidRPr="0016400F">
        <w:t>With the development of varying me</w:t>
      </w:r>
      <w:r w:rsidR="00264D6B">
        <w:t>t</w:t>
      </w:r>
      <w:r w:rsidR="00335F87" w:rsidRPr="0016400F">
        <w:t>hods of communication</w:t>
      </w:r>
      <w:r w:rsidR="00A3074F">
        <w:t>, both electronically and with ‘communication partners’</w:t>
      </w:r>
      <w:r w:rsidR="00335F87" w:rsidRPr="0016400F">
        <w:t xml:space="preserve"> it </w:t>
      </w:r>
      <w:r w:rsidR="00264D6B">
        <w:t>wa</w:t>
      </w:r>
      <w:r w:rsidR="00335F87" w:rsidRPr="0016400F">
        <w:t>s felt that the judicial pr</w:t>
      </w:r>
      <w:r w:rsidR="00264D6B">
        <w:t>o</w:t>
      </w:r>
      <w:r w:rsidR="00335F87" w:rsidRPr="0016400F">
        <w:t xml:space="preserve">cesses must find ways to accommodate these methods of communication whilst retaining the </w:t>
      </w:r>
      <w:r w:rsidR="003C1D63">
        <w:t xml:space="preserve">sanctity </w:t>
      </w:r>
      <w:r w:rsidR="00335F87" w:rsidRPr="0016400F">
        <w:t>of the judicial process.</w:t>
      </w:r>
      <w:r w:rsidR="00264D6B">
        <w:t xml:space="preserve"> </w:t>
      </w:r>
      <w:r w:rsidR="00335F87" w:rsidRPr="0016400F">
        <w:t>Faster linkage with lawyers and establish</w:t>
      </w:r>
      <w:r w:rsidR="001E2531" w:rsidRPr="00DF7548">
        <w:t>ing</w:t>
      </w:r>
      <w:r w:rsidR="00335F87" w:rsidRPr="00695847">
        <w:t xml:space="preserve"> more </w:t>
      </w:r>
      <w:r>
        <w:t>links between courts and social services were</w:t>
      </w:r>
      <w:r w:rsidR="00264D6B" w:rsidRPr="00DF7548">
        <w:t xml:space="preserve"> also identified as key issue</w:t>
      </w:r>
      <w:r>
        <w:t>s</w:t>
      </w:r>
      <w:r w:rsidR="00335F87" w:rsidRPr="00695847">
        <w:t>.</w:t>
      </w:r>
      <w:r w:rsidR="00264D6B">
        <w:t xml:space="preserve"> </w:t>
      </w:r>
    </w:p>
    <w:p w14:paraId="0A64AACF" w14:textId="77777777" w:rsidR="009A0E7F" w:rsidRDefault="009A0E7F" w:rsidP="00396190">
      <w:r>
        <w:t xml:space="preserve">The following sections </w:t>
      </w:r>
      <w:r w:rsidR="005C0CA1">
        <w:t xml:space="preserve">discuss in more detail the barriers to access to justice, and recommendations for reform, identified by the </w:t>
      </w:r>
      <w:r w:rsidR="00DE6BF5">
        <w:t xml:space="preserve">organisations </w:t>
      </w:r>
      <w:r w:rsidR="005C0CA1">
        <w:t>consulted.</w:t>
      </w:r>
    </w:p>
    <w:p w14:paraId="52F98CCF" w14:textId="77777777" w:rsidR="00DF7548" w:rsidRPr="00832376" w:rsidRDefault="00DF7548" w:rsidP="00396190"/>
    <w:p w14:paraId="4A9BB139" w14:textId="3CDBE718" w:rsidR="00335F87" w:rsidRPr="002E269C" w:rsidRDefault="00DF7A11" w:rsidP="00396190">
      <w:pPr>
        <w:pStyle w:val="Heading2"/>
      </w:pPr>
      <w:bookmarkStart w:id="52" w:name="_Toc514751842"/>
      <w:r>
        <w:t>Barriers to a</w:t>
      </w:r>
      <w:r w:rsidR="00335F87" w:rsidRPr="002E269C">
        <w:t>ccess</w:t>
      </w:r>
      <w:r>
        <w:t xml:space="preserve"> to j</w:t>
      </w:r>
      <w:r w:rsidR="00335F87" w:rsidRPr="002E269C">
        <w:t xml:space="preserve">ustice faced by people with </w:t>
      </w:r>
      <w:r w:rsidR="00700B63">
        <w:t>disability</w:t>
      </w:r>
      <w:bookmarkEnd w:id="52"/>
    </w:p>
    <w:p w14:paraId="339E9A0D" w14:textId="77777777" w:rsidR="00335F87" w:rsidRPr="002E269C" w:rsidRDefault="00335F87" w:rsidP="0065659F">
      <w:pPr>
        <w:pStyle w:val="Heading3"/>
      </w:pPr>
      <w:bookmarkStart w:id="53" w:name="_Toc514751843"/>
      <w:r w:rsidRPr="002E269C">
        <w:t>The status of people with disability in society</w:t>
      </w:r>
      <w:bookmarkEnd w:id="53"/>
    </w:p>
    <w:p w14:paraId="23AAD287" w14:textId="118266B0" w:rsidR="00335F87" w:rsidRDefault="00335F87" w:rsidP="00396190">
      <w:r w:rsidRPr="00832376">
        <w:t xml:space="preserve">People with </w:t>
      </w:r>
      <w:r w:rsidR="00700B63">
        <w:t>disability</w:t>
      </w:r>
      <w:r w:rsidRPr="00832376">
        <w:t xml:space="preserve"> have been advocating for equal </w:t>
      </w:r>
      <w:r w:rsidR="00DE6BF5">
        <w:t xml:space="preserve">treatment within society for decades. </w:t>
      </w:r>
      <w:r w:rsidRPr="00832376">
        <w:t xml:space="preserve">We have made some progress in a number of areas.  However, it appears the justice system is very behind when it comes to people with </w:t>
      </w:r>
      <w:r w:rsidR="00700B63">
        <w:t>disability</w:t>
      </w:r>
      <w:r w:rsidR="00DE6BF5">
        <w:t>.</w:t>
      </w:r>
      <w:r w:rsidRPr="00832376">
        <w:t xml:space="preserve"> Issues </w:t>
      </w:r>
      <w:r w:rsidR="00DE6BF5">
        <w:t xml:space="preserve">identified by the consultations as </w:t>
      </w:r>
      <w:r w:rsidR="00DE6BF5">
        <w:lastRenderedPageBreak/>
        <w:t xml:space="preserve">barriers to accessing the justice system included </w:t>
      </w:r>
      <w:r w:rsidRPr="00832376">
        <w:t xml:space="preserve">the </w:t>
      </w:r>
      <w:r w:rsidR="00DE6BF5">
        <w:t xml:space="preserve">perceived </w:t>
      </w:r>
      <w:r w:rsidRPr="00832376">
        <w:t xml:space="preserve">credibility of people with </w:t>
      </w:r>
      <w:r w:rsidR="00700B63">
        <w:t>disability</w:t>
      </w:r>
      <w:r w:rsidR="00753817">
        <w:t>,</w:t>
      </w:r>
      <w:r w:rsidR="003A2F20">
        <w:t xml:space="preserve"> </w:t>
      </w:r>
      <w:r w:rsidR="00DE6BF5">
        <w:t>and intimidation</w:t>
      </w:r>
      <w:r w:rsidRPr="00832376">
        <w:t xml:space="preserve"> by the process and the people</w:t>
      </w:r>
      <w:r w:rsidR="003A2F20">
        <w:t xml:space="preserve"> in control of</w:t>
      </w:r>
      <w:r w:rsidRPr="00832376">
        <w:t xml:space="preserve"> th</w:t>
      </w:r>
      <w:r w:rsidR="003A2F20">
        <w:t>ose</w:t>
      </w:r>
      <w:r w:rsidRPr="00832376">
        <w:t xml:space="preserve"> processes</w:t>
      </w:r>
      <w:r w:rsidR="004013BC">
        <w:t xml:space="preserve"> – </w:t>
      </w:r>
      <w:r w:rsidRPr="00832376">
        <w:t>that is, the service providers, police, lawyers and judges.</w:t>
      </w:r>
    </w:p>
    <w:p w14:paraId="259417FD" w14:textId="777217DE" w:rsidR="00980926" w:rsidRDefault="007A0891" w:rsidP="00396190">
      <w:r>
        <w:t xml:space="preserve">According to </w:t>
      </w:r>
      <w:r w:rsidR="00DE6BF5">
        <w:t>the organisations consulted</w:t>
      </w:r>
      <w:r>
        <w:t xml:space="preserve">, </w:t>
      </w:r>
      <w:r w:rsidR="00335F87" w:rsidRPr="00832376">
        <w:t>th</w:t>
      </w:r>
      <w:r>
        <w:t>o</w:t>
      </w:r>
      <w:r w:rsidR="00335F87" w:rsidRPr="00832376">
        <w:t>se involved in the justice process</w:t>
      </w:r>
      <w:r>
        <w:t xml:space="preserve"> often</w:t>
      </w:r>
      <w:r w:rsidR="00335F87" w:rsidRPr="00832376">
        <w:t xml:space="preserve"> have negative stereotypes of people with </w:t>
      </w:r>
      <w:r w:rsidR="00700B63">
        <w:t>disability</w:t>
      </w:r>
      <w:r w:rsidR="00335F87" w:rsidRPr="00832376">
        <w:t xml:space="preserve">.  This </w:t>
      </w:r>
      <w:r w:rsidR="00DE6BF5">
        <w:t>likely</w:t>
      </w:r>
      <w:r w:rsidR="00335F87" w:rsidRPr="00832376">
        <w:t xml:space="preserve"> </w:t>
      </w:r>
      <w:r>
        <w:t>a</w:t>
      </w:r>
      <w:r w:rsidR="00335F87" w:rsidRPr="00832376">
        <w:t xml:space="preserve">ffects </w:t>
      </w:r>
      <w:r w:rsidR="004013BC">
        <w:t>how</w:t>
      </w:r>
      <w:r w:rsidR="00335F87" w:rsidRPr="00832376">
        <w:t xml:space="preserve"> people with </w:t>
      </w:r>
      <w:r w:rsidR="00700B63">
        <w:t>disability</w:t>
      </w:r>
      <w:r w:rsidR="00335F87" w:rsidRPr="00832376">
        <w:t xml:space="preserve"> are treated by disability service providers</w:t>
      </w:r>
      <w:r w:rsidR="00753817">
        <w:t>,</w:t>
      </w:r>
      <w:r w:rsidR="00335F87" w:rsidRPr="00832376">
        <w:t xml:space="preserve"> police</w:t>
      </w:r>
      <w:r w:rsidR="00753817">
        <w:t>,</w:t>
      </w:r>
      <w:r w:rsidR="00980926" w:rsidRPr="00980926" w:rsidDel="00980926">
        <w:t xml:space="preserve"> </w:t>
      </w:r>
      <w:r w:rsidR="00335F87" w:rsidRPr="00832376">
        <w:t>solicitors and judges.</w:t>
      </w:r>
      <w:r w:rsidR="00980926">
        <w:t xml:space="preserve"> </w:t>
      </w:r>
    </w:p>
    <w:p w14:paraId="04C1FDF1" w14:textId="1723FEF2" w:rsidR="00335F87" w:rsidRPr="00832376" w:rsidRDefault="00335F87" w:rsidP="00D01505">
      <w:pPr>
        <w:pStyle w:val="Quote"/>
      </w:pPr>
      <w:r w:rsidRPr="00052F9A">
        <w:t>The Law has inbuilt discrimination. People with disabilities can be deemed not</w:t>
      </w:r>
      <w:r w:rsidR="00D01505">
        <w:t xml:space="preserve"> to have legal capacity.</w:t>
      </w:r>
    </w:p>
    <w:p w14:paraId="2137CA10" w14:textId="7A305CE1" w:rsidR="00335F87" w:rsidRPr="00D01505" w:rsidRDefault="00980926" w:rsidP="00D01505">
      <w:pPr>
        <w:pStyle w:val="Sourceofquote"/>
      </w:pPr>
      <w:r w:rsidRPr="00D01505">
        <w:t>DPO Australia</w:t>
      </w:r>
    </w:p>
    <w:p w14:paraId="2C024BF9" w14:textId="73E6B7F1" w:rsidR="00335F87" w:rsidRPr="003C1D63" w:rsidRDefault="00335F87" w:rsidP="00D01505">
      <w:pPr>
        <w:pStyle w:val="Quote"/>
      </w:pPr>
      <w:r w:rsidRPr="003C1D63">
        <w:t>People with disabil</w:t>
      </w:r>
      <w:r w:rsidR="00DE6BF5">
        <w:t xml:space="preserve">ities are not taken seriously. </w:t>
      </w:r>
      <w:r w:rsidRPr="003C1D63">
        <w:t>What they say generally is not believed by service providers or police. Police have a negative ster</w:t>
      </w:r>
      <w:r w:rsidR="00FE4999">
        <w:t xml:space="preserve">eotype and perception of people </w:t>
      </w:r>
      <w:r w:rsidRPr="003C1D63">
        <w:t>with disabilities which affects how they respond to people with disabilities. Police can be intimi</w:t>
      </w:r>
      <w:r w:rsidR="00FE4999">
        <w:t xml:space="preserve">dating which scares people with </w:t>
      </w:r>
      <w:r w:rsidRPr="003C1D63">
        <w:t>disabilities.</w:t>
      </w:r>
    </w:p>
    <w:p w14:paraId="2182E840" w14:textId="77777777" w:rsidR="00335F87" w:rsidRPr="003C1D63" w:rsidRDefault="00C21F96" w:rsidP="00D01505">
      <w:pPr>
        <w:pStyle w:val="Sourceofquote"/>
      </w:pPr>
      <w:r w:rsidRPr="003C1D63">
        <w:t>P</w:t>
      </w:r>
      <w:r w:rsidR="00043F17" w:rsidRPr="003C1D63">
        <w:t xml:space="preserve">eople with Disability </w:t>
      </w:r>
      <w:r w:rsidRPr="003C1D63">
        <w:t>A</w:t>
      </w:r>
      <w:r w:rsidR="00043F17" w:rsidRPr="003C1D63">
        <w:t>ustralia</w:t>
      </w:r>
    </w:p>
    <w:p w14:paraId="51B793ED" w14:textId="57CCB8CA" w:rsidR="002A2738" w:rsidRPr="003C1D63" w:rsidRDefault="00DE6BF5" w:rsidP="00D01505">
      <w:pPr>
        <w:pStyle w:val="Quote"/>
      </w:pPr>
      <w:r>
        <w:t>A</w:t>
      </w:r>
      <w:r w:rsidR="00401EA3" w:rsidRPr="003C1D63">
        <w:t xml:space="preserve"> </w:t>
      </w:r>
      <w:r w:rsidR="002A2738" w:rsidRPr="003C1D63">
        <w:t>lack of understanding about disability</w:t>
      </w:r>
      <w:r w:rsidR="003C1D63" w:rsidRPr="003C1D63">
        <w:t xml:space="preserve"> a</w:t>
      </w:r>
      <w:r w:rsidR="00401EA3" w:rsidRPr="003C1D63">
        <w:t xml:space="preserve">nd </w:t>
      </w:r>
      <w:r w:rsidR="002A2738" w:rsidRPr="003C1D63">
        <w:t xml:space="preserve">some behaviour being can be seen as criminal but it </w:t>
      </w:r>
      <w:r w:rsidR="00401EA3" w:rsidRPr="003C1D63">
        <w:t xml:space="preserve">is </w:t>
      </w:r>
      <w:r w:rsidR="002A2738" w:rsidRPr="003C1D63">
        <w:t>caused by a disability</w:t>
      </w:r>
      <w:r w:rsidR="00D01505">
        <w:t>.</w:t>
      </w:r>
    </w:p>
    <w:p w14:paraId="0922A6E1" w14:textId="77777777" w:rsidR="00401EA3" w:rsidRPr="003C1D63" w:rsidRDefault="00401EA3" w:rsidP="00D01505">
      <w:pPr>
        <w:pStyle w:val="Sourceofquote"/>
      </w:pPr>
      <w:r w:rsidRPr="003C1D63">
        <w:t>Disabled Peoples’ Assembly, New Zealand</w:t>
      </w:r>
    </w:p>
    <w:p w14:paraId="7803D6C1" w14:textId="24003C54" w:rsidR="00335F87" w:rsidRPr="00401EA3" w:rsidRDefault="00401EA3" w:rsidP="00396190">
      <w:pPr>
        <w:rPr>
          <w:color w:val="FF0000"/>
        </w:rPr>
      </w:pPr>
      <w:r w:rsidRPr="003C1D63">
        <w:t>Disabled Peoples’ Assembly further stated that poverty and</w:t>
      </w:r>
      <w:r w:rsidR="00E77734" w:rsidRPr="003C1D63">
        <w:t xml:space="preserve"> social </w:t>
      </w:r>
      <w:r w:rsidRPr="003C1D63">
        <w:t xml:space="preserve">isolation makes it difficult </w:t>
      </w:r>
      <w:r w:rsidR="00DE6BF5">
        <w:t xml:space="preserve">for people with disability </w:t>
      </w:r>
      <w:r w:rsidRPr="003C1D63">
        <w:t>to report crimes</w:t>
      </w:r>
      <w:r w:rsidR="00DE6BF5">
        <w:t xml:space="preserve"> </w:t>
      </w:r>
      <w:r w:rsidR="00FE4999">
        <w:t>—</w:t>
      </w:r>
      <w:r w:rsidR="00DE6BF5">
        <w:t xml:space="preserve"> including crimes within the home. </w:t>
      </w:r>
    </w:p>
    <w:p w14:paraId="63D9FCB1" w14:textId="238D4942" w:rsidR="00D01505" w:rsidRDefault="0088536A" w:rsidP="00396190">
      <w:pPr>
        <w:rPr>
          <w:rFonts w:eastAsia="Times New Roman"/>
        </w:rPr>
      </w:pPr>
      <w:r>
        <w:t xml:space="preserve">Other organisations </w:t>
      </w:r>
      <w:r w:rsidR="00DF7548">
        <w:t>identified</w:t>
      </w:r>
      <w:r w:rsidR="00FE6B0E">
        <w:t xml:space="preserve"> other barriers around communication by victim</w:t>
      </w:r>
      <w:r w:rsidR="00DF7548">
        <w:t>s of crime.</w:t>
      </w:r>
      <w:r w:rsidR="00FE6B0E">
        <w:t xml:space="preserve">  For example, in 2014, in his presentation</w:t>
      </w:r>
      <w:r w:rsidR="004013BC">
        <w:rPr>
          <w:rFonts w:eastAsia="Times New Roman"/>
        </w:rPr>
        <w:t xml:space="preserve"> ‘</w:t>
      </w:r>
      <w:r w:rsidR="00FE6B0E" w:rsidRPr="003D1AEF">
        <w:rPr>
          <w:rFonts w:eastAsia="Times New Roman"/>
        </w:rPr>
        <w:t>Experiences of people with D</w:t>
      </w:r>
      <w:r w:rsidR="004013BC">
        <w:rPr>
          <w:rFonts w:eastAsia="Times New Roman"/>
        </w:rPr>
        <w:t>isabilities as Victims of Crime’</w:t>
      </w:r>
      <w:r w:rsidR="00FE6B0E">
        <w:rPr>
          <w:rFonts w:eastAsia="Times New Roman"/>
        </w:rPr>
        <w:t xml:space="preserve">, </w:t>
      </w:r>
      <w:r w:rsidR="00FE6B0E" w:rsidRPr="002F3397">
        <w:rPr>
          <w:rFonts w:eastAsia="Times New Roman"/>
        </w:rPr>
        <w:t>Trevor Carroll</w:t>
      </w:r>
      <w:r w:rsidR="00FE6B0E">
        <w:rPr>
          <w:rFonts w:eastAsia="Times New Roman"/>
        </w:rPr>
        <w:t xml:space="preserve"> stated</w:t>
      </w:r>
      <w:r w:rsidR="00D01505">
        <w:rPr>
          <w:rFonts w:eastAsia="Times New Roman"/>
        </w:rPr>
        <w:t>:</w:t>
      </w:r>
    </w:p>
    <w:p w14:paraId="2BC2C2DF" w14:textId="77777777" w:rsidR="00D01505" w:rsidRDefault="00D01505" w:rsidP="00D01505">
      <w:pPr>
        <w:pStyle w:val="Quote"/>
        <w:rPr>
          <w:rFonts w:eastAsia="Times New Roman"/>
        </w:rPr>
      </w:pPr>
      <w:r>
        <w:t>S</w:t>
      </w:r>
      <w:r w:rsidR="00335F87" w:rsidRPr="00052F9A">
        <w:t>ome victims are unable to communicate the crime due to a lack of support and appropriate augmentative and alte</w:t>
      </w:r>
      <w:r w:rsidR="004D6718">
        <w:t>r</w:t>
      </w:r>
      <w:r w:rsidR="00335F87" w:rsidRPr="00052F9A">
        <w:t>native communication aides</w:t>
      </w:r>
      <w:r w:rsidR="004D6718">
        <w:t>.</w:t>
      </w:r>
      <w:r w:rsidR="00335F87" w:rsidRPr="00052F9A">
        <w:t xml:space="preserve">  Some victims are prevented from reporting crime by pressure from family members.</w:t>
      </w:r>
      <w:r w:rsidRPr="00D01505">
        <w:rPr>
          <w:rFonts w:eastAsia="Times New Roman"/>
        </w:rPr>
        <w:t xml:space="preserve"> </w:t>
      </w:r>
    </w:p>
    <w:p w14:paraId="6C84F55C" w14:textId="4DA51940" w:rsidR="00335F87" w:rsidRPr="00AC1153" w:rsidRDefault="00D01505" w:rsidP="00D01505">
      <w:pPr>
        <w:pStyle w:val="Sourceofquote"/>
      </w:pPr>
      <w:r w:rsidRPr="002F3397">
        <w:t>Trevor Carroll</w:t>
      </w:r>
      <w:r>
        <w:t>, Disability Justice Advocacy</w:t>
      </w:r>
    </w:p>
    <w:p w14:paraId="140FA3EA" w14:textId="3D601550" w:rsidR="004D6718" w:rsidRPr="003C1D63" w:rsidRDefault="004D6718" w:rsidP="00D01505">
      <w:pPr>
        <w:pStyle w:val="Quote"/>
      </w:pPr>
      <w:r w:rsidRPr="003C1D63">
        <w:t>Communication is often an issue for people with disabilities going</w:t>
      </w:r>
      <w:r w:rsidR="001B2B46" w:rsidRPr="003C1D63">
        <w:t xml:space="preserve"> through</w:t>
      </w:r>
      <w:r w:rsidRPr="003C1D63">
        <w:t xml:space="preserve"> the justice process.</w:t>
      </w:r>
      <w:r w:rsidR="003C1D63">
        <w:t xml:space="preserve"> </w:t>
      </w:r>
      <w:r w:rsidRPr="003C1D63">
        <w:t>It is very difficult to get a support person to assist people with disability through the justice process.</w:t>
      </w:r>
    </w:p>
    <w:p w14:paraId="7D3D9E0C" w14:textId="77777777" w:rsidR="004D6718" w:rsidRPr="003C1D63" w:rsidRDefault="004D6718" w:rsidP="00D01505">
      <w:pPr>
        <w:pStyle w:val="Sourceofquote"/>
      </w:pPr>
      <w:r w:rsidRPr="003C1D63">
        <w:t>Disabled Peoples’ Assembly, New Zealand</w:t>
      </w:r>
    </w:p>
    <w:p w14:paraId="58B75A21" w14:textId="77777777" w:rsidR="00335F87" w:rsidRPr="002E269C" w:rsidRDefault="00335F87" w:rsidP="00396190">
      <w:pPr>
        <w:pStyle w:val="Heading2"/>
      </w:pPr>
      <w:bookmarkStart w:id="54" w:name="_Toc514751844"/>
      <w:r w:rsidRPr="002E269C">
        <w:t xml:space="preserve">Barriers caused by poor processes among </w:t>
      </w:r>
      <w:r w:rsidR="00D76AFB">
        <w:t>d</w:t>
      </w:r>
      <w:r w:rsidRPr="002E269C">
        <w:t xml:space="preserve">isability </w:t>
      </w:r>
      <w:r w:rsidR="00D76AFB">
        <w:t>s</w:t>
      </w:r>
      <w:r w:rsidRPr="002E269C">
        <w:t>ervice providers</w:t>
      </w:r>
      <w:bookmarkEnd w:id="54"/>
    </w:p>
    <w:p w14:paraId="3F38AAAE" w14:textId="68BD8944" w:rsidR="00335F87" w:rsidRPr="002E269C" w:rsidRDefault="00843164" w:rsidP="00396190">
      <w:r>
        <w:t xml:space="preserve">According to </w:t>
      </w:r>
      <w:r w:rsidR="00DE6BF5">
        <w:t>many of the organisations consulted</w:t>
      </w:r>
      <w:r>
        <w:t>, t</w:t>
      </w:r>
      <w:r w:rsidR="00335F87" w:rsidRPr="002E269C">
        <w:t xml:space="preserve">he initial major barrier for people with </w:t>
      </w:r>
      <w:r w:rsidR="00700B63">
        <w:t>disability</w:t>
      </w:r>
      <w:r w:rsidR="00335F87" w:rsidRPr="002E269C">
        <w:t xml:space="preserve"> to accessing justice </w:t>
      </w:r>
      <w:r w:rsidR="00A356C0">
        <w:t>is</w:t>
      </w:r>
      <w:r w:rsidR="00335F87" w:rsidRPr="002E269C">
        <w:t xml:space="preserve"> the unwillingness of disability service providers to allow people with </w:t>
      </w:r>
      <w:r w:rsidR="00700B63">
        <w:t>disability</w:t>
      </w:r>
      <w:r w:rsidR="00335F87" w:rsidRPr="002E269C">
        <w:t xml:space="preserve"> to contact the police when a legal wrongdoing has occurred against them within their facility.  Disability service provider management usually deal with such matters </w:t>
      </w:r>
      <w:r w:rsidR="00A142BB">
        <w:t>through</w:t>
      </w:r>
      <w:r w:rsidR="00335F87" w:rsidRPr="002E269C">
        <w:t xml:space="preserve"> internal in</w:t>
      </w:r>
      <w:r w:rsidR="00DE6BF5">
        <w:t>vestigations, which can result</w:t>
      </w:r>
      <w:r w:rsidR="00335F87" w:rsidRPr="002E269C">
        <w:t xml:space="preserve"> in the matter disappea</w:t>
      </w:r>
      <w:r w:rsidR="00FE4999">
        <w:t xml:space="preserve">ring and the person with </w:t>
      </w:r>
      <w:r w:rsidR="00335F87" w:rsidRPr="002E269C">
        <w:t>disability receiving no justice in the matter.</w:t>
      </w:r>
    </w:p>
    <w:p w14:paraId="0F0FAF82" w14:textId="6A087AC0" w:rsidR="00335F87" w:rsidRPr="002E269C" w:rsidRDefault="009D0D68" w:rsidP="00396190">
      <w:r>
        <w:lastRenderedPageBreak/>
        <w:t>According to PWDA, i</w:t>
      </w:r>
      <w:r w:rsidR="00335F87" w:rsidRPr="002E269C">
        <w:t>f viol</w:t>
      </w:r>
      <w:r w:rsidR="00FE4999">
        <w:t xml:space="preserve">ence occurs against people with </w:t>
      </w:r>
      <w:r w:rsidR="00700B63">
        <w:t>disability</w:t>
      </w:r>
      <w:r w:rsidR="00335F87" w:rsidRPr="002E269C">
        <w:t xml:space="preserve"> within an accommodation service, management say it is an in-home matter and </w:t>
      </w:r>
      <w:r w:rsidR="00A142BB">
        <w:t xml:space="preserve">tell people </w:t>
      </w:r>
      <w:r w:rsidR="00335F87" w:rsidRPr="002E269C">
        <w:t xml:space="preserve">not to </w:t>
      </w:r>
      <w:r w:rsidR="00DE6BF5">
        <w:t>contact</w:t>
      </w:r>
      <w:r w:rsidR="00A4325D">
        <w:t xml:space="preserve"> the police.</w:t>
      </w:r>
      <w:r w:rsidR="00335F87" w:rsidRPr="002E269C">
        <w:t xml:space="preserve"> Police may not know or understand that service pr</w:t>
      </w:r>
      <w:r w:rsidR="00FE4999">
        <w:t xml:space="preserve">oviders may prevent people with </w:t>
      </w:r>
      <w:r w:rsidR="00700B63">
        <w:t>disability</w:t>
      </w:r>
      <w:r w:rsidR="00335F87" w:rsidRPr="002E269C">
        <w:t xml:space="preserve"> from accessing the police. </w:t>
      </w:r>
      <w:r w:rsidR="00DF7548">
        <w:t>According to PWDA,</w:t>
      </w:r>
      <w:r w:rsidR="00335F87" w:rsidRPr="002E269C">
        <w:t xml:space="preserve"> </w:t>
      </w:r>
      <w:r w:rsidR="00DF7548">
        <w:t>p</w:t>
      </w:r>
      <w:r w:rsidR="00335F87" w:rsidRPr="002E269C">
        <w:t>olice need to explore ways to overcome this barrier</w:t>
      </w:r>
      <w:r w:rsidR="00335F87" w:rsidRPr="002E269C">
        <w:rPr>
          <w:color w:val="C0504D" w:themeColor="accent2"/>
        </w:rPr>
        <w:t>.</w:t>
      </w:r>
    </w:p>
    <w:p w14:paraId="37B3CB18" w14:textId="2D818FA6" w:rsidR="00335F87" w:rsidRPr="002E269C" w:rsidRDefault="00B50A9E" w:rsidP="00396190">
      <w:r>
        <w:t>Communic</w:t>
      </w:r>
      <w:r w:rsidR="00F3032D">
        <w:t xml:space="preserve">ation Rights Australia </w:t>
      </w:r>
      <w:r>
        <w:t>reported that c</w:t>
      </w:r>
      <w:r w:rsidR="00F3032D">
        <w:t>ases are always put in the ‘too hard basket’</w:t>
      </w:r>
      <w:r w:rsidR="00335F87" w:rsidRPr="002E269C">
        <w:t>.</w:t>
      </w:r>
      <w:r>
        <w:t xml:space="preserve">  </w:t>
      </w:r>
      <w:r w:rsidR="00F3032D">
        <w:t>Barriers occur at all levels</w:t>
      </w:r>
      <w:r w:rsidR="00335F87" w:rsidRPr="002E269C">
        <w:t xml:space="preserve"> </w:t>
      </w:r>
      <w:r w:rsidR="00E61AD5">
        <w:t>including</w:t>
      </w:r>
      <w:r w:rsidR="00F3032D">
        <w:t>:</w:t>
      </w:r>
      <w:r w:rsidR="00E61AD5" w:rsidRPr="002E269C">
        <w:t xml:space="preserve"> </w:t>
      </w:r>
      <w:r w:rsidR="00335F87" w:rsidRPr="002E269C">
        <w:t>service providers</w:t>
      </w:r>
      <w:r w:rsidR="00F3032D">
        <w:t>;</w:t>
      </w:r>
      <w:r w:rsidR="00335F87" w:rsidRPr="002E269C">
        <w:t xml:space="preserve"> reporting the incident</w:t>
      </w:r>
      <w:r w:rsidR="00F3032D">
        <w:t>;</w:t>
      </w:r>
      <w:r w:rsidR="00335F87" w:rsidRPr="002E269C">
        <w:t xml:space="preserve"> police involvement </w:t>
      </w:r>
      <w:r>
        <w:t>and</w:t>
      </w:r>
      <w:r w:rsidR="00335F87" w:rsidRPr="002E269C">
        <w:t xml:space="preserve"> interview</w:t>
      </w:r>
      <w:r w:rsidR="00F3032D">
        <w:t>ing;</w:t>
      </w:r>
      <w:r>
        <w:t xml:space="preserve"> and interaction with</w:t>
      </w:r>
      <w:r w:rsidR="00335F87" w:rsidRPr="002E269C">
        <w:t xml:space="preserve"> legal representative</w:t>
      </w:r>
      <w:r>
        <w:t>s</w:t>
      </w:r>
      <w:r w:rsidR="00335F87" w:rsidRPr="002E269C">
        <w:t>.</w:t>
      </w:r>
    </w:p>
    <w:p w14:paraId="4EA3D189" w14:textId="77777777" w:rsidR="00335F87" w:rsidRPr="002E269C" w:rsidRDefault="00335F87" w:rsidP="0065659F">
      <w:pPr>
        <w:pStyle w:val="Heading3"/>
      </w:pPr>
      <w:bookmarkStart w:id="55" w:name="_Toc514751845"/>
      <w:r w:rsidRPr="002E269C">
        <w:t>Communication, access and attitudinal barriers in dealing with</w:t>
      </w:r>
      <w:r w:rsidR="00965880">
        <w:t xml:space="preserve"> p</w:t>
      </w:r>
      <w:r w:rsidRPr="002E269C">
        <w:t>olice</w:t>
      </w:r>
      <w:bookmarkEnd w:id="55"/>
    </w:p>
    <w:p w14:paraId="09FE03B1" w14:textId="77777777" w:rsidR="00335F87" w:rsidRPr="00DF7548" w:rsidRDefault="00335F87" w:rsidP="00396190">
      <w:r w:rsidRPr="00DF7548">
        <w:t xml:space="preserve">If people with </w:t>
      </w:r>
      <w:r w:rsidR="00700B63">
        <w:t>disability</w:t>
      </w:r>
      <w:r w:rsidRPr="00DF7548">
        <w:t xml:space="preserve"> do manage to report their incident to the police, in </w:t>
      </w:r>
      <w:r w:rsidR="00A4325D">
        <w:t xml:space="preserve">many </w:t>
      </w:r>
      <w:r w:rsidRPr="00DF7548">
        <w:t>cases, they then face questions about the validity of their reporting of the incident and doubts about the way they communicate.</w:t>
      </w:r>
    </w:p>
    <w:p w14:paraId="693FABB0" w14:textId="2FD9C80D" w:rsidR="00A4325D" w:rsidRDefault="008706F2" w:rsidP="00396190">
      <w:r>
        <w:t>According to PWDA, p</w:t>
      </w:r>
      <w:r w:rsidR="00335F87" w:rsidRPr="00EA4AF7">
        <w:t>olice can be intimidating</w:t>
      </w:r>
      <w:r>
        <w:t xml:space="preserve"> and</w:t>
      </w:r>
      <w:r w:rsidR="00335F87" w:rsidRPr="00EA4AF7">
        <w:t xml:space="preserve"> </w:t>
      </w:r>
      <w:r>
        <w:t>p</w:t>
      </w:r>
      <w:r w:rsidR="00335F87" w:rsidRPr="00EA4AF7">
        <w:t xml:space="preserve">eople with </w:t>
      </w:r>
      <w:r w:rsidR="00700B63">
        <w:t>disability</w:t>
      </w:r>
      <w:r w:rsidR="00335F87" w:rsidRPr="00EA4AF7">
        <w:t xml:space="preserve"> </w:t>
      </w:r>
      <w:r>
        <w:t xml:space="preserve">may be </w:t>
      </w:r>
      <w:r w:rsidR="00335F87" w:rsidRPr="00EA4AF7">
        <w:t xml:space="preserve">scared </w:t>
      </w:r>
      <w:r w:rsidR="00A4325D">
        <w:t>to go</w:t>
      </w:r>
      <w:r w:rsidR="00335F87" w:rsidRPr="00EA4AF7">
        <w:t xml:space="preserve"> to the police</w:t>
      </w:r>
      <w:r>
        <w:t xml:space="preserve">. </w:t>
      </w:r>
      <w:r w:rsidR="005D611C">
        <w:t>PWDA</w:t>
      </w:r>
      <w:r>
        <w:t xml:space="preserve"> also noted that p</w:t>
      </w:r>
      <w:r w:rsidR="00335F87" w:rsidRPr="00EA4AF7">
        <w:t xml:space="preserve">eople with </w:t>
      </w:r>
      <w:r w:rsidR="00700B63">
        <w:t>disability</w:t>
      </w:r>
      <w:r w:rsidR="00335F87" w:rsidRPr="00EA4AF7">
        <w:t xml:space="preserve"> are often not able to access police stations.</w:t>
      </w:r>
      <w:r w:rsidR="00DF7548">
        <w:t xml:space="preserve"> </w:t>
      </w:r>
      <w:r>
        <w:t>Communication Rights Australia reported that o</w:t>
      </w:r>
      <w:r w:rsidR="005D611C">
        <w:t>ften cases are rejected at the ‘reporting stage’</w:t>
      </w:r>
      <w:r w:rsidR="00335F87" w:rsidRPr="00EA4AF7">
        <w:t xml:space="preserve"> because “</w:t>
      </w:r>
      <w:r w:rsidR="005D611C">
        <w:t>’</w:t>
      </w:r>
      <w:r w:rsidR="00335F87" w:rsidRPr="00EA4AF7">
        <w:t>the person cannot commun</w:t>
      </w:r>
      <w:r w:rsidR="005D611C">
        <w:t>icate properly or independently’</w:t>
      </w:r>
      <w:r w:rsidR="00335F87" w:rsidRPr="00EA4AF7">
        <w:t>.</w:t>
      </w:r>
      <w:r w:rsidR="00A4325D">
        <w:t xml:space="preserve"> </w:t>
      </w:r>
      <w:r w:rsidR="00335F87" w:rsidRPr="008706F2">
        <w:t xml:space="preserve">Cases are generally prevented from continuing from this stage because </w:t>
      </w:r>
      <w:r>
        <w:t>p</w:t>
      </w:r>
      <w:r w:rsidR="00335F87" w:rsidRPr="008706F2">
        <w:t>olice want to interview the person on their own but cannot understand the person’s communication.</w:t>
      </w:r>
      <w:r w:rsidR="00335F87" w:rsidRPr="00DF7548">
        <w:t xml:space="preserve">  </w:t>
      </w:r>
      <w:r w:rsidR="00335F87" w:rsidRPr="00EA4AF7">
        <w:t xml:space="preserve">Advocates are usually called in to assist at this stage but </w:t>
      </w:r>
      <w:r w:rsidR="004F4249">
        <w:t xml:space="preserve">their status is </w:t>
      </w:r>
      <w:r w:rsidR="005D611C">
        <w:t>not seen as ‘professional’</w:t>
      </w:r>
      <w:r w:rsidR="00584723">
        <w:t xml:space="preserve"> as compa</w:t>
      </w:r>
      <w:r w:rsidR="00DF4CE8">
        <w:t xml:space="preserve">red to </w:t>
      </w:r>
      <w:r w:rsidR="00DF7548">
        <w:t>l</w:t>
      </w:r>
      <w:r w:rsidR="00DF4CE8">
        <w:t>awyers.</w:t>
      </w:r>
      <w:r w:rsidR="00144FE2">
        <w:t xml:space="preserve"> </w:t>
      </w:r>
    </w:p>
    <w:p w14:paraId="04C91436" w14:textId="7A671C2D" w:rsidR="00AB7BF0" w:rsidRDefault="00A4325D" w:rsidP="00396190">
      <w:r>
        <w:t>T</w:t>
      </w:r>
      <w:r w:rsidR="004F4249">
        <w:t xml:space="preserve">he </w:t>
      </w:r>
      <w:r w:rsidR="00CA4DF3">
        <w:t>Independent Third Part</w:t>
      </w:r>
      <w:r w:rsidR="00E40E34">
        <w:t>y</w:t>
      </w:r>
      <w:r w:rsidR="00CA4DF3">
        <w:t xml:space="preserve"> Scheme</w:t>
      </w:r>
      <w:r w:rsidR="00DF7548">
        <w:t xml:space="preserve"> was referred to during the consultations. This</w:t>
      </w:r>
      <w:r w:rsidR="00CA4DF3">
        <w:t xml:space="preserve"> is a volunteer program developed by </w:t>
      </w:r>
      <w:r w:rsidR="00E40E34">
        <w:t xml:space="preserve">the </w:t>
      </w:r>
      <w:r>
        <w:t xml:space="preserve">Victorian </w:t>
      </w:r>
      <w:r w:rsidR="00E40E34">
        <w:t xml:space="preserve">Office of the Public Advocate.  </w:t>
      </w:r>
      <w:r w:rsidR="00144FE2">
        <w:t>V</w:t>
      </w:r>
      <w:r w:rsidR="00E40E34">
        <w:t xml:space="preserve">olunteers are trained to attend police interviews for people with </w:t>
      </w:r>
      <w:r w:rsidR="00700B63">
        <w:t>disability</w:t>
      </w:r>
      <w:r w:rsidR="00E40E34">
        <w:t xml:space="preserve"> to en</w:t>
      </w:r>
      <w:r w:rsidR="00AB7BF0">
        <w:t>sure they are not disadvantaged during the interview process.  Their role includes, among other duties, facilitating communication between the person and the police</w:t>
      </w:r>
      <w:r w:rsidR="005D611C">
        <w:t>,</w:t>
      </w:r>
      <w:r w:rsidR="00AB7BF0">
        <w:t xml:space="preserve"> </w:t>
      </w:r>
      <w:r>
        <w:t>and ensuring that the person understands</w:t>
      </w:r>
      <w:r w:rsidR="00AB7BF0">
        <w:t xml:space="preserve"> all aspects of the interview process to the best of their ability.</w:t>
      </w:r>
      <w:r w:rsidR="00DF7548">
        <w:t xml:space="preserve"> </w:t>
      </w:r>
      <w:r>
        <w:t>The organisations consulted</w:t>
      </w:r>
      <w:r w:rsidR="00DF7548">
        <w:t xml:space="preserve"> expressed concern that </w:t>
      </w:r>
      <w:r w:rsidR="00AB7BF0">
        <w:t>the</w:t>
      </w:r>
      <w:r w:rsidR="00144FE2">
        <w:t>se advocates are viewed as volunteers rather than professionals.</w:t>
      </w:r>
    </w:p>
    <w:p w14:paraId="26C43BA8" w14:textId="7709C598" w:rsidR="0083527C" w:rsidRDefault="0083527C" w:rsidP="00396190">
      <w:pPr>
        <w:rPr>
          <w:vertAlign w:val="superscript"/>
        </w:rPr>
      </w:pPr>
      <w:r>
        <w:t xml:space="preserve">Communication Rights Australia noted that </w:t>
      </w:r>
      <w:r w:rsidR="00335F87" w:rsidRPr="00EA4AF7">
        <w:t xml:space="preserve">abuse </w:t>
      </w:r>
      <w:r w:rsidR="00A822FA">
        <w:t xml:space="preserve">usually </w:t>
      </w:r>
      <w:r w:rsidR="00335F87" w:rsidRPr="00EA4AF7">
        <w:t>occurs in accommodation facilit</w:t>
      </w:r>
      <w:r w:rsidR="00A822FA">
        <w:t>ies</w:t>
      </w:r>
      <w:r w:rsidR="00A4325D">
        <w:t xml:space="preserve">. </w:t>
      </w:r>
      <w:r w:rsidR="005D611C">
        <w:t>It</w:t>
      </w:r>
      <w:r w:rsidR="004E772B">
        <w:t xml:space="preserve"> identified concerns </w:t>
      </w:r>
      <w:r w:rsidR="00A4325D">
        <w:t>that m</w:t>
      </w:r>
      <w:r w:rsidR="00335F87" w:rsidRPr="00EA4AF7">
        <w:t xml:space="preserve">anagement </w:t>
      </w:r>
      <w:r w:rsidR="00A4325D">
        <w:t>is</w:t>
      </w:r>
      <w:r>
        <w:t xml:space="preserve"> </w:t>
      </w:r>
      <w:r w:rsidR="00335F87" w:rsidRPr="00EA4AF7">
        <w:t xml:space="preserve">not </w:t>
      </w:r>
      <w:r w:rsidR="00A4325D">
        <w:t xml:space="preserve">always </w:t>
      </w:r>
      <w:r w:rsidR="00335F87" w:rsidRPr="00EA4AF7">
        <w:t>accept</w:t>
      </w:r>
      <w:r w:rsidR="00A4325D">
        <w:t>ing</w:t>
      </w:r>
      <w:r w:rsidR="00335F87" w:rsidRPr="00EA4AF7">
        <w:t xml:space="preserve"> the perso</w:t>
      </w:r>
      <w:r w:rsidR="00A822FA">
        <w:t>n</w:t>
      </w:r>
      <w:r w:rsidR="00335F87" w:rsidRPr="00EA4AF7">
        <w:t>’s evidence due to communication difficulties</w:t>
      </w:r>
      <w:r w:rsidR="005D611C">
        <w:t>,</w:t>
      </w:r>
      <w:r w:rsidR="00335F87" w:rsidRPr="00EA4AF7">
        <w:t xml:space="preserve"> and </w:t>
      </w:r>
      <w:r w:rsidR="00A4325D">
        <w:t>that management may also sometimes fail to</w:t>
      </w:r>
      <w:r w:rsidR="00335F87" w:rsidRPr="00EA4AF7">
        <w:t xml:space="preserve"> </w:t>
      </w:r>
      <w:r w:rsidR="00A4325D">
        <w:t>recognise</w:t>
      </w:r>
      <w:r w:rsidR="00335F87" w:rsidRPr="00EA4AF7">
        <w:t xml:space="preserve"> the person’s right to advocacy assistance.</w:t>
      </w:r>
      <w:r>
        <w:t xml:space="preserve"> T</w:t>
      </w:r>
      <w:r w:rsidRPr="00EA4AF7">
        <w:rPr>
          <w:rFonts w:eastAsia="Times New Roman"/>
        </w:rPr>
        <w:t>here is</w:t>
      </w:r>
      <w:r>
        <w:rPr>
          <w:rFonts w:eastAsia="Times New Roman"/>
        </w:rPr>
        <w:t xml:space="preserve"> also</w:t>
      </w:r>
      <w:r w:rsidRPr="00EA4AF7">
        <w:rPr>
          <w:rFonts w:eastAsia="Times New Roman"/>
        </w:rPr>
        <w:t xml:space="preserve"> a</w:t>
      </w:r>
      <w:r w:rsidR="00A4325D">
        <w:rPr>
          <w:rFonts w:eastAsia="Times New Roman"/>
        </w:rPr>
        <w:t xml:space="preserve"> concern about the</w:t>
      </w:r>
      <w:r w:rsidRPr="00EA4AF7">
        <w:rPr>
          <w:rFonts w:eastAsia="Times New Roman"/>
        </w:rPr>
        <w:t xml:space="preserve"> lack of resources to assist and support people with </w:t>
      </w:r>
      <w:r w:rsidR="00700B63">
        <w:rPr>
          <w:rFonts w:eastAsia="Times New Roman"/>
        </w:rPr>
        <w:t>disability</w:t>
      </w:r>
      <w:r w:rsidRPr="00EA4AF7">
        <w:rPr>
          <w:rFonts w:eastAsia="Times New Roman"/>
        </w:rPr>
        <w:t xml:space="preserve"> with their communication support needs.</w:t>
      </w:r>
      <w:r w:rsidR="00A822FA">
        <w:rPr>
          <w:rFonts w:eastAsia="Times New Roman"/>
        </w:rPr>
        <w:t xml:space="preserve"> </w:t>
      </w:r>
      <w:r w:rsidR="00A822FA">
        <w:t xml:space="preserve">Disability Justice Advocacy </w:t>
      </w:r>
      <w:r w:rsidR="00A4325D">
        <w:t>provided a</w:t>
      </w:r>
      <w:r w:rsidR="00A822FA">
        <w:t>n</w:t>
      </w:r>
      <w:r w:rsidR="00800F4C">
        <w:t xml:space="preserve"> example </w:t>
      </w:r>
      <w:r w:rsidR="00A822FA">
        <w:t xml:space="preserve">to </w:t>
      </w:r>
      <w:r w:rsidR="00800F4C">
        <w:t xml:space="preserve">illustrate what may happen </w:t>
      </w:r>
      <w:r w:rsidR="00FE4999">
        <w:t xml:space="preserve">when a person with </w:t>
      </w:r>
      <w:r w:rsidR="00800F4C">
        <w:t>disability has n</w:t>
      </w:r>
      <w:r w:rsidR="00A4325D">
        <w:t>o independent support</w:t>
      </w:r>
      <w:r w:rsidR="00800F4C">
        <w:t xml:space="preserve"> to </w:t>
      </w:r>
      <w:r w:rsidR="00C4453B">
        <w:t xml:space="preserve">communicate </w:t>
      </w:r>
      <w:r w:rsidR="005D611C">
        <w:t>their</w:t>
      </w:r>
      <w:r w:rsidR="00C4453B">
        <w:t xml:space="preserve"> complaint</w:t>
      </w:r>
      <w:r w:rsidR="00A822FA">
        <w:t xml:space="preserve"> and the inability of police, </w:t>
      </w:r>
      <w:r w:rsidR="00A822FA" w:rsidRPr="00EA4AF7">
        <w:t xml:space="preserve">through an apparent lack of training, </w:t>
      </w:r>
      <w:r w:rsidR="00A822FA" w:rsidRPr="0083527C">
        <w:t xml:space="preserve">to interview </w:t>
      </w:r>
      <w:r w:rsidR="005D611C">
        <w:t>a person</w:t>
      </w:r>
      <w:r w:rsidR="00A822FA" w:rsidRPr="0083527C">
        <w:t xml:space="preserve"> who cannot talk, read or write.</w:t>
      </w:r>
    </w:p>
    <w:p w14:paraId="6C7BF79F" w14:textId="1F58C00A" w:rsidR="00335F87" w:rsidRPr="00DF7548" w:rsidRDefault="00335F87" w:rsidP="00161356">
      <w:pPr>
        <w:pStyle w:val="BlockText"/>
      </w:pPr>
      <w:r w:rsidRPr="00DF7548">
        <w:t>X was a resident in a community residential unit. X had limited communication and needed time to be understood.  X was being abused by a staff member</w:t>
      </w:r>
      <w:r w:rsidR="005D611C">
        <w:t>,</w:t>
      </w:r>
      <w:r w:rsidRPr="00DF7548">
        <w:t xml:space="preserve"> but could not express this.  Every t</w:t>
      </w:r>
      <w:r w:rsidR="005D611C">
        <w:t>ime the staff member went near him,</w:t>
      </w:r>
      <w:r w:rsidRPr="00DF7548">
        <w:t xml:space="preserve"> </w:t>
      </w:r>
      <w:r w:rsidR="005D611C">
        <w:t>X</w:t>
      </w:r>
      <w:r w:rsidRPr="00DF7548">
        <w:t xml:space="preserve"> w</w:t>
      </w:r>
      <w:r w:rsidR="00161356">
        <w:t xml:space="preserve">ould scream and push </w:t>
      </w:r>
      <w:r w:rsidR="005D611C">
        <w:t>the staff member</w:t>
      </w:r>
      <w:r w:rsidR="00161356">
        <w:t xml:space="preserve"> away.</w:t>
      </w:r>
    </w:p>
    <w:p w14:paraId="6AD76CF2" w14:textId="7FA88CB0" w:rsidR="00335F87" w:rsidRPr="00EA4AF7" w:rsidRDefault="005D611C" w:rsidP="00161356">
      <w:pPr>
        <w:pStyle w:val="BlockText"/>
      </w:pPr>
      <w:r>
        <w:t>X’s</w:t>
      </w:r>
      <w:r w:rsidR="00335F87" w:rsidRPr="00DF7548">
        <w:t xml:space="preserve"> ability to give evidence was deemed to be unreliable.</w:t>
      </w:r>
      <w:r w:rsidR="0083527C">
        <w:t xml:space="preserve"> </w:t>
      </w:r>
      <w:r w:rsidR="00335F87" w:rsidRPr="00EA4AF7">
        <w:t xml:space="preserve"> </w:t>
      </w:r>
    </w:p>
    <w:p w14:paraId="4A0C3D64" w14:textId="17F5681A" w:rsidR="00335F87" w:rsidRPr="008706F2" w:rsidRDefault="0024690F" w:rsidP="00396190">
      <w:r>
        <w:lastRenderedPageBreak/>
        <w:t>Victoria Legal Aid</w:t>
      </w:r>
      <w:r w:rsidR="00A4325D">
        <w:t xml:space="preserve"> also</w:t>
      </w:r>
      <w:r>
        <w:t xml:space="preserve"> identified </w:t>
      </w:r>
      <w:r w:rsidR="00335F87" w:rsidRPr="00557DA9">
        <w:t>physical access to a police station</w:t>
      </w:r>
      <w:r>
        <w:t xml:space="preserve"> to report incidents</w:t>
      </w:r>
      <w:r w:rsidR="00335F87" w:rsidRPr="00557DA9">
        <w:t xml:space="preserve">, itself, </w:t>
      </w:r>
      <w:r>
        <w:t>as</w:t>
      </w:r>
      <w:r w:rsidRPr="00557DA9">
        <w:t> </w:t>
      </w:r>
      <w:r w:rsidR="00335F87" w:rsidRPr="00557DA9">
        <w:t>a</w:t>
      </w:r>
      <w:r>
        <w:t xml:space="preserve"> potential</w:t>
      </w:r>
      <w:r w:rsidR="00335F87" w:rsidRPr="00557DA9">
        <w:t xml:space="preserve"> barrier to people with </w:t>
      </w:r>
      <w:r w:rsidR="00700B63">
        <w:t>disability</w:t>
      </w:r>
      <w:r w:rsidR="00335F87" w:rsidRPr="00557DA9">
        <w:t xml:space="preserve"> accessing justice.</w:t>
      </w:r>
      <w:r w:rsidR="00335F87" w:rsidRPr="00557DA9">
        <w:rPr>
          <w:color w:val="C0504D" w:themeColor="accent2"/>
        </w:rPr>
        <w:t xml:space="preserve"> </w:t>
      </w:r>
    </w:p>
    <w:p w14:paraId="529C0C21" w14:textId="14072A89" w:rsidR="00335F87" w:rsidRPr="00965880" w:rsidRDefault="009E04D4" w:rsidP="00396190">
      <w:r>
        <w:t xml:space="preserve">The Anne McDonald Centre noted </w:t>
      </w:r>
      <w:r w:rsidR="00335F87" w:rsidRPr="00557DA9">
        <w:t xml:space="preserve">some reports where the police were very helpful and </w:t>
      </w:r>
      <w:r w:rsidR="005D611C">
        <w:t>knowledgeable about disability. The police</w:t>
      </w:r>
      <w:r w:rsidR="00335F87" w:rsidRPr="00557DA9">
        <w:t xml:space="preserve"> showed understanding and patience towards </w:t>
      </w:r>
      <w:r w:rsidRPr="009E04D4">
        <w:t>communication</w:t>
      </w:r>
      <w:r w:rsidR="00335F87" w:rsidRPr="00557DA9">
        <w:t xml:space="preserve"> methods of people with </w:t>
      </w:r>
      <w:r w:rsidR="00700B63">
        <w:t>disability</w:t>
      </w:r>
      <w:r w:rsidR="00335F87" w:rsidRPr="00557DA9">
        <w:t xml:space="preserve">.  </w:t>
      </w:r>
      <w:r>
        <w:t xml:space="preserve">The Centre reported that its </w:t>
      </w:r>
      <w:r w:rsidR="00335F87" w:rsidRPr="00EA4AF7">
        <w:t>staff find the police very good</w:t>
      </w:r>
      <w:r>
        <w:t>, that</w:t>
      </w:r>
      <w:r w:rsidR="00335F87" w:rsidRPr="00EA4AF7">
        <w:t xml:space="preserve"> </w:t>
      </w:r>
      <w:r>
        <w:t>t</w:t>
      </w:r>
      <w:r w:rsidR="00335F87" w:rsidRPr="00EA4AF7">
        <w:t>hey have obv</w:t>
      </w:r>
      <w:r>
        <w:t>i</w:t>
      </w:r>
      <w:r w:rsidR="00335F87" w:rsidRPr="00EA4AF7">
        <w:t>ously completed a lot of training</w:t>
      </w:r>
      <w:r>
        <w:t>, and</w:t>
      </w:r>
      <w:r w:rsidR="00335F87" w:rsidRPr="00EA4AF7">
        <w:t xml:space="preserve"> </w:t>
      </w:r>
      <w:r>
        <w:t>t</w:t>
      </w:r>
      <w:r w:rsidR="00335F87" w:rsidRPr="00EA4AF7">
        <w:t>hey are sympathet</w:t>
      </w:r>
      <w:r w:rsidR="00FE4999">
        <w:t xml:space="preserve">ic and patient with people with </w:t>
      </w:r>
      <w:r w:rsidR="00700B63">
        <w:t>disability</w:t>
      </w:r>
      <w:r w:rsidR="00117F51">
        <w:t>’</w:t>
      </w:r>
      <w:r w:rsidR="00A4325D">
        <w:t>s</w:t>
      </w:r>
      <w:r w:rsidR="00117F51">
        <w:t xml:space="preserve"> different modes of</w:t>
      </w:r>
      <w:r w:rsidR="00335F87" w:rsidRPr="00EA4AF7">
        <w:t xml:space="preserve"> communication</w:t>
      </w:r>
      <w:r w:rsidR="00117F51">
        <w:t>.</w:t>
      </w:r>
      <w:r w:rsidR="00557DA9">
        <w:t xml:space="preserve"> </w:t>
      </w:r>
      <w:r w:rsidR="00161356">
        <w:t>A representative of the Centre</w:t>
      </w:r>
      <w:r w:rsidR="00557DA9">
        <w:t xml:space="preserve"> gave the following example:</w:t>
      </w:r>
    </w:p>
    <w:p w14:paraId="1B5D33B9" w14:textId="58E5A2E5" w:rsidR="00335F87" w:rsidRPr="00161356" w:rsidRDefault="00335F87" w:rsidP="00161356">
      <w:pPr>
        <w:pStyle w:val="BlockText"/>
      </w:pPr>
      <w:r w:rsidRPr="00161356">
        <w:t>X uses a pointing board and electronic board. He complained of abuse. The police were receptive to his communication method and took dow</w:t>
      </w:r>
      <w:r w:rsidR="00117F51" w:rsidRPr="00161356">
        <w:t>n</w:t>
      </w:r>
      <w:r w:rsidRPr="00161356">
        <w:t xml:space="preserve"> the details</w:t>
      </w:r>
      <w:r w:rsidR="00117F51" w:rsidRPr="00161356">
        <w:t>,</w:t>
      </w:r>
      <w:r w:rsidRPr="00161356">
        <w:t xml:space="preserve"> and the case went to the Magistrates </w:t>
      </w:r>
      <w:r w:rsidR="00117F51" w:rsidRPr="00161356">
        <w:t>C</w:t>
      </w:r>
      <w:r w:rsidRPr="00161356">
        <w:t>ourt</w:t>
      </w:r>
      <w:r w:rsidR="00117F51" w:rsidRPr="00161356">
        <w:t>.</w:t>
      </w:r>
    </w:p>
    <w:p w14:paraId="52EB78A4" w14:textId="38A40F6C" w:rsidR="00117F51" w:rsidRPr="00161356" w:rsidRDefault="00117F51" w:rsidP="00161356">
      <w:pPr>
        <w:pStyle w:val="BlockText"/>
      </w:pPr>
      <w:r w:rsidRPr="00161356">
        <w:t xml:space="preserve">However, there was a problem with X’s </w:t>
      </w:r>
      <w:r w:rsidR="00335F87" w:rsidRPr="00161356">
        <w:t>lawyers</w:t>
      </w:r>
      <w:r w:rsidR="00A4325D" w:rsidRPr="00161356">
        <w:t xml:space="preserve">. </w:t>
      </w:r>
      <w:r w:rsidR="003422B7" w:rsidRPr="00161356">
        <w:t>They were not receptive to how X communicated and insisted X spell out every word instead of allowing the speech therapist to complete X’</w:t>
      </w:r>
      <w:r w:rsidR="00011E87" w:rsidRPr="00161356">
        <w:t>s sentences when it was o</w:t>
      </w:r>
      <w:r w:rsidR="003422B7" w:rsidRPr="00161356">
        <w:t xml:space="preserve">bvious what </w:t>
      </w:r>
      <w:r w:rsidR="005D611C">
        <w:t>X</w:t>
      </w:r>
      <w:r w:rsidR="003422B7" w:rsidRPr="00161356">
        <w:t xml:space="preserve"> was saying.</w:t>
      </w:r>
      <w:r w:rsidR="009F7701" w:rsidRPr="00161356">
        <w:t xml:space="preserve"> </w:t>
      </w:r>
    </w:p>
    <w:p w14:paraId="7EBEBE2A" w14:textId="0B6D66BE" w:rsidR="00335F87" w:rsidRPr="00161356" w:rsidRDefault="00117F51" w:rsidP="00161356">
      <w:pPr>
        <w:pStyle w:val="BlockText"/>
      </w:pPr>
      <w:r w:rsidRPr="00161356">
        <w:t xml:space="preserve">X’s </w:t>
      </w:r>
      <w:r w:rsidR="005D611C">
        <w:t>case</w:t>
      </w:r>
      <w:r w:rsidRPr="00161356">
        <w:t xml:space="preserve"> was</w:t>
      </w:r>
      <w:r w:rsidR="00335F87" w:rsidRPr="00161356">
        <w:t xml:space="preserve"> referred to the County </w:t>
      </w:r>
      <w:r w:rsidRPr="00161356">
        <w:t>C</w:t>
      </w:r>
      <w:r w:rsidR="00A4325D" w:rsidRPr="00161356">
        <w:t>ourt.</w:t>
      </w:r>
      <w:r w:rsidR="00335F87" w:rsidRPr="00161356">
        <w:t xml:space="preserve"> Both the judge and jury were good. </w:t>
      </w:r>
      <w:r w:rsidRPr="00161356">
        <w:t>A s</w:t>
      </w:r>
      <w:r w:rsidR="00335F87" w:rsidRPr="00161356">
        <w:t xml:space="preserve">peech </w:t>
      </w:r>
      <w:r w:rsidRPr="00161356">
        <w:t>p</w:t>
      </w:r>
      <w:r w:rsidR="00A4325D" w:rsidRPr="00161356">
        <w:t>athologist assisted X.</w:t>
      </w:r>
      <w:r w:rsidR="00335F87" w:rsidRPr="00161356">
        <w:t xml:space="preserve"> However, the lawyer made X spell out the whole oath</w:t>
      </w:r>
      <w:r w:rsidR="00A4325D" w:rsidRPr="00161356">
        <w:t>,</w:t>
      </w:r>
      <w:r w:rsidR="00335F87" w:rsidRPr="00161356">
        <w:t xml:space="preserve"> which was an appalling waste of time.</w:t>
      </w:r>
    </w:p>
    <w:p w14:paraId="632CD191" w14:textId="5F250C8E" w:rsidR="00557DA9" w:rsidRPr="00161356" w:rsidRDefault="00335F87" w:rsidP="00161356">
      <w:pPr>
        <w:pStyle w:val="BlockText"/>
      </w:pPr>
      <w:r w:rsidRPr="00161356">
        <w:t>X used a word board</w:t>
      </w:r>
      <w:r w:rsidR="00A4325D" w:rsidRPr="00161356">
        <w:t xml:space="preserve">, which </w:t>
      </w:r>
      <w:r w:rsidR="005D611C">
        <w:t xml:space="preserve">was agreed to by </w:t>
      </w:r>
      <w:r w:rsidR="00A4325D" w:rsidRPr="00161356">
        <w:t xml:space="preserve">everyone. </w:t>
      </w:r>
      <w:r w:rsidRPr="00161356">
        <w:t xml:space="preserve">The trial was a fair </w:t>
      </w:r>
      <w:r w:rsidR="00A4325D" w:rsidRPr="00161356">
        <w:t xml:space="preserve">trial. </w:t>
      </w:r>
      <w:r w:rsidRPr="00161356">
        <w:t>However, it was X’s word against the perpetrator.  There was no further evidence so the perpetrator was found not guilty.</w:t>
      </w:r>
      <w:r w:rsidR="00117F51" w:rsidRPr="00161356">
        <w:t xml:space="preserve"> </w:t>
      </w:r>
      <w:r w:rsidRPr="00161356">
        <w:t>However, the system worked well for X</w:t>
      </w:r>
      <w:r w:rsidR="00557DA9" w:rsidRPr="00161356">
        <w:t xml:space="preserve">, </w:t>
      </w:r>
      <w:r w:rsidR="00011E87" w:rsidRPr="00161356">
        <w:t>as he</w:t>
      </w:r>
      <w:r w:rsidR="00763509" w:rsidRPr="00161356">
        <w:t xml:space="preserve"> could</w:t>
      </w:r>
      <w:r w:rsidR="00011E87" w:rsidRPr="00161356">
        <w:t xml:space="preserve"> </w:t>
      </w:r>
      <w:r w:rsidR="00763509" w:rsidRPr="00161356">
        <w:t>use his method of communication</w:t>
      </w:r>
      <w:r w:rsidR="005D611C">
        <w:t>,</w:t>
      </w:r>
      <w:r w:rsidR="00011E87" w:rsidRPr="00161356">
        <w:t xml:space="preserve"> both his alphabet pointing boards</w:t>
      </w:r>
      <w:r w:rsidR="005D611C">
        <w:t>,</w:t>
      </w:r>
      <w:r w:rsidR="00763509" w:rsidRPr="00161356">
        <w:t xml:space="preserve"> and had t</w:t>
      </w:r>
      <w:r w:rsidR="003D6676" w:rsidRPr="00161356">
        <w:t>he accommodation and support to access the justice system on an equal basis as the rest of society.</w:t>
      </w:r>
    </w:p>
    <w:p w14:paraId="55B886E7" w14:textId="1D7AA0FD" w:rsidR="00335F87" w:rsidRPr="002E269C" w:rsidRDefault="00161356" w:rsidP="0065659F">
      <w:pPr>
        <w:pStyle w:val="Heading3"/>
        <w:rPr>
          <w:rFonts w:eastAsia="Times New Roman"/>
          <w:sz w:val="22"/>
          <w:szCs w:val="28"/>
          <w:lang w:eastAsia="en-GB"/>
        </w:rPr>
      </w:pPr>
      <w:bookmarkStart w:id="56" w:name="_Toc514751846"/>
      <w:r>
        <w:t>Barriers f</w:t>
      </w:r>
      <w:r w:rsidR="008D5F70">
        <w:t>acing Aborigi</w:t>
      </w:r>
      <w:r>
        <w:t>nal and Torres Strait Islander people with d</w:t>
      </w:r>
      <w:r w:rsidR="008D5F70">
        <w:t>isability</w:t>
      </w:r>
      <w:bookmarkEnd w:id="56"/>
      <w:r w:rsidR="00335F87" w:rsidRPr="002E269C">
        <w:t xml:space="preserve"> </w:t>
      </w:r>
    </w:p>
    <w:p w14:paraId="0ACFEA6B" w14:textId="00D78E57" w:rsidR="003F134E" w:rsidRPr="008D5F70" w:rsidRDefault="00A805AC" w:rsidP="00396190">
      <w:pPr>
        <w:rPr>
          <w:rFonts w:cs="Arial"/>
        </w:rPr>
      </w:pPr>
      <w:r>
        <w:t>The consultations indicated that l</w:t>
      </w:r>
      <w:r w:rsidR="00335F87" w:rsidRPr="002E269C">
        <w:t xml:space="preserve">awyers and </w:t>
      </w:r>
      <w:r>
        <w:t>s</w:t>
      </w:r>
      <w:r w:rsidR="00335F87" w:rsidRPr="002E269C">
        <w:t xml:space="preserve">olicitors often do not have experience, knowledge or understanding of Aboriginal </w:t>
      </w:r>
      <w:r>
        <w:t xml:space="preserve">and Torres Strait Islander </w:t>
      </w:r>
      <w:r w:rsidR="008D5F70">
        <w:t xml:space="preserve">people </w:t>
      </w:r>
      <w:r w:rsidR="00335F87" w:rsidRPr="002E269C">
        <w:t xml:space="preserve">with </w:t>
      </w:r>
      <w:r w:rsidR="00700B63">
        <w:t>disability</w:t>
      </w:r>
      <w:r w:rsidR="004C51AE">
        <w:t xml:space="preserve">. </w:t>
      </w:r>
      <w:r w:rsidR="00335F87" w:rsidRPr="002E269C">
        <w:t xml:space="preserve">This lack of experience causes many problems when trying to engage with </w:t>
      </w:r>
      <w:r>
        <w:t>l</w:t>
      </w:r>
      <w:r w:rsidR="00335F87" w:rsidRPr="002E269C">
        <w:t xml:space="preserve">awyers and </w:t>
      </w:r>
      <w:r>
        <w:t>s</w:t>
      </w:r>
      <w:r w:rsidR="00335F87" w:rsidRPr="002E269C">
        <w:t>olicitors</w:t>
      </w:r>
      <w:r>
        <w:t>.</w:t>
      </w:r>
      <w:r w:rsidR="00522F1E">
        <w:t xml:space="preserve"> </w:t>
      </w:r>
      <w:r w:rsidR="003F134E">
        <w:rPr>
          <w:rFonts w:cs="Arial"/>
        </w:rPr>
        <w:t>FPDN said that l</w:t>
      </w:r>
      <w:r w:rsidR="003F134E" w:rsidRPr="002E269C">
        <w:rPr>
          <w:rFonts w:cs="Arial"/>
        </w:rPr>
        <w:t xml:space="preserve">awyers and </w:t>
      </w:r>
      <w:r w:rsidR="003F134E">
        <w:rPr>
          <w:rFonts w:cs="Arial"/>
        </w:rPr>
        <w:t>s</w:t>
      </w:r>
      <w:r w:rsidR="003F134E" w:rsidRPr="002E269C">
        <w:rPr>
          <w:rFonts w:cs="Arial"/>
        </w:rPr>
        <w:t xml:space="preserve">olicitors need to gain </w:t>
      </w:r>
      <w:r w:rsidR="003F134E">
        <w:rPr>
          <w:rFonts w:cs="Arial"/>
        </w:rPr>
        <w:t xml:space="preserve">greater cultural awareness when interacting with Aboriginal and Torres Strait Islander people with </w:t>
      </w:r>
      <w:r w:rsidR="00700B63">
        <w:rPr>
          <w:rFonts w:cs="Arial"/>
        </w:rPr>
        <w:t>disability</w:t>
      </w:r>
      <w:r w:rsidR="00594E5C">
        <w:rPr>
          <w:rFonts w:cs="Arial"/>
        </w:rPr>
        <w:t>;</w:t>
      </w:r>
      <w:r w:rsidR="003F134E">
        <w:rPr>
          <w:rFonts w:cs="Arial"/>
        </w:rPr>
        <w:t xml:space="preserve"> for example, </w:t>
      </w:r>
      <w:r w:rsidR="003F134E" w:rsidRPr="002E269C">
        <w:rPr>
          <w:rFonts w:cs="Arial"/>
        </w:rPr>
        <w:t xml:space="preserve">hearing impairment is not visible </w:t>
      </w:r>
      <w:r w:rsidR="003F134E">
        <w:rPr>
          <w:rFonts w:cs="Arial"/>
        </w:rPr>
        <w:t>and</w:t>
      </w:r>
      <w:r w:rsidR="003F134E" w:rsidRPr="002E269C">
        <w:rPr>
          <w:rFonts w:cs="Arial"/>
        </w:rPr>
        <w:t xml:space="preserve"> may be mistaken for misbehaviour</w:t>
      </w:r>
      <w:r w:rsidR="003F134E">
        <w:rPr>
          <w:rFonts w:cs="Arial"/>
        </w:rPr>
        <w:t>;</w:t>
      </w:r>
      <w:r w:rsidR="003F134E" w:rsidRPr="002E269C">
        <w:rPr>
          <w:rFonts w:cs="Arial"/>
        </w:rPr>
        <w:t xml:space="preserve"> the same may</w:t>
      </w:r>
      <w:r w:rsidR="003F134E">
        <w:rPr>
          <w:rFonts w:cs="Arial"/>
        </w:rPr>
        <w:t xml:space="preserve"> also</w:t>
      </w:r>
      <w:r w:rsidR="003F134E" w:rsidRPr="002E269C">
        <w:rPr>
          <w:rFonts w:cs="Arial"/>
        </w:rPr>
        <w:t xml:space="preserve"> happen with cognitive disability.</w:t>
      </w:r>
      <w:r w:rsidR="003F134E">
        <w:rPr>
          <w:rFonts w:cs="Arial"/>
        </w:rPr>
        <w:t xml:space="preserve"> This is particularly problematic because </w:t>
      </w:r>
      <w:r w:rsidR="008D5F70">
        <w:rPr>
          <w:rFonts w:cs="Arial"/>
        </w:rPr>
        <w:t xml:space="preserve">of the widely recognised overrepresentation of </w:t>
      </w:r>
      <w:r w:rsidR="008D5F70" w:rsidRPr="008D5F70">
        <w:rPr>
          <w:rFonts w:cs="Arial"/>
        </w:rPr>
        <w:t xml:space="preserve">Aboriginal and Torres Strait Islander People </w:t>
      </w:r>
      <w:r w:rsidR="003F134E" w:rsidRPr="002E269C">
        <w:rPr>
          <w:rFonts w:cs="Arial"/>
          <w:color w:val="000000" w:themeColor="text1"/>
        </w:rPr>
        <w:t>in the criminal justice system.</w:t>
      </w:r>
    </w:p>
    <w:p w14:paraId="4BDD8938" w14:textId="0224BB4E" w:rsidR="005D0C5D" w:rsidRDefault="004A2E78" w:rsidP="0065659F">
      <w:pPr>
        <w:pStyle w:val="Heading3"/>
      </w:pPr>
      <w:bookmarkStart w:id="57" w:name="_Toc514751847"/>
      <w:r>
        <w:t>La</w:t>
      </w:r>
      <w:r w:rsidR="003F134E">
        <w:t>c</w:t>
      </w:r>
      <w:r>
        <w:t xml:space="preserve">k of </w:t>
      </w:r>
      <w:r w:rsidR="00161356">
        <w:t>r</w:t>
      </w:r>
      <w:r>
        <w:t xml:space="preserve">ecognition of </w:t>
      </w:r>
      <w:r w:rsidR="00161356">
        <w:t>l</w:t>
      </w:r>
      <w:r>
        <w:t xml:space="preserve">egal </w:t>
      </w:r>
      <w:r w:rsidR="00161356">
        <w:t>c</w:t>
      </w:r>
      <w:r>
        <w:t>apacity</w:t>
      </w:r>
      <w:bookmarkEnd w:id="57"/>
    </w:p>
    <w:p w14:paraId="4C98767E" w14:textId="77777777" w:rsidR="00594E5C" w:rsidRDefault="003F134E" w:rsidP="00396190">
      <w:r>
        <w:t>P</w:t>
      </w:r>
      <w:r w:rsidR="00335F87" w:rsidRPr="002E269C">
        <w:t>eople with</w:t>
      </w:r>
      <w:r w:rsidR="00562197">
        <w:t xml:space="preserve"> </w:t>
      </w:r>
      <w:r w:rsidR="008D5F70">
        <w:t xml:space="preserve">intellectual and </w:t>
      </w:r>
      <w:r w:rsidR="00734C53">
        <w:t>mental health disability</w:t>
      </w:r>
      <w:r w:rsidR="00335F87" w:rsidRPr="002E269C">
        <w:t xml:space="preserve"> </w:t>
      </w:r>
      <w:r w:rsidR="008D5F70">
        <w:t>are often</w:t>
      </w:r>
      <w:r w:rsidR="00335F87" w:rsidRPr="002E269C">
        <w:t xml:space="preserve"> denied the </w:t>
      </w:r>
      <w:r w:rsidR="008D5F70">
        <w:t xml:space="preserve">legal </w:t>
      </w:r>
      <w:r w:rsidR="00335F87" w:rsidRPr="002E269C">
        <w:t>capacity to take legal action.</w:t>
      </w:r>
      <w:r w:rsidR="00E407BF">
        <w:t xml:space="preserve"> According to DPO</w:t>
      </w:r>
      <w:r w:rsidR="00594E5C">
        <w:t xml:space="preserve"> Australia:</w:t>
      </w:r>
    </w:p>
    <w:p w14:paraId="6F2912D7" w14:textId="100D7423" w:rsidR="00335F87" w:rsidRPr="002E269C" w:rsidRDefault="00594E5C" w:rsidP="00594E5C">
      <w:pPr>
        <w:pStyle w:val="Quote"/>
      </w:pPr>
      <w:r>
        <w:t xml:space="preserve">… </w:t>
      </w:r>
      <w:r w:rsidR="00335F87" w:rsidRPr="002E269C">
        <w:t xml:space="preserve">the whole area of mental health justice needs major reform or even </w:t>
      </w:r>
      <w:r w:rsidR="008D5F70">
        <w:t xml:space="preserve">to </w:t>
      </w:r>
      <w:r w:rsidR="00335F87" w:rsidRPr="002E269C">
        <w:t>be discarded. There is a need to change the law which denies that capacity.</w:t>
      </w:r>
    </w:p>
    <w:p w14:paraId="33FB34F0" w14:textId="77777777" w:rsidR="00335F87" w:rsidRPr="002E269C" w:rsidRDefault="00052F9A" w:rsidP="0065659F">
      <w:pPr>
        <w:pStyle w:val="Heading3"/>
      </w:pPr>
      <w:bookmarkStart w:id="58" w:name="_Toc514751848"/>
      <w:r>
        <w:lastRenderedPageBreak/>
        <w:t>Ina</w:t>
      </w:r>
      <w:r w:rsidR="00335F87" w:rsidRPr="002E269C">
        <w:t>ccessibility of courts</w:t>
      </w:r>
      <w:bookmarkEnd w:id="58"/>
    </w:p>
    <w:p w14:paraId="4C613FDC" w14:textId="40B8FE17" w:rsidR="00335F87" w:rsidRPr="002E269C" w:rsidRDefault="00335F87" w:rsidP="00396190">
      <w:r w:rsidRPr="002E269C">
        <w:rPr>
          <w:color w:val="000000" w:themeColor="text1"/>
        </w:rPr>
        <w:t>Often</w:t>
      </w:r>
      <w:r w:rsidR="00734C53">
        <w:rPr>
          <w:color w:val="000000" w:themeColor="text1"/>
        </w:rPr>
        <w:t xml:space="preserve"> </w:t>
      </w:r>
      <w:r w:rsidRPr="002E269C">
        <w:rPr>
          <w:color w:val="000000" w:themeColor="text1"/>
        </w:rPr>
        <w:t xml:space="preserve">people with </w:t>
      </w:r>
      <w:r w:rsidR="00700B63">
        <w:rPr>
          <w:color w:val="000000" w:themeColor="text1"/>
        </w:rPr>
        <w:t>disability</w:t>
      </w:r>
      <w:r w:rsidRPr="002E269C">
        <w:rPr>
          <w:color w:val="000000" w:themeColor="text1"/>
        </w:rPr>
        <w:t xml:space="preserve"> are faced with the issues of inaccessibility of the courts.</w:t>
      </w:r>
      <w:r w:rsidR="00833145">
        <w:t xml:space="preserve"> PWDA observed that p</w:t>
      </w:r>
      <w:r w:rsidR="00FE4999">
        <w:t xml:space="preserve">eople with </w:t>
      </w:r>
      <w:r w:rsidR="00700B63">
        <w:t>disability</w:t>
      </w:r>
      <w:r w:rsidRPr="002E269C">
        <w:t xml:space="preserve"> </w:t>
      </w:r>
      <w:r w:rsidR="008D5F70">
        <w:t>are required</w:t>
      </w:r>
      <w:r w:rsidRPr="002E269C">
        <w:t xml:space="preserve"> to contact court building</w:t>
      </w:r>
      <w:r w:rsidR="00833145">
        <w:t>s</w:t>
      </w:r>
      <w:r w:rsidRPr="002E269C">
        <w:t xml:space="preserve"> to </w:t>
      </w:r>
      <w:r w:rsidR="002417DF">
        <w:t>check</w:t>
      </w:r>
      <w:r w:rsidRPr="002E269C">
        <w:t xml:space="preserve"> </w:t>
      </w:r>
      <w:r w:rsidR="00833145">
        <w:t>they are</w:t>
      </w:r>
      <w:r w:rsidRPr="002E269C">
        <w:t xml:space="preserve"> wheelchair accessib</w:t>
      </w:r>
      <w:r w:rsidR="008D5F70">
        <w:t xml:space="preserve">le before their case is heard. </w:t>
      </w:r>
      <w:r w:rsidR="002417DF">
        <w:t>PWDA</w:t>
      </w:r>
      <w:r w:rsidR="00833145">
        <w:t xml:space="preserve"> argued that c</w:t>
      </w:r>
      <w:r w:rsidRPr="002E269C">
        <w:t>ourt buildings should b</w:t>
      </w:r>
      <w:r w:rsidR="002417DF">
        <w:t>e more aware of the concept of ‘</w:t>
      </w:r>
      <w:r w:rsidRPr="002E269C">
        <w:t>reasonable ac</w:t>
      </w:r>
      <w:r w:rsidR="002417DF">
        <w:t>commodation’</w:t>
      </w:r>
      <w:r w:rsidRPr="002E269C">
        <w:t xml:space="preserve"> to ensure all courts are whee</w:t>
      </w:r>
      <w:r w:rsidR="00FE4999">
        <w:t xml:space="preserve">lchair accessible. People with </w:t>
      </w:r>
      <w:r w:rsidR="00700B63">
        <w:t>disability</w:t>
      </w:r>
      <w:r w:rsidRPr="002E269C">
        <w:t xml:space="preserve"> </w:t>
      </w:r>
      <w:r w:rsidR="00833145">
        <w:t xml:space="preserve">also </w:t>
      </w:r>
      <w:r w:rsidRPr="002E269C">
        <w:t xml:space="preserve">need to be more aware of their rights </w:t>
      </w:r>
      <w:r w:rsidR="00833145">
        <w:t>in this regard.</w:t>
      </w:r>
    </w:p>
    <w:p w14:paraId="16493EF6" w14:textId="77777777" w:rsidR="002417DF" w:rsidRDefault="00833145" w:rsidP="00396190">
      <w:r>
        <w:t xml:space="preserve">Women with Disabilities Victoria (WDV) referred to </w:t>
      </w:r>
      <w:r w:rsidR="002417DF">
        <w:t>its</w:t>
      </w:r>
      <w:r>
        <w:t xml:space="preserve"> ‘</w:t>
      </w:r>
      <w:r w:rsidR="00335F87" w:rsidRPr="002E269C">
        <w:t>Voices Against Violence</w:t>
      </w:r>
      <w:r>
        <w:t>’</w:t>
      </w:r>
      <w:r w:rsidR="00335F87" w:rsidRPr="002E269C">
        <w:t xml:space="preserve"> research,</w:t>
      </w:r>
      <w:r>
        <w:t xml:space="preserve"> </w:t>
      </w:r>
      <w:r w:rsidR="00E85164">
        <w:t>during which</w:t>
      </w:r>
      <w:r w:rsidR="002417DF">
        <w:t>:</w:t>
      </w:r>
    </w:p>
    <w:p w14:paraId="2E961B47" w14:textId="77777777" w:rsidR="002417DF" w:rsidRDefault="002417DF" w:rsidP="002417DF">
      <w:pPr>
        <w:pStyle w:val="Quote"/>
      </w:pPr>
      <w:r>
        <w:t xml:space="preserve">… </w:t>
      </w:r>
      <w:r w:rsidR="00335F87" w:rsidRPr="002E269C">
        <w:t xml:space="preserve">a woman talked about having to just about wheel over the respondent’s feet in the courtroom, and there was all these issues about lack of AUSLAN interpreters, </w:t>
      </w:r>
      <w:r w:rsidR="00833145">
        <w:t>j</w:t>
      </w:r>
      <w:r w:rsidR="00335F87" w:rsidRPr="002E269C">
        <w:t>udges not understanding that people couldn’t hear them if they were low in hearing; those sorts of things.</w:t>
      </w:r>
    </w:p>
    <w:p w14:paraId="0FB7ABBA" w14:textId="56DEBDD4" w:rsidR="00335F87" w:rsidRPr="002E269C" w:rsidRDefault="00833145" w:rsidP="00396190">
      <w:r>
        <w:t>WDV</w:t>
      </w:r>
      <w:r w:rsidR="00335F87" w:rsidRPr="002E269C">
        <w:t xml:space="preserve"> </w:t>
      </w:r>
      <w:r>
        <w:t xml:space="preserve">conducted </w:t>
      </w:r>
      <w:r w:rsidR="00335F87" w:rsidRPr="002E269C">
        <w:t>a survey of</w:t>
      </w:r>
      <w:r>
        <w:t xml:space="preserve"> around 46</w:t>
      </w:r>
      <w:r w:rsidR="00335F87" w:rsidRPr="002E269C">
        <w:t xml:space="preserve"> court users</w:t>
      </w:r>
      <w:r w:rsidR="002417DF">
        <w:rPr>
          <w:rFonts w:cs="Times New Roman"/>
        </w:rPr>
        <w:t>—</w:t>
      </w:r>
      <w:r w:rsidR="00335F87" w:rsidRPr="002E269C">
        <w:t>people who used courts and worked in courts</w:t>
      </w:r>
      <w:r w:rsidR="002417DF">
        <w:rPr>
          <w:rFonts w:cs="Times New Roman"/>
        </w:rPr>
        <w:t>—</w:t>
      </w:r>
      <w:r w:rsidR="00335F87" w:rsidRPr="002E269C">
        <w:t xml:space="preserve">and </w:t>
      </w:r>
      <w:r>
        <w:t xml:space="preserve">in the process </w:t>
      </w:r>
      <w:r w:rsidR="00335F87" w:rsidRPr="002E269C">
        <w:t xml:space="preserve">discovered that </w:t>
      </w:r>
      <w:r>
        <w:t xml:space="preserve">courts (unlike most government departments) did not have disability action plans. </w:t>
      </w:r>
    </w:p>
    <w:p w14:paraId="049961F5" w14:textId="77777777" w:rsidR="00335F87" w:rsidRPr="003C1D63" w:rsidRDefault="00335F87" w:rsidP="00396190">
      <w:pPr>
        <w:pStyle w:val="Heading2"/>
      </w:pPr>
      <w:bookmarkStart w:id="59" w:name="_Toc514751849"/>
      <w:r w:rsidRPr="003C1D63">
        <w:t>Recommendations</w:t>
      </w:r>
      <w:r w:rsidR="00E030ED" w:rsidRPr="003C1D63">
        <w:t xml:space="preserve"> for research and reform</w:t>
      </w:r>
      <w:bookmarkEnd w:id="59"/>
    </w:p>
    <w:p w14:paraId="097FCF5E" w14:textId="77777777" w:rsidR="00335F87" w:rsidRDefault="00335F87" w:rsidP="0065659F">
      <w:pPr>
        <w:pStyle w:val="Heading3"/>
      </w:pPr>
      <w:bookmarkStart w:id="60" w:name="_Toc514751850"/>
      <w:r w:rsidRPr="003C1D63">
        <w:t>Research</w:t>
      </w:r>
      <w:bookmarkEnd w:id="60"/>
    </w:p>
    <w:p w14:paraId="31B6E2B8" w14:textId="77777777" w:rsidR="00335F87" w:rsidRPr="00F50FF8" w:rsidRDefault="0015615D" w:rsidP="00F50FF8">
      <w:pPr>
        <w:pStyle w:val="ListParagraph"/>
        <w:numPr>
          <w:ilvl w:val="0"/>
          <w:numId w:val="26"/>
        </w:numPr>
      </w:pPr>
      <w:r w:rsidRPr="00F50FF8">
        <w:t xml:space="preserve">Research </w:t>
      </w:r>
      <w:r w:rsidR="00335F87" w:rsidRPr="00F50FF8">
        <w:t xml:space="preserve">should </w:t>
      </w:r>
      <w:r w:rsidR="0048249D" w:rsidRPr="00F50FF8">
        <w:t>include greater representation of people with disability</w:t>
      </w:r>
      <w:r w:rsidR="00335F87" w:rsidRPr="00F50FF8">
        <w:t xml:space="preserve">. </w:t>
      </w:r>
      <w:r w:rsidR="00F77EFE" w:rsidRPr="00F50FF8">
        <w:t xml:space="preserve">This means ensuring </w:t>
      </w:r>
      <w:r w:rsidR="00335F87" w:rsidRPr="00F50FF8">
        <w:t xml:space="preserve">people with disability can genuinely have input </w:t>
      </w:r>
      <w:r w:rsidR="00F77EFE" w:rsidRPr="00F50FF8">
        <w:t>in</w:t>
      </w:r>
      <w:r w:rsidR="00335F87" w:rsidRPr="00F50FF8">
        <w:t xml:space="preserve"> research projects and </w:t>
      </w:r>
      <w:r w:rsidRPr="00F50FF8">
        <w:t>in the impact of those projects</w:t>
      </w:r>
      <w:r w:rsidR="00335F87" w:rsidRPr="00F50FF8">
        <w:t>.</w:t>
      </w:r>
      <w:r w:rsidR="00F77EFE" w:rsidRPr="00F50FF8">
        <w:t xml:space="preserve"> Clear </w:t>
      </w:r>
      <w:r w:rsidR="00335F87" w:rsidRPr="00F50FF8">
        <w:t>statements</w:t>
      </w:r>
      <w:r w:rsidR="00F77EFE" w:rsidRPr="00F50FF8">
        <w:t xml:space="preserve"> and policies are required</w:t>
      </w:r>
      <w:r w:rsidR="00335F87" w:rsidRPr="00F50FF8">
        <w:t xml:space="preserve"> to</w:t>
      </w:r>
      <w:r w:rsidR="00F77EFE" w:rsidRPr="00F50FF8">
        <w:t xml:space="preserve"> ensure that participation and co-production are implemented.</w:t>
      </w:r>
      <w:r w:rsidR="00B51C1D" w:rsidRPr="00F50FF8">
        <w:rPr>
          <w:rStyle w:val="FootnoteReference"/>
        </w:rPr>
        <w:footnoteReference w:id="128"/>
      </w:r>
    </w:p>
    <w:p w14:paraId="502472AD" w14:textId="2D639640" w:rsidR="00335F87" w:rsidRPr="00F50FF8" w:rsidRDefault="00FE2792" w:rsidP="0065659F">
      <w:pPr>
        <w:pStyle w:val="Heading3"/>
      </w:pPr>
      <w:bookmarkStart w:id="61" w:name="_Toc514751851"/>
      <w:r w:rsidRPr="00F50FF8">
        <w:t>Review of l</w:t>
      </w:r>
      <w:r w:rsidR="00335F87" w:rsidRPr="00F50FF8">
        <w:t>egislation</w:t>
      </w:r>
      <w:bookmarkEnd w:id="61"/>
    </w:p>
    <w:p w14:paraId="21503BC7" w14:textId="7FCE1198" w:rsidR="00335F87" w:rsidRPr="00F50FF8" w:rsidRDefault="00B51C1D" w:rsidP="00F50FF8">
      <w:pPr>
        <w:pStyle w:val="ListParagraph"/>
        <w:numPr>
          <w:ilvl w:val="0"/>
          <w:numId w:val="26"/>
        </w:numPr>
      </w:pPr>
      <w:r w:rsidRPr="00F50FF8">
        <w:t>Di</w:t>
      </w:r>
      <w:r w:rsidR="00335F87" w:rsidRPr="00F50FF8">
        <w:t>scussion and review of </w:t>
      </w:r>
      <w:r w:rsidRPr="00F50FF8">
        <w:t>m</w:t>
      </w:r>
      <w:r w:rsidR="00335F87" w:rsidRPr="00F50FF8">
        <w:t xml:space="preserve">ental health </w:t>
      </w:r>
      <w:r w:rsidRPr="00F50FF8">
        <w:t>l</w:t>
      </w:r>
      <w:r w:rsidR="00335F87" w:rsidRPr="00F50FF8">
        <w:t>egislation i</w:t>
      </w:r>
      <w:r w:rsidRPr="00F50FF8">
        <w:t>s required</w:t>
      </w:r>
      <w:r w:rsidR="00335F87" w:rsidRPr="00F50FF8">
        <w:t xml:space="preserve"> to enable people with mental impairments to have and exercise their legal capacity.</w:t>
      </w:r>
      <w:r w:rsidRPr="00F50FF8">
        <w:rPr>
          <w:rStyle w:val="FootnoteReference"/>
        </w:rPr>
        <w:footnoteReference w:id="129"/>
      </w:r>
    </w:p>
    <w:p w14:paraId="6BF60D0B" w14:textId="4C805F1D" w:rsidR="008D5F70" w:rsidRPr="00046271" w:rsidRDefault="008D5F70" w:rsidP="00F92335">
      <w:pPr>
        <w:pStyle w:val="ListParagraph"/>
        <w:numPr>
          <w:ilvl w:val="0"/>
          <w:numId w:val="26"/>
        </w:numPr>
      </w:pPr>
      <w:r w:rsidRPr="00F50FF8">
        <w:t>The recommendation</w:t>
      </w:r>
      <w:r w:rsidR="00A969C9">
        <w:t>s of numerous state, territory and c</w:t>
      </w:r>
      <w:r w:rsidRPr="00F50FF8">
        <w:t xml:space="preserve">ommonwealth reports on barriers to access to justice for people with disability should be given greater attention. </w:t>
      </w:r>
      <w:r w:rsidR="00F92335">
        <w:t xml:space="preserve">For example, </w:t>
      </w:r>
      <w:r w:rsidR="00046271" w:rsidRPr="00046271">
        <w:t xml:space="preserve">Australian Law Reform Commission, </w:t>
      </w:r>
      <w:r w:rsidRPr="00F92335">
        <w:rPr>
          <w:i/>
        </w:rPr>
        <w:t>Equality, Capacity and Disability in Commonwealth Laws</w:t>
      </w:r>
      <w:r w:rsidR="00046271" w:rsidRPr="00046271">
        <w:t>,</w:t>
      </w:r>
      <w:r w:rsidRPr="00046271">
        <w:t xml:space="preserve"> </w:t>
      </w:r>
      <w:r w:rsidR="00046271" w:rsidRPr="00046271">
        <w:t>Report 124</w:t>
      </w:r>
      <w:r w:rsidRPr="00046271">
        <w:t xml:space="preserve"> </w:t>
      </w:r>
      <w:r w:rsidR="00046271" w:rsidRPr="00046271">
        <w:t>(Australian Law Reform Commission,</w:t>
      </w:r>
      <w:r w:rsidRPr="00046271">
        <w:t> 2014</w:t>
      </w:r>
      <w:r w:rsidR="00046271" w:rsidRPr="00046271">
        <w:t>)</w:t>
      </w:r>
      <w:r w:rsidR="00F92335">
        <w:t xml:space="preserve">; </w:t>
      </w:r>
      <w:r w:rsidR="00046271" w:rsidRPr="00046271">
        <w:t>Australian Human Rights Commission,</w:t>
      </w:r>
      <w:r w:rsidR="00046271" w:rsidRPr="00F92335">
        <w:rPr>
          <w:i/>
        </w:rPr>
        <w:t xml:space="preserve"> </w:t>
      </w:r>
      <w:r w:rsidRPr="00F92335">
        <w:rPr>
          <w:i/>
        </w:rPr>
        <w:t>Equal Before the Law: How the criminal justice system is failing people with disability</w:t>
      </w:r>
      <w:r w:rsidR="00046271" w:rsidRPr="00046271">
        <w:t xml:space="preserve"> (Australian Human Rights Commission, </w:t>
      </w:r>
      <w:r w:rsidRPr="00046271">
        <w:t>2016</w:t>
      </w:r>
      <w:r w:rsidR="00046271" w:rsidRPr="00046271">
        <w:t>)</w:t>
      </w:r>
      <w:r w:rsidRPr="00046271">
        <w:t>.</w:t>
      </w:r>
    </w:p>
    <w:p w14:paraId="595F60FF" w14:textId="10CB758A" w:rsidR="00335F87" w:rsidRPr="00F50FF8" w:rsidRDefault="00FE2792" w:rsidP="0065659F">
      <w:pPr>
        <w:pStyle w:val="Heading3"/>
      </w:pPr>
      <w:bookmarkStart w:id="62" w:name="_Toc514751852"/>
      <w:r w:rsidRPr="00F50FF8">
        <w:t>Disability awareness t</w:t>
      </w:r>
      <w:r w:rsidR="00335F87" w:rsidRPr="00F50FF8">
        <w:t>raining</w:t>
      </w:r>
      <w:bookmarkEnd w:id="62"/>
    </w:p>
    <w:p w14:paraId="3B18F62C" w14:textId="48264225" w:rsidR="001B2B46" w:rsidRPr="00F50FF8" w:rsidRDefault="00335F87" w:rsidP="00F50FF8">
      <w:pPr>
        <w:pStyle w:val="ListParagraph"/>
        <w:numPr>
          <w:ilvl w:val="0"/>
          <w:numId w:val="26"/>
        </w:numPr>
      </w:pPr>
      <w:r w:rsidRPr="00F50FF8">
        <w:t>More disability awareness training</w:t>
      </w:r>
      <w:r w:rsidR="0012036F" w:rsidRPr="00F50FF8">
        <w:t xml:space="preserve"> is needed</w:t>
      </w:r>
      <w:r w:rsidRPr="00F50FF8">
        <w:t xml:space="preserve"> for</w:t>
      </w:r>
      <w:r w:rsidR="0012036F" w:rsidRPr="00F50FF8">
        <w:t xml:space="preserve"> all participants in the justice system</w:t>
      </w:r>
      <w:r w:rsidRPr="00F50FF8">
        <w:t xml:space="preserve">, </w:t>
      </w:r>
      <w:r w:rsidR="0012036F" w:rsidRPr="00F50FF8">
        <w:t>including</w:t>
      </w:r>
      <w:r w:rsidRPr="00F50FF8">
        <w:t xml:space="preserve"> police, </w:t>
      </w:r>
      <w:r w:rsidR="00A969C9">
        <w:t>legal practitioners,</w:t>
      </w:r>
      <w:r w:rsidRPr="00F50FF8">
        <w:t xml:space="preserve"> and the judiciary.  This training needs to cover how to </w:t>
      </w:r>
      <w:r w:rsidR="0015615D" w:rsidRPr="00F50FF8">
        <w:t>respect</w:t>
      </w:r>
      <w:r w:rsidRPr="00F50FF8">
        <w:t xml:space="preserve"> people with </w:t>
      </w:r>
      <w:r w:rsidR="00700B63" w:rsidRPr="00F50FF8">
        <w:t>disability</w:t>
      </w:r>
      <w:r w:rsidRPr="00F50FF8">
        <w:t xml:space="preserve"> </w:t>
      </w:r>
      <w:r w:rsidR="0015615D" w:rsidRPr="00F50FF8">
        <w:t>on an equal basis with others</w:t>
      </w:r>
      <w:r w:rsidRPr="00F50FF8">
        <w:t xml:space="preserve">, especially in the area of </w:t>
      </w:r>
      <w:r w:rsidR="00F64684" w:rsidRPr="00F50FF8">
        <w:lastRenderedPageBreak/>
        <w:t>communication</w:t>
      </w:r>
      <w:r w:rsidR="0015615D" w:rsidRPr="00F50FF8">
        <w:t xml:space="preserve"> generally</w:t>
      </w:r>
      <w:r w:rsidR="00F64684" w:rsidRPr="00F50FF8">
        <w:t>, complaints handling, cross-examination, and other areas.</w:t>
      </w:r>
      <w:r w:rsidR="0012036F" w:rsidRPr="00F50FF8">
        <w:rPr>
          <w:rStyle w:val="FootnoteReference"/>
        </w:rPr>
        <w:footnoteReference w:id="130"/>
      </w:r>
      <w:r w:rsidR="0012036F" w:rsidRPr="00F50FF8">
        <w:t xml:space="preserve"> This training must be culturally appropriate for different communities, including Aboriginal and Torres Strait Islander people.</w:t>
      </w:r>
      <w:r w:rsidR="0012036F" w:rsidRPr="00F50FF8">
        <w:rPr>
          <w:rStyle w:val="FootnoteReference"/>
        </w:rPr>
        <w:footnoteReference w:id="131"/>
      </w:r>
    </w:p>
    <w:p w14:paraId="47A8C02A" w14:textId="4C39E8F7" w:rsidR="00335F87" w:rsidRPr="00F50FF8" w:rsidRDefault="00FE2792" w:rsidP="0065659F">
      <w:pPr>
        <w:pStyle w:val="Heading3"/>
      </w:pPr>
      <w:bookmarkStart w:id="63" w:name="_Toc514751853"/>
      <w:r w:rsidRPr="00F50FF8">
        <w:t>Disability justice p</w:t>
      </w:r>
      <w:r w:rsidR="00335F87" w:rsidRPr="00F50FF8">
        <w:t>lans</w:t>
      </w:r>
      <w:bookmarkEnd w:id="63"/>
      <w:r w:rsidR="00335F87" w:rsidRPr="00F50FF8">
        <w:t xml:space="preserve"> </w:t>
      </w:r>
    </w:p>
    <w:p w14:paraId="2FE0DE5B" w14:textId="522650CC" w:rsidR="00335F87" w:rsidRPr="00F50FF8" w:rsidRDefault="00A969C9" w:rsidP="00F50FF8">
      <w:pPr>
        <w:pStyle w:val="ListParagraph"/>
        <w:numPr>
          <w:ilvl w:val="0"/>
          <w:numId w:val="26"/>
        </w:numPr>
      </w:pPr>
      <w:r>
        <w:t>Disability j</w:t>
      </w:r>
      <w:r w:rsidR="00335F87" w:rsidRPr="00F50FF8">
        <w:t xml:space="preserve">ustice </w:t>
      </w:r>
      <w:r>
        <w:t>p</w:t>
      </w:r>
      <w:r w:rsidR="00335F87" w:rsidRPr="00F50FF8">
        <w:t xml:space="preserve">lans </w:t>
      </w:r>
      <w:r w:rsidR="0012036F" w:rsidRPr="00F50FF8">
        <w:t>must be developed</w:t>
      </w:r>
      <w:r w:rsidR="00335F87" w:rsidRPr="00F50FF8">
        <w:t xml:space="preserve"> </w:t>
      </w:r>
      <w:r w:rsidR="0015615D" w:rsidRPr="00F50FF8">
        <w:t xml:space="preserve">and </w:t>
      </w:r>
      <w:r w:rsidR="00335F87" w:rsidRPr="00F50FF8">
        <w:t>implemented in all areas of the justice system.</w:t>
      </w:r>
      <w:r w:rsidR="0012036F" w:rsidRPr="00F50FF8">
        <w:rPr>
          <w:rStyle w:val="FootnoteReference"/>
        </w:rPr>
        <w:footnoteReference w:id="132"/>
      </w:r>
    </w:p>
    <w:p w14:paraId="60BF0D64" w14:textId="3FA46271" w:rsidR="00335F87" w:rsidRPr="00F50FF8" w:rsidRDefault="00335F87" w:rsidP="0065659F">
      <w:pPr>
        <w:pStyle w:val="Heading3"/>
      </w:pPr>
      <w:bookmarkStart w:id="64" w:name="_Toc514751854"/>
      <w:r w:rsidRPr="00F50FF8">
        <w:t xml:space="preserve">Increased support for people with </w:t>
      </w:r>
      <w:r w:rsidR="00700B63" w:rsidRPr="00F50FF8">
        <w:t>disability</w:t>
      </w:r>
      <w:r w:rsidR="00F50FF8">
        <w:t xml:space="preserve"> going through the j</w:t>
      </w:r>
      <w:r w:rsidRPr="00F50FF8">
        <w:t>ustice</w:t>
      </w:r>
      <w:r w:rsidR="0012036F" w:rsidRPr="00F50FF8">
        <w:t xml:space="preserve"> s</w:t>
      </w:r>
      <w:r w:rsidRPr="00F50FF8">
        <w:t>ystem</w:t>
      </w:r>
      <w:bookmarkEnd w:id="64"/>
    </w:p>
    <w:p w14:paraId="1C71A858" w14:textId="22F68551" w:rsidR="00335F87" w:rsidRPr="00F50FF8" w:rsidRDefault="00335F87" w:rsidP="00F50FF8">
      <w:pPr>
        <w:pStyle w:val="ListParagraph"/>
        <w:numPr>
          <w:ilvl w:val="0"/>
          <w:numId w:val="26"/>
        </w:numPr>
      </w:pPr>
      <w:r w:rsidRPr="00F50FF8">
        <w:t xml:space="preserve">There </w:t>
      </w:r>
      <w:r w:rsidR="0012036F" w:rsidRPr="00F50FF8">
        <w:t>must</w:t>
      </w:r>
      <w:r w:rsidRPr="00F50FF8">
        <w:t xml:space="preserve"> </w:t>
      </w:r>
      <w:r w:rsidR="00F50FF8">
        <w:t xml:space="preserve">be more support for people with </w:t>
      </w:r>
      <w:r w:rsidR="00700B63" w:rsidRPr="00F50FF8">
        <w:t>disability</w:t>
      </w:r>
      <w:r w:rsidRPr="00F50FF8">
        <w:t xml:space="preserve"> goin</w:t>
      </w:r>
      <w:r w:rsidR="0015615D" w:rsidRPr="00F50FF8">
        <w:t xml:space="preserve">g through the justice process. </w:t>
      </w:r>
      <w:r w:rsidRPr="00F50FF8">
        <w:t>Th</w:t>
      </w:r>
      <w:r w:rsidR="0012036F" w:rsidRPr="00F50FF8">
        <w:t xml:space="preserve">is includes </w:t>
      </w:r>
      <w:r w:rsidRPr="00F50FF8">
        <w:t>witness intermediaries in the form of independent communication experts</w:t>
      </w:r>
      <w:r w:rsidR="00A969C9">
        <w:t>,</w:t>
      </w:r>
      <w:r w:rsidR="0012036F" w:rsidRPr="00F50FF8">
        <w:t xml:space="preserve"> similar to the effective process adopted in the United Kingdom</w:t>
      </w:r>
      <w:r w:rsidRPr="00F50FF8">
        <w:t>.</w:t>
      </w:r>
      <w:r w:rsidR="0012036F" w:rsidRPr="00F50FF8">
        <w:rPr>
          <w:rStyle w:val="FootnoteReference"/>
        </w:rPr>
        <w:footnoteReference w:id="133"/>
      </w:r>
    </w:p>
    <w:p w14:paraId="4F540AD7" w14:textId="77777777" w:rsidR="00335F87" w:rsidRPr="00F50FF8" w:rsidRDefault="00335F87" w:rsidP="00F50FF8">
      <w:pPr>
        <w:pStyle w:val="ListParagraph"/>
        <w:numPr>
          <w:ilvl w:val="0"/>
          <w:numId w:val="26"/>
        </w:numPr>
      </w:pPr>
      <w:r w:rsidRPr="00F50FF8">
        <w:t>Before any meetings </w:t>
      </w:r>
      <w:r w:rsidR="0012036F" w:rsidRPr="00F50FF8">
        <w:t>or</w:t>
      </w:r>
      <w:r w:rsidRPr="00F50FF8">
        <w:t xml:space="preserve"> legal proceedings begin, the person’s disability and support needs must be established and catered for.</w:t>
      </w:r>
      <w:r w:rsidR="0012036F" w:rsidRPr="00F50FF8">
        <w:rPr>
          <w:rStyle w:val="FootnoteReference"/>
        </w:rPr>
        <w:footnoteReference w:id="134"/>
      </w:r>
      <w:r w:rsidR="0012036F" w:rsidRPr="00F50FF8">
        <w:t xml:space="preserve"> This includes:</w:t>
      </w:r>
    </w:p>
    <w:p w14:paraId="6630AFE5" w14:textId="13F886F5" w:rsidR="00D024F6" w:rsidRPr="00F50FF8" w:rsidRDefault="00F50FF8" w:rsidP="00F50FF8">
      <w:pPr>
        <w:pStyle w:val="ListParagraph"/>
        <w:numPr>
          <w:ilvl w:val="1"/>
          <w:numId w:val="26"/>
        </w:numPr>
      </w:pPr>
      <w:r>
        <w:t>e</w:t>
      </w:r>
      <w:r w:rsidR="00330396" w:rsidRPr="00F50FF8">
        <w:t xml:space="preserve">nsuring a comfortable and familiar environment for people with </w:t>
      </w:r>
      <w:r w:rsidR="003C5135" w:rsidRPr="00F50FF8">
        <w:t>intellectual disability to be</w:t>
      </w:r>
      <w:r w:rsidR="00330396" w:rsidRPr="00F50FF8">
        <w:t xml:space="preserve"> interview</w:t>
      </w:r>
      <w:r w:rsidR="003C5135" w:rsidRPr="00F50FF8">
        <w:t>ed</w:t>
      </w:r>
      <w:r w:rsidR="0002125B" w:rsidRPr="00F50FF8">
        <w:t>;</w:t>
      </w:r>
    </w:p>
    <w:p w14:paraId="74D8E391" w14:textId="52FC4C90" w:rsidR="00056BBA" w:rsidRPr="00F50FF8" w:rsidRDefault="00F50FF8" w:rsidP="00F50FF8">
      <w:pPr>
        <w:pStyle w:val="ListParagraph"/>
        <w:numPr>
          <w:ilvl w:val="1"/>
          <w:numId w:val="26"/>
        </w:numPr>
      </w:pPr>
      <w:r>
        <w:t>a</w:t>
      </w:r>
      <w:r w:rsidR="00330396" w:rsidRPr="00F50FF8">
        <w:t>pplying fo</w:t>
      </w:r>
      <w:r>
        <w:t>r legal a</w:t>
      </w:r>
      <w:r w:rsidR="00330396" w:rsidRPr="00F50FF8">
        <w:t>id as soon</w:t>
      </w:r>
      <w:r w:rsidR="00056BBA" w:rsidRPr="00F50FF8">
        <w:t xml:space="preserve"> as a complaint or issue arises</w:t>
      </w:r>
      <w:r w:rsidR="0002125B" w:rsidRPr="00F50FF8">
        <w:t>;</w:t>
      </w:r>
    </w:p>
    <w:p w14:paraId="3F9F29C9" w14:textId="787A63E8" w:rsidR="00335F87" w:rsidRPr="00F50FF8" w:rsidRDefault="00F50FF8" w:rsidP="00F50FF8">
      <w:pPr>
        <w:pStyle w:val="ListParagraph"/>
        <w:numPr>
          <w:ilvl w:val="1"/>
          <w:numId w:val="26"/>
        </w:numPr>
      </w:pPr>
      <w:r>
        <w:t>ensuring</w:t>
      </w:r>
      <w:r w:rsidR="00056BBA" w:rsidRPr="00F50FF8">
        <w:t xml:space="preserve"> f</w:t>
      </w:r>
      <w:r w:rsidR="00335F87" w:rsidRPr="00F50FF8">
        <w:t xml:space="preserve">amily members </w:t>
      </w:r>
      <w:r w:rsidR="00056BBA" w:rsidRPr="00F50FF8">
        <w:t xml:space="preserve">are </w:t>
      </w:r>
      <w:r w:rsidR="00380B8A" w:rsidRPr="00F50FF8">
        <w:t xml:space="preserve">informed </w:t>
      </w:r>
      <w:r w:rsidR="00056BBA" w:rsidRPr="00F50FF8">
        <w:t>of the process</w:t>
      </w:r>
      <w:r w:rsidR="0002125B" w:rsidRPr="00F50FF8">
        <w:t>;</w:t>
      </w:r>
    </w:p>
    <w:p w14:paraId="5812E473" w14:textId="22F41D98" w:rsidR="00893CB1" w:rsidRPr="00F50FF8" w:rsidRDefault="00F50FF8" w:rsidP="00F50FF8">
      <w:pPr>
        <w:pStyle w:val="ListParagraph"/>
        <w:numPr>
          <w:ilvl w:val="1"/>
          <w:numId w:val="26"/>
        </w:numPr>
      </w:pPr>
      <w:r>
        <w:t>ensuring</w:t>
      </w:r>
      <w:r w:rsidR="00056BBA" w:rsidRPr="00F50FF8">
        <w:t xml:space="preserve"> </w:t>
      </w:r>
      <w:r w:rsidR="00FE4999">
        <w:t>people with disabiltiy</w:t>
      </w:r>
      <w:r w:rsidR="00335F87" w:rsidRPr="00F50FF8">
        <w:t xml:space="preserve"> </w:t>
      </w:r>
      <w:r w:rsidR="00596E70" w:rsidRPr="00F50FF8">
        <w:t>are</w:t>
      </w:r>
      <w:r w:rsidR="00335F87" w:rsidRPr="00F50FF8">
        <w:t xml:space="preserve"> given the opportunity to understand the law and be better informed</w:t>
      </w:r>
      <w:r w:rsidR="0002125B" w:rsidRPr="00F50FF8">
        <w:t>;</w:t>
      </w:r>
    </w:p>
    <w:p w14:paraId="67D30736" w14:textId="5093D659" w:rsidR="00893CB1" w:rsidRPr="00F50FF8" w:rsidRDefault="00F50FF8" w:rsidP="00F50FF8">
      <w:pPr>
        <w:pStyle w:val="ListParagraph"/>
        <w:numPr>
          <w:ilvl w:val="1"/>
          <w:numId w:val="26"/>
        </w:numPr>
      </w:pPr>
      <w:r>
        <w:t>d</w:t>
      </w:r>
      <w:r w:rsidR="00C65FFC" w:rsidRPr="00F50FF8">
        <w:t>evelop</w:t>
      </w:r>
      <w:r>
        <w:t>ing</w:t>
      </w:r>
      <w:r w:rsidR="00C65FFC" w:rsidRPr="00F50FF8">
        <w:t xml:space="preserve"> a</w:t>
      </w:r>
      <w:r w:rsidR="00335F87" w:rsidRPr="00F50FF8">
        <w:t xml:space="preserve"> </w:t>
      </w:r>
      <w:r w:rsidR="00C65FFC" w:rsidRPr="00F50FF8">
        <w:t xml:space="preserve">mentoring </w:t>
      </w:r>
      <w:r w:rsidR="00335F87" w:rsidRPr="00F50FF8">
        <w:t>program</w:t>
      </w:r>
      <w:r w:rsidR="0002125B" w:rsidRPr="00F50FF8">
        <w:t>; and</w:t>
      </w:r>
    </w:p>
    <w:p w14:paraId="25C890FD" w14:textId="0282C7F2" w:rsidR="00335F87" w:rsidRPr="00F50FF8" w:rsidRDefault="00F50FF8" w:rsidP="00F50FF8">
      <w:pPr>
        <w:pStyle w:val="ListParagraph"/>
        <w:numPr>
          <w:ilvl w:val="1"/>
          <w:numId w:val="26"/>
        </w:numPr>
      </w:pPr>
      <w:r>
        <w:t>educating</w:t>
      </w:r>
      <w:r w:rsidR="00C65FFC" w:rsidRPr="00F50FF8">
        <w:t xml:space="preserve"> pe</w:t>
      </w:r>
      <w:r>
        <w:t>ople in day s</w:t>
      </w:r>
      <w:r w:rsidR="00335F87" w:rsidRPr="00F50FF8">
        <w:t>ervices about legal processes.</w:t>
      </w:r>
    </w:p>
    <w:p w14:paraId="1A6F02BE" w14:textId="77777777" w:rsidR="00335F87" w:rsidRPr="00F50FF8" w:rsidRDefault="00335F87" w:rsidP="00F50FF8">
      <w:pPr>
        <w:pStyle w:val="ListParagraph"/>
        <w:numPr>
          <w:ilvl w:val="0"/>
          <w:numId w:val="26"/>
        </w:numPr>
      </w:pPr>
      <w:r w:rsidRPr="00F50FF8">
        <w:t xml:space="preserve">Education </w:t>
      </w:r>
      <w:r w:rsidR="00596E70" w:rsidRPr="00F50FF8">
        <w:t>about</w:t>
      </w:r>
      <w:r w:rsidRPr="00F50FF8">
        <w:t xml:space="preserve"> disability is needed in all areas of the judicial process. </w:t>
      </w:r>
    </w:p>
    <w:p w14:paraId="2FC8FBC8" w14:textId="69A8346B" w:rsidR="00335F87" w:rsidRPr="00F50FF8" w:rsidRDefault="00FE2792" w:rsidP="0065659F">
      <w:pPr>
        <w:pStyle w:val="Heading3"/>
      </w:pPr>
      <w:bookmarkStart w:id="65" w:name="_Toc514751855"/>
      <w:r w:rsidRPr="00F50FF8">
        <w:t>Changes in judicial knowledge and p</w:t>
      </w:r>
      <w:r w:rsidR="00335F87" w:rsidRPr="00F50FF8">
        <w:t>ractices</w:t>
      </w:r>
      <w:bookmarkEnd w:id="65"/>
    </w:p>
    <w:p w14:paraId="4C6FE971" w14:textId="35256872" w:rsidR="003C1D63" w:rsidRPr="00F83BBB" w:rsidRDefault="003C3F26" w:rsidP="00F50FF8">
      <w:pPr>
        <w:pStyle w:val="ListParagraph"/>
        <w:numPr>
          <w:ilvl w:val="0"/>
          <w:numId w:val="26"/>
        </w:numPr>
      </w:pPr>
      <w:r w:rsidRPr="00F83BBB">
        <w:t>A group should be established to establish a</w:t>
      </w:r>
      <w:r w:rsidR="00335F87" w:rsidRPr="00F83BBB">
        <w:t>n integrated, multi-disciplinary approach</w:t>
      </w:r>
      <w:r w:rsidR="007F73D9" w:rsidRPr="00F83BBB">
        <w:t xml:space="preserve"> </w:t>
      </w:r>
      <w:r w:rsidRPr="00F83BBB">
        <w:t>to integrate disability specialist knowledge with Aboriginal</w:t>
      </w:r>
      <w:r w:rsidR="00FE4999" w:rsidRPr="00F83BBB">
        <w:t xml:space="preserve"> and Torres Strait Islander</w:t>
      </w:r>
      <w:r w:rsidRPr="00F83BBB">
        <w:t xml:space="preserve"> specialist knowledge. This </w:t>
      </w:r>
      <w:r w:rsidR="0015615D" w:rsidRPr="00F83BBB">
        <w:t>could be</w:t>
      </w:r>
      <w:r w:rsidR="00274152" w:rsidRPr="00F83BBB">
        <w:t xml:space="preserve"> co</w:t>
      </w:r>
      <w:r w:rsidR="00A969C9" w:rsidRPr="00F83BBB">
        <w:t>-</w:t>
      </w:r>
      <w:r w:rsidR="00274152" w:rsidRPr="00F83BBB">
        <w:t>ordi</w:t>
      </w:r>
      <w:r w:rsidR="003C1D63" w:rsidRPr="00F83BBB">
        <w:t>nated by the Attorney</w:t>
      </w:r>
      <w:r w:rsidR="00A969C9" w:rsidRPr="00F83BBB">
        <w:t xml:space="preserve">s </w:t>
      </w:r>
      <w:r w:rsidR="003C1D63" w:rsidRPr="00F83BBB">
        <w:t>General.</w:t>
      </w:r>
    </w:p>
    <w:p w14:paraId="7C5B8052" w14:textId="2BEEA40D" w:rsidR="003C1D63" w:rsidRPr="00F50FF8" w:rsidRDefault="00D04630" w:rsidP="00F50FF8">
      <w:pPr>
        <w:pStyle w:val="ListParagraph"/>
        <w:numPr>
          <w:ilvl w:val="0"/>
          <w:numId w:val="26"/>
        </w:numPr>
      </w:pPr>
      <w:r w:rsidRPr="00F50FF8">
        <w:t xml:space="preserve">Investigation is required into the role magistrates and </w:t>
      </w:r>
      <w:r w:rsidR="00FE4999">
        <w:t xml:space="preserve">parole boards </w:t>
      </w:r>
      <w:r w:rsidR="00335F87" w:rsidRPr="00F50FF8">
        <w:t xml:space="preserve">can </w:t>
      </w:r>
      <w:r w:rsidRPr="00F50FF8">
        <w:t xml:space="preserve">play to </w:t>
      </w:r>
      <w:r w:rsidR="00FE4999">
        <w:t xml:space="preserve">steer Aboriginal </w:t>
      </w:r>
      <w:r w:rsidRPr="00F50FF8">
        <w:t>and Torres Strait Islander</w:t>
      </w:r>
      <w:r w:rsidR="00335F87" w:rsidRPr="00F50FF8">
        <w:t xml:space="preserve"> people </w:t>
      </w:r>
      <w:r w:rsidRPr="00F50FF8">
        <w:t xml:space="preserve">(with and </w:t>
      </w:r>
      <w:r w:rsidR="00335F87" w:rsidRPr="00F50FF8">
        <w:t>with</w:t>
      </w:r>
      <w:r w:rsidRPr="00F50FF8">
        <w:t>out</w:t>
      </w:r>
      <w:r w:rsidR="00335F87" w:rsidRPr="00F50FF8">
        <w:t xml:space="preserve"> </w:t>
      </w:r>
      <w:r w:rsidR="00700B63" w:rsidRPr="00F50FF8">
        <w:t>disability</w:t>
      </w:r>
      <w:r w:rsidRPr="00F50FF8">
        <w:t>)</w:t>
      </w:r>
      <w:r w:rsidR="00335F87" w:rsidRPr="00F50FF8">
        <w:t xml:space="preserve"> away from incarceration.</w:t>
      </w:r>
      <w:r w:rsidRPr="00F50FF8">
        <w:rPr>
          <w:rStyle w:val="FootnoteReference"/>
        </w:rPr>
        <w:footnoteReference w:id="135"/>
      </w:r>
    </w:p>
    <w:p w14:paraId="5D56B5AF" w14:textId="2A9F4BF0" w:rsidR="003C1D63" w:rsidRPr="00F50FF8" w:rsidRDefault="00335F87" w:rsidP="00F50FF8">
      <w:pPr>
        <w:pStyle w:val="ListParagraph"/>
        <w:numPr>
          <w:ilvl w:val="0"/>
          <w:numId w:val="26"/>
        </w:numPr>
      </w:pPr>
      <w:r w:rsidRPr="00F50FF8">
        <w:t>Expansion of the A</w:t>
      </w:r>
      <w:r w:rsidR="00BE06B6" w:rsidRPr="00F50FF8">
        <w:t xml:space="preserve">ssessment and </w:t>
      </w:r>
      <w:r w:rsidRPr="00F50FF8">
        <w:t>R</w:t>
      </w:r>
      <w:r w:rsidR="00BE06B6" w:rsidRPr="00F50FF8">
        <w:t>eferral</w:t>
      </w:r>
      <w:r w:rsidR="00B47C63" w:rsidRPr="00F50FF8">
        <w:t xml:space="preserve"> </w:t>
      </w:r>
      <w:r w:rsidRPr="00F50FF8">
        <w:t>C</w:t>
      </w:r>
      <w:r w:rsidR="00BE06B6" w:rsidRPr="00F50FF8">
        <w:t xml:space="preserve">ourt </w:t>
      </w:r>
      <w:r w:rsidRPr="00F50FF8">
        <w:t xml:space="preserve">to </w:t>
      </w:r>
      <w:r w:rsidR="0015615D" w:rsidRPr="00F50FF8">
        <w:t>other courts and jurisdictions</w:t>
      </w:r>
      <w:r w:rsidR="00A969C9">
        <w:t xml:space="preserve">, that is, </w:t>
      </w:r>
      <w:r w:rsidR="0015615D" w:rsidRPr="00F50FF8">
        <w:t>beyond</w:t>
      </w:r>
      <w:r w:rsidR="003C1D63" w:rsidRPr="00F50FF8">
        <w:t xml:space="preserve"> the Victorian Ma</w:t>
      </w:r>
      <w:r w:rsidR="00BE06B6" w:rsidRPr="00F50FF8">
        <w:t>gistrates</w:t>
      </w:r>
      <w:r w:rsidR="003C1D63" w:rsidRPr="00F50FF8">
        <w:t>’</w:t>
      </w:r>
      <w:r w:rsidR="00BE06B6" w:rsidRPr="00F50FF8">
        <w:t xml:space="preserve"> </w:t>
      </w:r>
      <w:r w:rsidR="003C1D63" w:rsidRPr="00F50FF8">
        <w:t>C</w:t>
      </w:r>
      <w:r w:rsidR="00BE06B6" w:rsidRPr="00F50FF8">
        <w:t xml:space="preserve">ourt.  The </w:t>
      </w:r>
      <w:r w:rsidR="00A969C9" w:rsidRPr="00F50FF8">
        <w:t xml:space="preserve">Assessment and Referral Court </w:t>
      </w:r>
      <w:r w:rsidR="00B47C63" w:rsidRPr="00F50FF8">
        <w:t>is a separate court</w:t>
      </w:r>
      <w:r w:rsidR="0015615D" w:rsidRPr="00F50FF8">
        <w:t>,</w:t>
      </w:r>
      <w:r w:rsidR="00B47C63" w:rsidRPr="00F50FF8">
        <w:t xml:space="preserve"> </w:t>
      </w:r>
      <w:r w:rsidR="0030279F" w:rsidRPr="00F50FF8">
        <w:t xml:space="preserve">which </w:t>
      </w:r>
      <w:r w:rsidR="00BE06B6" w:rsidRPr="00F50FF8">
        <w:t xml:space="preserve">gives more time for people with </w:t>
      </w:r>
      <w:r w:rsidR="00700B63" w:rsidRPr="00F50FF8">
        <w:t>disability</w:t>
      </w:r>
      <w:r w:rsidR="0030279F" w:rsidRPr="00F50FF8">
        <w:t xml:space="preserve"> to talk and to link with </w:t>
      </w:r>
      <w:r w:rsidR="0030279F" w:rsidRPr="00F50FF8">
        <w:lastRenderedPageBreak/>
        <w:t xml:space="preserve">lawyers and provides more time for people with </w:t>
      </w:r>
      <w:r w:rsidR="00700B63" w:rsidRPr="00F50FF8">
        <w:t>disability</w:t>
      </w:r>
      <w:r w:rsidR="0030279F" w:rsidRPr="00F50FF8">
        <w:t xml:space="preserve"> to understand the process and to be heard.</w:t>
      </w:r>
      <w:r w:rsidR="00C23B5C" w:rsidRPr="00F50FF8">
        <w:rPr>
          <w:rStyle w:val="FootnoteReference"/>
        </w:rPr>
        <w:footnoteReference w:id="136"/>
      </w:r>
    </w:p>
    <w:p w14:paraId="6284E9FE" w14:textId="08FC7E32" w:rsidR="00335F87" w:rsidRPr="00FE4999" w:rsidRDefault="003C1D63" w:rsidP="00F50FF8">
      <w:pPr>
        <w:pStyle w:val="ListParagraph"/>
        <w:numPr>
          <w:ilvl w:val="0"/>
          <w:numId w:val="26"/>
        </w:numPr>
      </w:pPr>
      <w:r w:rsidRPr="00FE4999">
        <w:t xml:space="preserve">Until the </w:t>
      </w:r>
      <w:r w:rsidR="00A969C9" w:rsidRPr="00FE4999">
        <w:t xml:space="preserve">Assessment and Referral Court </w:t>
      </w:r>
      <w:r w:rsidRPr="00FE4999">
        <w:t>is establi</w:t>
      </w:r>
      <w:r w:rsidR="00FE4999" w:rsidRPr="00FE4999">
        <w:t xml:space="preserve">shed in all courts, </w:t>
      </w:r>
      <w:r w:rsidR="0030279F" w:rsidRPr="00FE4999">
        <w:t>a</w:t>
      </w:r>
      <w:r w:rsidR="00C23B5C" w:rsidRPr="00FE4999">
        <w:t xml:space="preserve"> t</w:t>
      </w:r>
      <w:r w:rsidR="00335F87" w:rsidRPr="00FE4999">
        <w:t xml:space="preserve">riage system </w:t>
      </w:r>
      <w:r w:rsidR="00C23B5C" w:rsidRPr="00FE4999">
        <w:t xml:space="preserve">should be implemented in courts so that </w:t>
      </w:r>
      <w:r w:rsidR="00FE4999" w:rsidRPr="00FE4999">
        <w:t xml:space="preserve">people with </w:t>
      </w:r>
      <w:r w:rsidR="00700B63" w:rsidRPr="00FE4999">
        <w:t>disability</w:t>
      </w:r>
      <w:r w:rsidR="00335F87" w:rsidRPr="00FE4999">
        <w:t xml:space="preserve"> </w:t>
      </w:r>
      <w:r w:rsidR="00C23B5C" w:rsidRPr="00FE4999">
        <w:t xml:space="preserve">can move </w:t>
      </w:r>
      <w:r w:rsidR="00335F87" w:rsidRPr="00FE4999">
        <w:t xml:space="preserve">straight into a courtroom setting that is not busy </w:t>
      </w:r>
      <w:r w:rsidR="00C23B5C" w:rsidRPr="00FE4999">
        <w:t>or</w:t>
      </w:r>
      <w:r w:rsidR="00335F87" w:rsidRPr="00FE4999">
        <w:t xml:space="preserve"> rushed and where </w:t>
      </w:r>
      <w:r w:rsidR="00C23B5C" w:rsidRPr="00FE4999">
        <w:t>they can access a lawyer</w:t>
      </w:r>
      <w:r w:rsidR="00FE4999" w:rsidRPr="00FE4999">
        <w:t xml:space="preserve">. </w:t>
      </w:r>
      <w:r w:rsidR="00CD7902" w:rsidRPr="00FE4999">
        <w:t>A</w:t>
      </w:r>
      <w:r w:rsidR="00335F87" w:rsidRPr="00FE4999">
        <w:t xml:space="preserve"> support worker can assist with communication</w:t>
      </w:r>
      <w:r w:rsidR="00A969C9" w:rsidRPr="00FE4999">
        <w:t>,</w:t>
      </w:r>
      <w:r w:rsidR="00FE4999" w:rsidRPr="00FE4999">
        <w:t xml:space="preserve"> and people with </w:t>
      </w:r>
      <w:r w:rsidR="00700B63" w:rsidRPr="00FE4999">
        <w:t>disability</w:t>
      </w:r>
      <w:r w:rsidR="00335F87" w:rsidRPr="00FE4999">
        <w:t xml:space="preserve"> can learn and understand the court processes in their own time.</w:t>
      </w:r>
      <w:r w:rsidR="00D87E86" w:rsidRPr="00FE4999">
        <w:rPr>
          <w:rStyle w:val="FootnoteReference"/>
        </w:rPr>
        <w:footnoteReference w:id="137"/>
      </w:r>
    </w:p>
    <w:p w14:paraId="201192F0" w14:textId="50A1408A" w:rsidR="00335F87" w:rsidRPr="00F50FF8" w:rsidRDefault="00571532" w:rsidP="00F50FF8">
      <w:pPr>
        <w:pStyle w:val="ListParagraph"/>
        <w:numPr>
          <w:ilvl w:val="0"/>
          <w:numId w:val="26"/>
        </w:numPr>
      </w:pPr>
      <w:r w:rsidRPr="00F50FF8">
        <w:t xml:space="preserve">It is imperative that </w:t>
      </w:r>
      <w:r w:rsidR="003C1D63" w:rsidRPr="00F50FF8">
        <w:t>p</w:t>
      </w:r>
      <w:r w:rsidR="00FE4999">
        <w:t xml:space="preserve">eople with </w:t>
      </w:r>
      <w:r w:rsidR="00700B63" w:rsidRPr="00F50FF8">
        <w:t>disability</w:t>
      </w:r>
      <w:r w:rsidR="00335F87" w:rsidRPr="00F50FF8">
        <w:t xml:space="preserve"> </w:t>
      </w:r>
      <w:r w:rsidR="00FE4999">
        <w:t>are</w:t>
      </w:r>
      <w:r w:rsidR="00335F87" w:rsidRPr="00F50FF8">
        <w:t xml:space="preserve"> linked to a lawyer earlier so</w:t>
      </w:r>
      <w:r w:rsidR="003A013C" w:rsidRPr="00F50FF8">
        <w:t xml:space="preserve"> the lawyer</w:t>
      </w:r>
      <w:r w:rsidR="00335F87" w:rsidRPr="00F50FF8">
        <w:t xml:space="preserve"> can become aware of the person’s communication style and needs.  </w:t>
      </w:r>
      <w:r w:rsidR="001B2850" w:rsidRPr="00F50FF8">
        <w:t>S</w:t>
      </w:r>
      <w:r w:rsidR="00335F87" w:rsidRPr="00F50FF8">
        <w:t>upport worker</w:t>
      </w:r>
      <w:r w:rsidR="001B2850" w:rsidRPr="00F50FF8">
        <w:t>s</w:t>
      </w:r>
      <w:r w:rsidR="00335F87" w:rsidRPr="00F50FF8">
        <w:t xml:space="preserve"> should be </w:t>
      </w:r>
      <w:r w:rsidR="001B2850" w:rsidRPr="00F50FF8">
        <w:t>made a</w:t>
      </w:r>
      <w:r w:rsidR="00335F87" w:rsidRPr="00F50FF8">
        <w:t xml:space="preserve">ware of the need to engage a lawyer as soon as possible after </w:t>
      </w:r>
      <w:r w:rsidR="002B42FD" w:rsidRPr="00F50FF8">
        <w:t>an incident or issue arises.</w:t>
      </w:r>
      <w:r w:rsidR="002B42FD" w:rsidRPr="00F50FF8">
        <w:rPr>
          <w:rStyle w:val="FootnoteReference"/>
        </w:rPr>
        <w:footnoteReference w:id="138"/>
      </w:r>
    </w:p>
    <w:p w14:paraId="5D3EB69C" w14:textId="45CA7E64" w:rsidR="00335F87" w:rsidRPr="00F50FF8" w:rsidRDefault="00F83BBB" w:rsidP="00F50FF8">
      <w:pPr>
        <w:pStyle w:val="ListParagraph"/>
        <w:numPr>
          <w:ilvl w:val="0"/>
          <w:numId w:val="26"/>
        </w:numPr>
      </w:pPr>
      <w:r w:rsidRPr="00F83BBB">
        <w:t>Professionals in t</w:t>
      </w:r>
      <w:r w:rsidR="00335F87" w:rsidRPr="00F83BBB">
        <w:t>h</w:t>
      </w:r>
      <w:r w:rsidRPr="00F83BBB">
        <w:t>e justice system need</w:t>
      </w:r>
      <w:r w:rsidR="00335F87" w:rsidRPr="00F83BBB">
        <w:t xml:space="preserve"> to understand that </w:t>
      </w:r>
      <w:r w:rsidRPr="00F83BBB">
        <w:t>they</w:t>
      </w:r>
      <w:r w:rsidR="00335F87" w:rsidRPr="00F83BBB">
        <w:t xml:space="preserve"> may</w:t>
      </w:r>
      <w:r w:rsidR="00335F87" w:rsidRPr="00F50FF8">
        <w:t xml:space="preserve"> have to adjust their method</w:t>
      </w:r>
      <w:r w:rsidR="00A969C9">
        <w:t>s</w:t>
      </w:r>
      <w:r w:rsidR="00335F87" w:rsidRPr="00F50FF8">
        <w:t xml:space="preserve"> of communication so </w:t>
      </w:r>
      <w:r w:rsidR="00A969C9">
        <w:t>as to</w:t>
      </w:r>
      <w:r w:rsidR="00335F87" w:rsidRPr="00F50FF8">
        <w:t xml:space="preserve"> include </w:t>
      </w:r>
      <w:r w:rsidR="00784305" w:rsidRPr="00F50FF8">
        <w:t>all people. This might involve, for example,</w:t>
      </w:r>
      <w:r w:rsidR="00335F87" w:rsidRPr="00F50FF8">
        <w:t xml:space="preserve"> slow</w:t>
      </w:r>
      <w:r w:rsidR="00784305" w:rsidRPr="00F50FF8">
        <w:t>ing</w:t>
      </w:r>
      <w:r w:rsidR="00335F87" w:rsidRPr="00F50FF8">
        <w:t xml:space="preserve"> the process down</w:t>
      </w:r>
      <w:r w:rsidR="00784305" w:rsidRPr="00F50FF8">
        <w:t xml:space="preserve"> and</w:t>
      </w:r>
      <w:r w:rsidR="00335F87" w:rsidRPr="00F50FF8">
        <w:t xml:space="preserve"> us</w:t>
      </w:r>
      <w:r w:rsidR="00784305" w:rsidRPr="00F50FF8">
        <w:t>ing</w:t>
      </w:r>
      <w:r w:rsidR="00335F87" w:rsidRPr="00F50FF8">
        <w:t xml:space="preserve"> an independent communication support person.  Communication</w:t>
      </w:r>
      <w:r w:rsidR="00784305" w:rsidRPr="00F50FF8">
        <w:t xml:space="preserve"> must be acknowledged</w:t>
      </w:r>
      <w:r w:rsidR="00335F87" w:rsidRPr="00F50FF8">
        <w:t xml:space="preserve"> </w:t>
      </w:r>
      <w:r w:rsidR="00784305" w:rsidRPr="00F50FF8">
        <w:t>a</w:t>
      </w:r>
      <w:r w:rsidR="00335F87" w:rsidRPr="00F50FF8">
        <w:t>s a two-way process.  An equal interaction would include making available supports the individual requires to ensure they can have their message clearly articulated to police, lawyers, and courts.</w:t>
      </w:r>
      <w:r w:rsidR="00D40924" w:rsidRPr="00F50FF8">
        <w:rPr>
          <w:rStyle w:val="FootnoteReference"/>
        </w:rPr>
        <w:footnoteReference w:id="139"/>
      </w:r>
      <w:r w:rsidR="00335F87" w:rsidRPr="00F50FF8">
        <w:rPr>
          <w:rStyle w:val="FootnoteReference"/>
        </w:rPr>
        <w:t xml:space="preserve">  </w:t>
      </w:r>
    </w:p>
    <w:p w14:paraId="49F06C11" w14:textId="77777777" w:rsidR="00335F87" w:rsidRPr="00F50FF8" w:rsidRDefault="0015615D" w:rsidP="00F50FF8">
      <w:pPr>
        <w:pStyle w:val="ListParagraph"/>
        <w:numPr>
          <w:ilvl w:val="0"/>
          <w:numId w:val="26"/>
        </w:numPr>
      </w:pPr>
      <w:r w:rsidRPr="00F50FF8">
        <w:t>A</w:t>
      </w:r>
      <w:r w:rsidR="00335F87" w:rsidRPr="00F50FF8">
        <w:t xml:space="preserve">lternative methods of interviewing </w:t>
      </w:r>
      <w:r w:rsidRPr="00F50FF8">
        <w:t xml:space="preserve">should be </w:t>
      </w:r>
      <w:r w:rsidR="00193E1C" w:rsidRPr="00F50FF8">
        <w:t>established</w:t>
      </w:r>
      <w:r w:rsidRPr="00F50FF8">
        <w:t xml:space="preserve"> </w:t>
      </w:r>
      <w:r w:rsidR="00335F87" w:rsidRPr="00F50FF8">
        <w:t>to accommodate various disabilities, especially communication and cognitive impairments.</w:t>
      </w:r>
    </w:p>
    <w:p w14:paraId="276EA982" w14:textId="5678EB41" w:rsidR="00335F87" w:rsidRPr="00F50FF8" w:rsidRDefault="00763E8A" w:rsidP="00F50FF8">
      <w:pPr>
        <w:pStyle w:val="ListParagraph"/>
        <w:numPr>
          <w:ilvl w:val="0"/>
          <w:numId w:val="26"/>
        </w:numPr>
      </w:pPr>
      <w:r w:rsidRPr="00F50FF8">
        <w:t>A</w:t>
      </w:r>
      <w:r w:rsidR="00335F87" w:rsidRPr="00F50FF8">
        <w:t>vailability of well-trained communication partners</w:t>
      </w:r>
      <w:r w:rsidRPr="00F50FF8">
        <w:t xml:space="preserve"> must be increased</w:t>
      </w:r>
      <w:r w:rsidR="00335F87" w:rsidRPr="00F50FF8">
        <w:t>. People with hearing impairment</w:t>
      </w:r>
      <w:r w:rsidR="009A0AD6" w:rsidRPr="00F50FF8">
        <w:t xml:space="preserve"> </w:t>
      </w:r>
      <w:r w:rsidR="00F83BBB">
        <w:t xml:space="preserve">and </w:t>
      </w:r>
      <w:r w:rsidR="00335F87" w:rsidRPr="00F50FF8">
        <w:t>communication impai</w:t>
      </w:r>
      <w:r w:rsidR="009A0AD6" w:rsidRPr="00F50FF8">
        <w:t>r</w:t>
      </w:r>
      <w:r w:rsidR="00335F87" w:rsidRPr="00F50FF8">
        <w:t xml:space="preserve">ments </w:t>
      </w:r>
      <w:r w:rsidR="00F83BBB">
        <w:t xml:space="preserve">should be able to choose their interpreaters and/or </w:t>
      </w:r>
      <w:r w:rsidR="00335F87" w:rsidRPr="00F50FF8">
        <w:t xml:space="preserve">communication partners. </w:t>
      </w:r>
    </w:p>
    <w:p w14:paraId="5B69B831" w14:textId="77777777" w:rsidR="003C1D63" w:rsidRPr="00F50FF8" w:rsidRDefault="00F64684" w:rsidP="00F50FF8">
      <w:pPr>
        <w:pStyle w:val="ListParagraph"/>
        <w:numPr>
          <w:ilvl w:val="0"/>
          <w:numId w:val="26"/>
        </w:numPr>
      </w:pPr>
      <w:r w:rsidRPr="00F50FF8">
        <w:t>E</w:t>
      </w:r>
      <w:r w:rsidR="00335F87" w:rsidRPr="00F50FF8">
        <w:t>xtra time for hearings</w:t>
      </w:r>
      <w:r w:rsidRPr="00F50FF8">
        <w:t xml:space="preserve"> should be allowed where required.</w:t>
      </w:r>
    </w:p>
    <w:p w14:paraId="01CC1316" w14:textId="77777777" w:rsidR="003C1D63" w:rsidRPr="00F50FF8" w:rsidRDefault="003C1D63" w:rsidP="00F50FF8">
      <w:pPr>
        <w:pStyle w:val="ListParagraph"/>
        <w:numPr>
          <w:ilvl w:val="0"/>
          <w:numId w:val="26"/>
        </w:numPr>
      </w:pPr>
      <w:r w:rsidRPr="00F50FF8">
        <w:t>In the particular case of New Zea</w:t>
      </w:r>
      <w:r w:rsidR="0048249D" w:rsidRPr="00F50FF8">
        <w:t>land, the following is required:</w:t>
      </w:r>
    </w:p>
    <w:p w14:paraId="0D04D9F5" w14:textId="56E9A22A" w:rsidR="003C1D63" w:rsidRPr="00F50FF8" w:rsidRDefault="00F50FF8" w:rsidP="00F50FF8">
      <w:pPr>
        <w:pStyle w:val="ListParagraph"/>
        <w:numPr>
          <w:ilvl w:val="1"/>
          <w:numId w:val="26"/>
        </w:numPr>
      </w:pPr>
      <w:r>
        <w:t>I</w:t>
      </w:r>
      <w:r w:rsidR="003C1D63" w:rsidRPr="00F50FF8">
        <w:t>ncreased resources for supported decision-making, and better processes for providing support (including sign language interpretation) for making complaints, should be provided</w:t>
      </w:r>
      <w:r>
        <w:t>.</w:t>
      </w:r>
      <w:r w:rsidR="003C1D63" w:rsidRPr="00F50FF8">
        <w:rPr>
          <w:rStyle w:val="FootnoteReference"/>
        </w:rPr>
        <w:footnoteReference w:id="140"/>
      </w:r>
      <w:r w:rsidR="003C1D63" w:rsidRPr="00F50FF8">
        <w:t xml:space="preserve"> </w:t>
      </w:r>
    </w:p>
    <w:p w14:paraId="0E2A50DE" w14:textId="7E75E301" w:rsidR="003C1D63" w:rsidRPr="00F50FF8" w:rsidRDefault="00397153" w:rsidP="00F50FF8">
      <w:pPr>
        <w:pStyle w:val="ListParagraph"/>
        <w:numPr>
          <w:ilvl w:val="1"/>
          <w:numId w:val="26"/>
        </w:numPr>
      </w:pPr>
      <w:r>
        <w:t>‘Disability Action Plans’</w:t>
      </w:r>
      <w:r w:rsidR="003C1D63" w:rsidRPr="00F50FF8">
        <w:t xml:space="preserve"> must be </w:t>
      </w:r>
      <w:r w:rsidR="0048249D" w:rsidRPr="00F50FF8">
        <w:t xml:space="preserve">developed </w:t>
      </w:r>
      <w:r w:rsidR="003C1D63" w:rsidRPr="00F50FF8">
        <w:t xml:space="preserve">in all community services to ensure people with </w:t>
      </w:r>
      <w:r w:rsidR="00700B63" w:rsidRPr="00F50FF8">
        <w:t>disability</w:t>
      </w:r>
      <w:r w:rsidR="003C1D63" w:rsidRPr="00F50FF8">
        <w:t xml:space="preserve"> can access them</w:t>
      </w:r>
      <w:r w:rsidR="00F50FF8">
        <w:t>.</w:t>
      </w:r>
    </w:p>
    <w:p w14:paraId="086D1C59" w14:textId="77777777" w:rsidR="003C1D63" w:rsidRPr="00F50FF8" w:rsidRDefault="0048249D" w:rsidP="00F50FF8">
      <w:pPr>
        <w:pStyle w:val="ListParagraph"/>
        <w:numPr>
          <w:ilvl w:val="1"/>
          <w:numId w:val="26"/>
        </w:numPr>
      </w:pPr>
      <w:r w:rsidRPr="00F50FF8">
        <w:t xml:space="preserve">The </w:t>
      </w:r>
      <w:r w:rsidRPr="00F50FF8">
        <w:rPr>
          <w:i/>
        </w:rPr>
        <w:t>Mental Health Act</w:t>
      </w:r>
      <w:r w:rsidRPr="00F50FF8">
        <w:t xml:space="preserve">, </w:t>
      </w:r>
      <w:r w:rsidR="003C1D63" w:rsidRPr="00F50FF8">
        <w:t>guardianship and property laws should be reviewed to ensure they are consistent with the CRPD.</w:t>
      </w:r>
    </w:p>
    <w:p w14:paraId="5CE54667" w14:textId="77777777" w:rsidR="00335F87" w:rsidRPr="0048249D" w:rsidRDefault="00335F87" w:rsidP="00396190"/>
    <w:p w14:paraId="62CACB39" w14:textId="77777777" w:rsidR="00193E1C" w:rsidRDefault="00193E1C" w:rsidP="00396190">
      <w:pPr>
        <w:rPr>
          <w:rFonts w:asciiTheme="majorHAnsi" w:eastAsiaTheme="majorEastAsia" w:hAnsiTheme="majorHAnsi" w:cstheme="majorBidi"/>
          <w:color w:val="365F91" w:themeColor="accent1" w:themeShade="BF"/>
          <w:sz w:val="32"/>
          <w:szCs w:val="32"/>
        </w:rPr>
      </w:pPr>
      <w:r>
        <w:br w:type="page"/>
      </w:r>
    </w:p>
    <w:p w14:paraId="18E33E26" w14:textId="77777777" w:rsidR="002D411C" w:rsidRPr="009F2FE8" w:rsidRDefault="004D552D" w:rsidP="00396190">
      <w:pPr>
        <w:pStyle w:val="Heading1"/>
      </w:pPr>
      <w:bookmarkStart w:id="66" w:name="_Toc514751856"/>
      <w:r w:rsidRPr="009F2FE8">
        <w:lastRenderedPageBreak/>
        <w:t>Conclusion</w:t>
      </w:r>
      <w:bookmarkEnd w:id="66"/>
    </w:p>
    <w:p w14:paraId="3E82A8FB" w14:textId="6B2EC77F" w:rsidR="00193E1C" w:rsidRPr="00AE00DB" w:rsidRDefault="00193E1C" w:rsidP="00396190">
      <w:r w:rsidRPr="00AE00DB">
        <w:t>The literature review identified some areas of recent research growth in access to justice for people with disability</w:t>
      </w:r>
      <w:r w:rsidR="00F1245B" w:rsidRPr="00AE00DB">
        <w:t xml:space="preserve">, </w:t>
      </w:r>
      <w:r w:rsidRPr="00AE00DB">
        <w:t xml:space="preserve">such as </w:t>
      </w:r>
      <w:r w:rsidR="00397153">
        <w:t>Aboriginal and Torres Strait Islander</w:t>
      </w:r>
      <w:r w:rsidRPr="00AE00DB">
        <w:t xml:space="preserve"> people with disability</w:t>
      </w:r>
      <w:r w:rsidR="00F1245B" w:rsidRPr="00AE00DB">
        <w:t xml:space="preserve">, </w:t>
      </w:r>
      <w:r w:rsidRPr="00AE00DB">
        <w:t xml:space="preserve">the criminal justice system and women with disability experiencing violence. However, it also identified significant gaps in </w:t>
      </w:r>
      <w:r w:rsidR="00F1245B" w:rsidRPr="00AE00DB">
        <w:t xml:space="preserve">the </w:t>
      </w:r>
      <w:r w:rsidR="0062489A" w:rsidRPr="00AE00DB">
        <w:t>recent</w:t>
      </w:r>
      <w:r w:rsidR="00F1245B" w:rsidRPr="00AE00DB">
        <w:t xml:space="preserve"> </w:t>
      </w:r>
      <w:r w:rsidRPr="00AE00DB">
        <w:t>research</w:t>
      </w:r>
      <w:r w:rsidR="00F1245B" w:rsidRPr="00AE00DB">
        <w:t>, including the following</w:t>
      </w:r>
      <w:r w:rsidRPr="00AE00DB">
        <w:t>:</w:t>
      </w:r>
    </w:p>
    <w:p w14:paraId="5D9C4FFD" w14:textId="5D8CC537" w:rsidR="00193E1C" w:rsidRPr="00AE00DB" w:rsidRDefault="00DE00FF" w:rsidP="00396190">
      <w:pPr>
        <w:pStyle w:val="ListParagraph"/>
        <w:numPr>
          <w:ilvl w:val="0"/>
          <w:numId w:val="9"/>
        </w:numPr>
      </w:pPr>
      <w:r w:rsidRPr="00AE00DB">
        <w:t>a</w:t>
      </w:r>
      <w:r w:rsidR="00F1245B" w:rsidRPr="00AE00DB">
        <w:t xml:space="preserve"> lack of a</w:t>
      </w:r>
      <w:r w:rsidR="00193E1C" w:rsidRPr="00AE00DB">
        <w:t xml:space="preserve">pplication of the </w:t>
      </w:r>
      <w:r w:rsidR="00397153">
        <w:t>principle</w:t>
      </w:r>
      <w:r w:rsidR="00193E1C" w:rsidRPr="00AE00DB">
        <w:t xml:space="preserve"> of universal legal capacity; </w:t>
      </w:r>
    </w:p>
    <w:p w14:paraId="50B57566" w14:textId="14706578" w:rsidR="001A26CE" w:rsidRPr="00AE00DB" w:rsidRDefault="00DE00FF" w:rsidP="00396190">
      <w:pPr>
        <w:pStyle w:val="ListParagraph"/>
        <w:numPr>
          <w:ilvl w:val="0"/>
          <w:numId w:val="9"/>
        </w:numPr>
      </w:pPr>
      <w:r w:rsidRPr="00AE00DB">
        <w:t>b</w:t>
      </w:r>
      <w:r w:rsidR="00193E1C" w:rsidRPr="00AE00DB">
        <w:t>arriers facing women with disability in accessing justice for issues beyond violence</w:t>
      </w:r>
      <w:r w:rsidR="001D69F3" w:rsidRPr="00AE00DB">
        <w:t>;</w:t>
      </w:r>
    </w:p>
    <w:p w14:paraId="5C65B7C0" w14:textId="70A74168" w:rsidR="00193E1C" w:rsidRPr="00AE00DB" w:rsidRDefault="00DE00FF" w:rsidP="00396190">
      <w:pPr>
        <w:pStyle w:val="ListParagraph"/>
        <w:numPr>
          <w:ilvl w:val="0"/>
          <w:numId w:val="9"/>
        </w:numPr>
      </w:pPr>
      <w:r w:rsidRPr="00AE00DB">
        <w:t>a</w:t>
      </w:r>
      <w:r w:rsidR="00193E1C" w:rsidRPr="00AE00DB">
        <w:t xml:space="preserve">ccess to justice for people </w:t>
      </w:r>
      <w:r w:rsidR="00397153">
        <w:t xml:space="preserve">with disability </w:t>
      </w:r>
      <w:r w:rsidR="00193E1C" w:rsidRPr="00AE00DB">
        <w:t>living in institutional settings</w:t>
      </w:r>
      <w:r w:rsidR="001D69F3" w:rsidRPr="00AE00DB">
        <w:t>;</w:t>
      </w:r>
    </w:p>
    <w:p w14:paraId="45471798" w14:textId="6660F44D" w:rsidR="00193E1C" w:rsidRPr="00AE00DB" w:rsidRDefault="00DE00FF" w:rsidP="00396190">
      <w:pPr>
        <w:pStyle w:val="ListParagraph"/>
        <w:numPr>
          <w:ilvl w:val="0"/>
          <w:numId w:val="9"/>
        </w:numPr>
      </w:pPr>
      <w:r w:rsidRPr="00AE00DB">
        <w:t>a</w:t>
      </w:r>
      <w:r w:rsidR="00193E1C" w:rsidRPr="00AE00DB">
        <w:t>ccess to justice for people with disability in rural and regional settings</w:t>
      </w:r>
      <w:r w:rsidR="001D69F3" w:rsidRPr="00AE00DB">
        <w:t>;</w:t>
      </w:r>
    </w:p>
    <w:p w14:paraId="5360E9B3" w14:textId="3089258F" w:rsidR="00193E1C" w:rsidRPr="00AE00DB" w:rsidRDefault="00DE00FF" w:rsidP="00396190">
      <w:pPr>
        <w:pStyle w:val="ListParagraph"/>
        <w:numPr>
          <w:ilvl w:val="0"/>
          <w:numId w:val="9"/>
        </w:numPr>
      </w:pPr>
      <w:r w:rsidRPr="00AE00DB">
        <w:t>c</w:t>
      </w:r>
      <w:r w:rsidR="001D69F3" w:rsidRPr="00AE00DB">
        <w:t xml:space="preserve">ivil and administrative justice procedures and the inclusion of people with disability; and </w:t>
      </w:r>
    </w:p>
    <w:p w14:paraId="47F25CCE" w14:textId="62B12F13" w:rsidR="00193E1C" w:rsidRPr="00AE00DB" w:rsidRDefault="00DE00FF" w:rsidP="00396190">
      <w:pPr>
        <w:pStyle w:val="ListParagraph"/>
        <w:numPr>
          <w:ilvl w:val="0"/>
          <w:numId w:val="9"/>
        </w:numPr>
      </w:pPr>
      <w:r w:rsidRPr="00AE00DB">
        <w:t>b</w:t>
      </w:r>
      <w:r w:rsidR="001D69F3" w:rsidRPr="00AE00DB">
        <w:t>arriers facing mig</w:t>
      </w:r>
      <w:r w:rsidR="00397153">
        <w:t>rants, immigrant, refugees, and</w:t>
      </w:r>
      <w:r w:rsidR="001D69F3" w:rsidRPr="00AE00DB">
        <w:t xml:space="preserve"> people with disability</w:t>
      </w:r>
      <w:r w:rsidR="00397153">
        <w:t xml:space="preserve"> from culturally and linguistically diverse backgrounds</w:t>
      </w:r>
      <w:r w:rsidR="001D69F3" w:rsidRPr="00AE00DB">
        <w:t xml:space="preserve">. </w:t>
      </w:r>
    </w:p>
    <w:p w14:paraId="08521E38" w14:textId="7428A91D" w:rsidR="0062489A" w:rsidRPr="00AE00DB" w:rsidRDefault="001D69F3" w:rsidP="00396190">
      <w:r w:rsidRPr="00AE00DB">
        <w:t>This list is by no means exhaustive</w:t>
      </w:r>
      <w:r w:rsidR="001D69B9" w:rsidRPr="00AE00DB">
        <w:t xml:space="preserve"> </w:t>
      </w:r>
      <w:r w:rsidR="00F1245B" w:rsidRPr="00AE00DB">
        <w:t xml:space="preserve">and provides </w:t>
      </w:r>
      <w:r w:rsidRPr="00AE00DB">
        <w:t xml:space="preserve">only a small window into the vast research needs </w:t>
      </w:r>
      <w:r w:rsidR="001D69B9" w:rsidRPr="00AE00DB">
        <w:t>to secure access to justice for people with disability</w:t>
      </w:r>
      <w:r w:rsidRPr="00AE00DB">
        <w:t xml:space="preserve">. </w:t>
      </w:r>
    </w:p>
    <w:p w14:paraId="1E944AD1" w14:textId="34E6F4BD" w:rsidR="001D69F3" w:rsidRPr="00AE00DB" w:rsidRDefault="0062489A" w:rsidP="00396190">
      <w:r w:rsidRPr="00AE00DB">
        <w:t>Furthermore,</w:t>
      </w:r>
      <w:r w:rsidR="00F1245B" w:rsidRPr="00AE00DB">
        <w:t xml:space="preserve"> this </w:t>
      </w:r>
      <w:r w:rsidR="00491636">
        <w:t>review</w:t>
      </w:r>
      <w:r w:rsidR="00F1245B" w:rsidRPr="00AE00DB">
        <w:t xml:space="preserve"> has highlighted the importance of a system-wide reform to provide overall access to justice for people with disability</w:t>
      </w:r>
      <w:r w:rsidRPr="00AE00DB">
        <w:t xml:space="preserve"> and address the over</w:t>
      </w:r>
      <w:r w:rsidR="00397153">
        <w:t>-</w:t>
      </w:r>
      <w:r w:rsidRPr="00AE00DB">
        <w:t>representation of people with disability in the justice system</w:t>
      </w:r>
      <w:r w:rsidR="00F1245B" w:rsidRPr="00AE00DB">
        <w:t xml:space="preserve">. Therefore, future research will also need to address the failures of the justice system </w:t>
      </w:r>
      <w:r w:rsidRPr="00AE00DB">
        <w:t>in a holistic sense</w:t>
      </w:r>
      <w:r w:rsidR="00F1245B" w:rsidRPr="00AE00DB">
        <w:t>, in addition to the particular issues identified.</w:t>
      </w:r>
    </w:p>
    <w:p w14:paraId="372CFD7A" w14:textId="77777777" w:rsidR="00C65FFC" w:rsidRPr="00AE00DB" w:rsidRDefault="0048249D" w:rsidP="00396190">
      <w:r w:rsidRPr="00AE00DB">
        <w:t xml:space="preserve">The consultation </w:t>
      </w:r>
      <w:r w:rsidR="00C65FFC" w:rsidRPr="00AE00DB">
        <w:t>touched on many of the research and practice gaps highlighted in the literature review. These include:</w:t>
      </w:r>
    </w:p>
    <w:p w14:paraId="5FAC9F86" w14:textId="4F04BDC6" w:rsidR="00C65FFC" w:rsidRPr="00C658A7" w:rsidRDefault="00DE00FF" w:rsidP="00C658A7">
      <w:pPr>
        <w:pStyle w:val="ListParagraph"/>
      </w:pPr>
      <w:r w:rsidRPr="00C658A7">
        <w:t>i</w:t>
      </w:r>
      <w:r w:rsidR="00C65FFC" w:rsidRPr="00C658A7">
        <w:t>nsufficient recognition of legal capacity in legislation</w:t>
      </w:r>
      <w:r w:rsidR="006A39D7" w:rsidRPr="00C658A7">
        <w:t xml:space="preserve"> (especially mental health legislation)</w:t>
      </w:r>
      <w:r w:rsidR="00C65FFC" w:rsidRPr="00C658A7">
        <w:t xml:space="preserve"> and practice;</w:t>
      </w:r>
    </w:p>
    <w:p w14:paraId="7C70BB7B" w14:textId="03F13C09" w:rsidR="00C65FFC" w:rsidRPr="00C658A7" w:rsidRDefault="00DE00FF" w:rsidP="00C658A7">
      <w:pPr>
        <w:pStyle w:val="ListParagraph"/>
      </w:pPr>
      <w:r w:rsidRPr="00C658A7">
        <w:t>i</w:t>
      </w:r>
      <w:r w:rsidR="00C65FFC" w:rsidRPr="00C658A7">
        <w:t>naccessibility of legal processes in the criminal justice system, including a lack of recognition of alternative forms of communication and a failure to provide education and support;</w:t>
      </w:r>
    </w:p>
    <w:p w14:paraId="0BD55BCB" w14:textId="5898D659" w:rsidR="00C65FFC" w:rsidRPr="00C658A7" w:rsidRDefault="00DE00FF" w:rsidP="00C658A7">
      <w:pPr>
        <w:pStyle w:val="ListParagraph"/>
      </w:pPr>
      <w:r w:rsidRPr="00C658A7">
        <w:t>l</w:t>
      </w:r>
      <w:r w:rsidR="00C65FFC" w:rsidRPr="00C658A7">
        <w:t xml:space="preserve">ack of awareness and adequate responses to the specific experiences and requirements of Aboriginal and Torres Strait Islander people with </w:t>
      </w:r>
      <w:r w:rsidR="00700B63" w:rsidRPr="00C658A7">
        <w:t>disability</w:t>
      </w:r>
      <w:r w:rsidR="00C65FFC" w:rsidRPr="00C658A7">
        <w:t>;</w:t>
      </w:r>
      <w:r w:rsidRPr="00C658A7">
        <w:t xml:space="preserve"> and</w:t>
      </w:r>
    </w:p>
    <w:p w14:paraId="132F22D6" w14:textId="5DC2B390" w:rsidR="00C65FFC" w:rsidRPr="00C658A7" w:rsidRDefault="00DE00FF" w:rsidP="00C658A7">
      <w:pPr>
        <w:pStyle w:val="ListParagraph"/>
      </w:pPr>
      <w:r w:rsidRPr="00C658A7">
        <w:t xml:space="preserve">a </w:t>
      </w:r>
      <w:r w:rsidR="00C65FFC" w:rsidRPr="00C658A7">
        <w:t>failure to implement the recommendations of prior research and reviews</w:t>
      </w:r>
      <w:r w:rsidR="00B50DAA">
        <w:t>.</w:t>
      </w:r>
    </w:p>
    <w:p w14:paraId="5AB80D3F" w14:textId="72CAAE3B" w:rsidR="00F76EEA" w:rsidRDefault="007A1C7E" w:rsidP="00396190">
      <w:r>
        <w:t>The</w:t>
      </w:r>
      <w:r w:rsidR="003C5E22">
        <w:t xml:space="preserve"> literature review and the</w:t>
      </w:r>
      <w:r>
        <w:t xml:space="preserve"> consultation </w:t>
      </w:r>
      <w:r w:rsidR="003C5E22">
        <w:t xml:space="preserve">with DPOs </w:t>
      </w:r>
      <w:r>
        <w:t>also raised the higher-level issue</w:t>
      </w:r>
      <w:r w:rsidR="00F1245B">
        <w:t>s</w:t>
      </w:r>
      <w:r>
        <w:t xml:space="preserve"> of the design and conduct of research, emphasising the need to have people with disability involved as collaborators and partners on access to justice research. This has implications beyond the conduct of specific research projects</w:t>
      </w:r>
      <w:r w:rsidR="001748E6">
        <w:t>, and</w:t>
      </w:r>
      <w:r>
        <w:t xml:space="preserve"> beyond the issue of access to justice narrowly defined</w:t>
      </w:r>
      <w:r w:rsidR="001748E6">
        <w:t xml:space="preserve">. </w:t>
      </w:r>
      <w:r w:rsidR="00866F02">
        <w:t>Improvements</w:t>
      </w:r>
      <w:r>
        <w:t xml:space="preserve"> to access to education and employment</w:t>
      </w:r>
      <w:r w:rsidR="001748E6">
        <w:t xml:space="preserve"> are </w:t>
      </w:r>
      <w:r w:rsidR="00866F02">
        <w:t xml:space="preserve">also </w:t>
      </w:r>
      <w:r w:rsidR="001748E6">
        <w:t>essential</w:t>
      </w:r>
      <w:r>
        <w:t xml:space="preserve"> to ensure that people with disability can</w:t>
      </w:r>
      <w:r w:rsidR="00B631B5">
        <w:t xml:space="preserve"> become researcher</w:t>
      </w:r>
      <w:r w:rsidR="00866F02">
        <w:t>s and lead changes to the law, policy and practice</w:t>
      </w:r>
      <w:r w:rsidR="001D69B9">
        <w:t>.</w:t>
      </w:r>
    </w:p>
    <w:p w14:paraId="3C98AB82" w14:textId="77777777" w:rsidR="00E356C1" w:rsidRDefault="00E356C1" w:rsidP="00396190">
      <w:pPr>
        <w:sectPr w:rsidR="00E356C1" w:rsidSect="0054338A">
          <w:headerReference w:type="default" r:id="rId16"/>
          <w:footerReference w:type="even" r:id="rId17"/>
          <w:footerReference w:type="default" r:id="rId18"/>
          <w:footerReference w:type="first" r:id="rId19"/>
          <w:pgSz w:w="11900" w:h="16840"/>
          <w:pgMar w:top="1361" w:right="1474" w:bottom="1361" w:left="1474" w:header="709" w:footer="709" w:gutter="0"/>
          <w:pgNumType w:start="1"/>
          <w:cols w:space="708"/>
          <w:titlePg/>
          <w:docGrid w:linePitch="360"/>
        </w:sectPr>
      </w:pPr>
    </w:p>
    <w:p w14:paraId="32425BCE" w14:textId="1E4CF812" w:rsidR="008E4E67" w:rsidRDefault="008E4E67" w:rsidP="008E4E67">
      <w:pPr>
        <w:pStyle w:val="Heading1"/>
      </w:pPr>
      <w:bookmarkStart w:id="67" w:name="_Toc514751857"/>
      <w:r>
        <w:lastRenderedPageBreak/>
        <w:t>Bibliography</w:t>
      </w:r>
      <w:bookmarkEnd w:id="67"/>
    </w:p>
    <w:p w14:paraId="54EFE40C" w14:textId="134FB5BA" w:rsidR="00C26149" w:rsidRDefault="00C26149" w:rsidP="00C26149">
      <w:pPr>
        <w:pStyle w:val="Heading2"/>
      </w:pPr>
      <w:bookmarkStart w:id="68" w:name="_Toc514751858"/>
      <w:r>
        <w:t>Websites</w:t>
      </w:r>
      <w:bookmarkEnd w:id="68"/>
    </w:p>
    <w:p w14:paraId="6E9AC3C9" w14:textId="77777777" w:rsidR="000F3C93" w:rsidRPr="005158D0" w:rsidRDefault="000F3C93" w:rsidP="000F3C93">
      <w:pPr>
        <w:pStyle w:val="Bibliography"/>
        <w:rPr>
          <w:lang w:val="en-US"/>
        </w:rPr>
      </w:pPr>
      <w:r w:rsidRPr="006F03BE">
        <w:t xml:space="preserve">ACT Disability, Aged and Carer Advocacy Service (ADACAS), </w:t>
      </w:r>
      <w:hyperlink r:id="rId20" w:history="1">
        <w:r w:rsidRPr="006F03BE">
          <w:rPr>
            <w:rStyle w:val="Hyperlink"/>
            <w:i/>
          </w:rPr>
          <w:t>Supported Decision Making</w:t>
        </w:r>
      </w:hyperlink>
      <w:r w:rsidRPr="006F03BE">
        <w:rPr>
          <w:i/>
        </w:rPr>
        <w:t xml:space="preserve"> </w:t>
      </w:r>
      <w:r w:rsidRPr="006F03BE">
        <w:t>&lt;</w:t>
      </w:r>
      <w:hyperlink r:id="rId21" w:history="1">
        <w:r w:rsidRPr="006F03BE">
          <w:rPr>
            <w:rStyle w:val="Hyperlink"/>
            <w:rFonts w:cs="Times New Roman"/>
            <w:color w:val="auto"/>
            <w:u w:val="none"/>
          </w:rPr>
          <w:t>http://www.adacas.org.au/supported-decision-making/supported-decision-making/</w:t>
        </w:r>
      </w:hyperlink>
      <w:r w:rsidRPr="006F03BE">
        <w:rPr>
          <w:rStyle w:val="Hyperlink"/>
          <w:rFonts w:cs="Times New Roman"/>
          <w:color w:val="auto"/>
          <w:u w:val="none"/>
        </w:rPr>
        <w:t>&gt;</w:t>
      </w:r>
      <w:r w:rsidRPr="006F03BE">
        <w:t>.</w:t>
      </w:r>
    </w:p>
    <w:p w14:paraId="68C51E43" w14:textId="77777777" w:rsidR="000F3C93" w:rsidRPr="005158D0" w:rsidRDefault="000F3C93" w:rsidP="000F3C93">
      <w:pPr>
        <w:pStyle w:val="Bibliography"/>
        <w:rPr>
          <w:lang w:val="en-US"/>
        </w:rPr>
      </w:pPr>
      <w:r w:rsidRPr="006F03BE">
        <w:t xml:space="preserve">Ageing, Disability and Home Care, NSW Government, </w:t>
      </w:r>
      <w:hyperlink r:id="rId22" w:history="1">
        <w:r w:rsidRPr="006F03BE">
          <w:rPr>
            <w:rStyle w:val="Hyperlink"/>
            <w:i/>
          </w:rPr>
          <w:t>Supported Decision Making</w:t>
        </w:r>
      </w:hyperlink>
      <w:r w:rsidRPr="006F03BE">
        <w:rPr>
          <w:i/>
        </w:rPr>
        <w:t xml:space="preserve"> </w:t>
      </w:r>
      <w:r w:rsidRPr="006F03BE">
        <w:t>&lt;</w:t>
      </w:r>
      <w:hyperlink r:id="rId23" w:history="1">
        <w:r w:rsidRPr="006F03BE">
          <w:rPr>
            <w:rStyle w:val="Hyperlink"/>
            <w:rFonts w:cs="Times New Roman"/>
            <w:color w:val="auto"/>
            <w:u w:val="none"/>
          </w:rPr>
          <w:t>https://www.adhc.nsw.gov.au/individuals/inclusion_and_participation/supported-decision-making</w:t>
        </w:r>
      </w:hyperlink>
      <w:r w:rsidRPr="006F03BE">
        <w:rPr>
          <w:rStyle w:val="Hyperlink"/>
          <w:rFonts w:cs="Times New Roman"/>
          <w:color w:val="auto"/>
          <w:u w:val="none"/>
        </w:rPr>
        <w:t>&gt;</w:t>
      </w:r>
      <w:r w:rsidRPr="006F03BE">
        <w:t>.</w:t>
      </w:r>
    </w:p>
    <w:p w14:paraId="7A8917E6" w14:textId="77777777" w:rsidR="00053354" w:rsidRDefault="002A6807" w:rsidP="000F3C93">
      <w:pPr>
        <w:pStyle w:val="Bibliography"/>
      </w:pPr>
      <w:hyperlink r:id="rId24" w:history="1">
        <w:r w:rsidR="00053354" w:rsidRPr="00687482">
          <w:rPr>
            <w:rStyle w:val="Hyperlink"/>
          </w:rPr>
          <w:t>Bulgarian supported decision-making project</w:t>
        </w:r>
      </w:hyperlink>
      <w:r w:rsidR="00053354" w:rsidRPr="00687482">
        <w:t xml:space="preserve"> &lt;</w:t>
      </w:r>
      <w:hyperlink r:id="rId25" w:history="1">
        <w:r w:rsidR="00053354" w:rsidRPr="00687482">
          <w:rPr>
            <w:rStyle w:val="Hyperlink"/>
            <w:rFonts w:cs="Times New Roman"/>
            <w:color w:val="auto"/>
            <w:u w:val="none"/>
            <w:lang w:val="en-US"/>
          </w:rPr>
          <w:t>http://zelda.org.lv/en/news/supported-decision-making-bringing-change-to-lives-of-people-with-mental-disabilities-2427</w:t>
        </w:r>
      </w:hyperlink>
      <w:r w:rsidR="00053354" w:rsidRPr="00687482">
        <w:t>&gt;.</w:t>
      </w:r>
    </w:p>
    <w:p w14:paraId="557AF86C" w14:textId="372D63BF" w:rsidR="000F3C93" w:rsidRDefault="002A6807" w:rsidP="000F3C93">
      <w:pPr>
        <w:pStyle w:val="Bibliography"/>
      </w:pPr>
      <w:hyperlink r:id="rId26" w:history="1">
        <w:r w:rsidR="000F3C93" w:rsidRPr="004532E8">
          <w:rPr>
            <w:rStyle w:val="Hyperlink"/>
          </w:rPr>
          <w:t>Choice, Control, and the NDIS Project</w:t>
        </w:r>
      </w:hyperlink>
      <w:r w:rsidR="000F3C93" w:rsidRPr="004532E8">
        <w:t xml:space="preserve"> &lt;</w:t>
      </w:r>
      <w:hyperlink r:id="rId27" w:history="1">
        <w:r w:rsidR="000F3C93" w:rsidRPr="004532E8">
          <w:rPr>
            <w:rStyle w:val="Hyperlink"/>
            <w:rFonts w:cs="Times New Roman"/>
            <w:color w:val="auto"/>
            <w:u w:val="none"/>
            <w:lang w:val="en-US"/>
          </w:rPr>
          <w:t>http://socialequity.unimelb.edu.au/research/projects/disability-and-mental-health/choice,-control-and-the-ndis</w:t>
        </w:r>
      </w:hyperlink>
      <w:r w:rsidR="000F3C93" w:rsidRPr="004532E8">
        <w:rPr>
          <w:rStyle w:val="Hyperlink"/>
          <w:rFonts w:cs="Times New Roman"/>
          <w:color w:val="auto"/>
          <w:u w:val="none"/>
          <w:lang w:val="en-US"/>
        </w:rPr>
        <w:t>&gt;</w:t>
      </w:r>
      <w:r w:rsidR="000F3C93">
        <w:t>.</w:t>
      </w:r>
    </w:p>
    <w:p w14:paraId="434B85C2" w14:textId="65B4274A" w:rsidR="00E356C1" w:rsidRDefault="002A6807" w:rsidP="000F3C93">
      <w:pPr>
        <w:pStyle w:val="Bibliography"/>
      </w:pPr>
      <w:hyperlink r:id="rId28" w:history="1">
        <w:r w:rsidR="00E356C1" w:rsidRPr="00053354">
          <w:rPr>
            <w:rStyle w:val="Hyperlink"/>
          </w:rPr>
          <w:t>Disability Access to Justice Consortium</w:t>
        </w:r>
      </w:hyperlink>
      <w:r w:rsidR="00E356C1">
        <w:t xml:space="preserve"> &lt;http://research.unimelb.edu.au/hallmark-initiatives/disability-research-initiative/research/networks/access-to-justice-consortium&gt;.</w:t>
      </w:r>
    </w:p>
    <w:p w14:paraId="04659B60" w14:textId="19294488" w:rsidR="00053354" w:rsidRDefault="002A6807" w:rsidP="000F3C93">
      <w:pPr>
        <w:pStyle w:val="Bibliography"/>
      </w:pPr>
      <w:hyperlink r:id="rId29" w:history="1">
        <w:r w:rsidR="00053354" w:rsidRPr="00687482">
          <w:rPr>
            <w:rStyle w:val="Hyperlink"/>
          </w:rPr>
          <w:t xml:space="preserve">European Union funded </w:t>
        </w:r>
        <w:r w:rsidR="00053354" w:rsidRPr="00687482">
          <w:rPr>
            <w:rStyle w:val="Hyperlink"/>
            <w:i/>
          </w:rPr>
          <w:t>Person Project</w:t>
        </w:r>
      </w:hyperlink>
      <w:r w:rsidR="00053354" w:rsidRPr="00687482">
        <w:t xml:space="preserve">  &lt;</w:t>
      </w:r>
      <w:hyperlink r:id="rId30" w:history="1">
        <w:r w:rsidR="00053354" w:rsidRPr="00687482">
          <w:rPr>
            <w:rStyle w:val="Hyperlink"/>
            <w:rFonts w:cs="Times New Roman"/>
            <w:color w:val="auto"/>
            <w:u w:val="none"/>
            <w:lang w:val="en-US"/>
          </w:rPr>
          <w:t>http://www.eu-person.com/</w:t>
        </w:r>
      </w:hyperlink>
      <w:r w:rsidR="00053354">
        <w:t>&gt;.</w:t>
      </w:r>
    </w:p>
    <w:p w14:paraId="2F2A0908" w14:textId="7AA95484" w:rsidR="000D79AE" w:rsidRPr="000D79AE" w:rsidRDefault="000D79AE" w:rsidP="000D79AE">
      <w:pPr>
        <w:pStyle w:val="Bibliography"/>
      </w:pPr>
      <w:r w:rsidRPr="005158D0">
        <w:t xml:space="preserve">Melbourne Social Equity Institute, University of Melbourne, </w:t>
      </w:r>
      <w:hyperlink r:id="rId31" w:history="1">
        <w:r w:rsidRPr="0001784B">
          <w:rPr>
            <w:rStyle w:val="Hyperlink"/>
            <w:i/>
          </w:rPr>
          <w:t>Unfitness to Plead Project</w:t>
        </w:r>
      </w:hyperlink>
      <w:r w:rsidRPr="0001784B">
        <w:t xml:space="preserve"> &lt;</w:t>
      </w:r>
      <w:hyperlink r:id="rId32" w:history="1">
        <w:r w:rsidRPr="0001784B">
          <w:rPr>
            <w:rStyle w:val="Hyperlink"/>
            <w:rFonts w:cs="Times New Roman"/>
            <w:color w:val="auto"/>
            <w:u w:val="none"/>
          </w:rPr>
          <w:t>http://socialequity.unimelb.edu.au/research/projects/disability-and-mental-health/unfitness-to-plead</w:t>
        </w:r>
      </w:hyperlink>
      <w:r w:rsidRPr="0001784B">
        <w:rPr>
          <w:rStyle w:val="Hyperlink"/>
          <w:rFonts w:cs="Times New Roman"/>
          <w:color w:val="auto"/>
          <w:u w:val="none"/>
        </w:rPr>
        <w:t>&gt;</w:t>
      </w:r>
      <w:r>
        <w:t>.</w:t>
      </w:r>
    </w:p>
    <w:p w14:paraId="00367275" w14:textId="77777777" w:rsidR="00085848" w:rsidRDefault="002A6807" w:rsidP="00085848">
      <w:pPr>
        <w:pStyle w:val="Bibliography"/>
        <w:rPr>
          <w:rStyle w:val="Hyperlink"/>
          <w:rFonts w:cs="Times New Roman"/>
          <w:color w:val="auto"/>
          <w:u w:val="none"/>
        </w:rPr>
      </w:pPr>
      <w:hyperlink r:id="rId33" w:history="1">
        <w:r w:rsidR="00085848" w:rsidRPr="00635B53">
          <w:rPr>
            <w:rStyle w:val="Hyperlink"/>
          </w:rPr>
          <w:t>NMHC project</w:t>
        </w:r>
      </w:hyperlink>
      <w:r w:rsidR="00085848">
        <w:t xml:space="preserve"> </w:t>
      </w:r>
      <w:r w:rsidR="00085848" w:rsidRPr="00635B53">
        <w:t>&lt;</w:t>
      </w:r>
      <w:hyperlink r:id="rId34" w:history="1">
        <w:r w:rsidR="00085848" w:rsidRPr="00635B53">
          <w:rPr>
            <w:rStyle w:val="Hyperlink"/>
            <w:rFonts w:cs="Times New Roman"/>
            <w:color w:val="auto"/>
            <w:u w:val="none"/>
          </w:rPr>
          <w:t>http://socialequity.unimelb.edu.au/research/projects/disability-and-mental-health/National-seclusion-and-restraint-project</w:t>
        </w:r>
      </w:hyperlink>
      <w:r w:rsidR="00085848" w:rsidRPr="00635B53">
        <w:rPr>
          <w:rStyle w:val="Hyperlink"/>
          <w:rFonts w:cs="Times New Roman"/>
          <w:color w:val="auto"/>
          <w:u w:val="none"/>
        </w:rPr>
        <w:t>&gt;</w:t>
      </w:r>
      <w:r w:rsidR="00085848">
        <w:rPr>
          <w:rStyle w:val="Hyperlink"/>
          <w:rFonts w:cs="Times New Roman"/>
          <w:color w:val="auto"/>
          <w:u w:val="none"/>
        </w:rPr>
        <w:t>.</w:t>
      </w:r>
    </w:p>
    <w:p w14:paraId="07C01EBB" w14:textId="77777777" w:rsidR="00BA7B23" w:rsidRPr="005158D0" w:rsidRDefault="00BA7B23" w:rsidP="000F3C93">
      <w:pPr>
        <w:pStyle w:val="Bibliography"/>
        <w:rPr>
          <w:lang w:val="en-US"/>
        </w:rPr>
      </w:pPr>
      <w:r w:rsidRPr="0083141A">
        <w:t xml:space="preserve">Office of the Public Advocate (South Australia), </w:t>
      </w:r>
      <w:hyperlink r:id="rId35" w:history="1">
        <w:r w:rsidRPr="0083141A">
          <w:rPr>
            <w:rStyle w:val="Hyperlink"/>
            <w:i/>
          </w:rPr>
          <w:t>Supported Decision Making</w:t>
        </w:r>
      </w:hyperlink>
      <w:r w:rsidRPr="0083141A">
        <w:rPr>
          <w:i/>
        </w:rPr>
        <w:t xml:space="preserve"> </w:t>
      </w:r>
      <w:r w:rsidRPr="0083141A">
        <w:t>&lt;</w:t>
      </w:r>
      <w:hyperlink r:id="rId36" w:history="1">
        <w:r w:rsidRPr="0083141A">
          <w:rPr>
            <w:rStyle w:val="Hyperlink"/>
            <w:rFonts w:cs="Times New Roman"/>
            <w:color w:val="auto"/>
            <w:u w:val="none"/>
          </w:rPr>
          <w:t>http://www.opa.sa.gov.au/resources/supported_decision_making</w:t>
        </w:r>
      </w:hyperlink>
      <w:r w:rsidRPr="0083141A">
        <w:rPr>
          <w:rStyle w:val="Hyperlink"/>
          <w:rFonts w:cs="Times New Roman"/>
          <w:color w:val="auto"/>
          <w:u w:val="none"/>
        </w:rPr>
        <w:t>&gt;</w:t>
      </w:r>
      <w:r w:rsidRPr="0083141A">
        <w:t>.</w:t>
      </w:r>
    </w:p>
    <w:p w14:paraId="7067AC38" w14:textId="61BD8AAA" w:rsidR="00BA7B23" w:rsidRPr="005158D0" w:rsidRDefault="00BA7B23" w:rsidP="000F3C93">
      <w:pPr>
        <w:pStyle w:val="Bibliography"/>
        <w:rPr>
          <w:lang w:val="en-US"/>
        </w:rPr>
      </w:pPr>
      <w:r w:rsidRPr="0083141A">
        <w:t xml:space="preserve">Office of the Public Advocate (Victoria), </w:t>
      </w:r>
      <w:hyperlink r:id="rId37" w:history="1">
        <w:r w:rsidRPr="0083141A">
          <w:rPr>
            <w:rStyle w:val="Hyperlink"/>
            <w:i/>
          </w:rPr>
          <w:t>Supported Decision Making</w:t>
        </w:r>
      </w:hyperlink>
      <w:r w:rsidRPr="0083141A">
        <w:rPr>
          <w:i/>
        </w:rPr>
        <w:t xml:space="preserve"> </w:t>
      </w:r>
      <w:r w:rsidRPr="0083141A">
        <w:t>&lt;</w:t>
      </w:r>
      <w:hyperlink r:id="rId38" w:history="1">
        <w:r w:rsidRPr="0083141A">
          <w:rPr>
            <w:rStyle w:val="Hyperlink"/>
            <w:rFonts w:cs="Times New Roman"/>
            <w:color w:val="auto"/>
            <w:u w:val="none"/>
          </w:rPr>
          <w:t>http://www.publicadvocate.vic.gov.au/advocacy-research/supported-decision-making</w:t>
        </w:r>
      </w:hyperlink>
      <w:r w:rsidRPr="0083141A">
        <w:rPr>
          <w:rStyle w:val="Hyperlink"/>
          <w:rFonts w:cs="Times New Roman"/>
          <w:color w:val="auto"/>
          <w:u w:val="none"/>
        </w:rPr>
        <w:t>&gt;</w:t>
      </w:r>
      <w:r w:rsidRPr="0083141A">
        <w:t>.</w:t>
      </w:r>
    </w:p>
    <w:p w14:paraId="045BBFA8" w14:textId="77777777" w:rsidR="00085848" w:rsidRPr="005158D0" w:rsidRDefault="002A6807" w:rsidP="00085848">
      <w:pPr>
        <w:pStyle w:val="Bibliography"/>
      </w:pPr>
      <w:hyperlink r:id="rId39" w:history="1">
        <w:r w:rsidR="00085848">
          <w:rPr>
            <w:rStyle w:val="Hyperlink"/>
          </w:rPr>
          <w:t>R</w:t>
        </w:r>
        <w:r w:rsidR="00085848" w:rsidRPr="00635B53">
          <w:rPr>
            <w:rStyle w:val="Hyperlink"/>
          </w:rPr>
          <w:t>egulating the restraint of people with disabilities</w:t>
        </w:r>
      </w:hyperlink>
      <w:r w:rsidR="00085848">
        <w:t xml:space="preserve"> &lt;</w:t>
      </w:r>
      <w:hyperlink r:id="rId40" w:history="1">
        <w:r w:rsidR="00085848" w:rsidRPr="00635B53">
          <w:rPr>
            <w:rStyle w:val="Hyperlink"/>
            <w:rFonts w:cs="Times New Roman"/>
            <w:color w:val="auto"/>
            <w:u w:val="none"/>
          </w:rPr>
          <w:t>http://socialequity.unimelb.edu.au/research/projects/disability-and-mental-health/regulating-the-restraint-of-people-with-disabilities</w:t>
        </w:r>
      </w:hyperlink>
      <w:r w:rsidR="00085848" w:rsidRPr="00635B53">
        <w:rPr>
          <w:rStyle w:val="Hyperlink"/>
          <w:rFonts w:cs="Times New Roman"/>
          <w:color w:val="auto"/>
          <w:u w:val="none"/>
        </w:rPr>
        <w:t>&gt;</w:t>
      </w:r>
      <w:r w:rsidR="00085848" w:rsidRPr="00635B53">
        <w:t>.</w:t>
      </w:r>
    </w:p>
    <w:p w14:paraId="3ABF1BB1" w14:textId="77777777" w:rsidR="00412F00" w:rsidRDefault="002A6807" w:rsidP="00412F00">
      <w:pPr>
        <w:pStyle w:val="Bibliography"/>
      </w:pPr>
      <w:hyperlink r:id="rId41" w:history="1">
        <w:r w:rsidR="00412F00" w:rsidRPr="004E5522">
          <w:rPr>
            <w:rStyle w:val="Hyperlink"/>
          </w:rPr>
          <w:t>RMIT Centre for Innovative Justice Consultation paper on the Acquired Brain Injury in the Justice System project</w:t>
        </w:r>
      </w:hyperlink>
      <w:r w:rsidR="00412F00" w:rsidRPr="004E5522">
        <w:t xml:space="preserve"> at &lt;</w:t>
      </w:r>
      <w:hyperlink r:id="rId42" w:history="1">
        <w:r w:rsidR="00412F00" w:rsidRPr="004E5522">
          <w:rPr>
            <w:rStyle w:val="Hyperlink"/>
            <w:rFonts w:cs="Times New Roman"/>
            <w:color w:val="auto"/>
            <w:u w:val="none"/>
            <w:lang w:val="en-US"/>
          </w:rPr>
          <w:t>http://mams.rmit.edu.au/1079myx32meyz.pdf</w:t>
        </w:r>
      </w:hyperlink>
      <w:r w:rsidR="00412F00" w:rsidRPr="004E5522">
        <w:rPr>
          <w:rStyle w:val="Hyperlink"/>
          <w:rFonts w:cs="Times New Roman"/>
          <w:color w:val="auto"/>
          <w:u w:val="none"/>
          <w:lang w:val="en-US"/>
        </w:rPr>
        <w:t>&gt;</w:t>
      </w:r>
      <w:r w:rsidR="00412F00" w:rsidRPr="004E5522">
        <w:t xml:space="preserve"> </w:t>
      </w:r>
    </w:p>
    <w:p w14:paraId="26329831" w14:textId="77777777" w:rsidR="00222205" w:rsidRPr="005158D0" w:rsidRDefault="002A6807" w:rsidP="000F3C93">
      <w:pPr>
        <w:pStyle w:val="Bibliography"/>
      </w:pPr>
      <w:hyperlink r:id="rId43" w:history="1">
        <w:r w:rsidR="00222205" w:rsidRPr="004532E8">
          <w:rPr>
            <w:rStyle w:val="Hyperlink"/>
          </w:rPr>
          <w:t>Unfitness to Plead Project</w:t>
        </w:r>
      </w:hyperlink>
      <w:r w:rsidR="00222205" w:rsidRPr="004532E8">
        <w:t xml:space="preserve"> &lt;</w:t>
      </w:r>
      <w:hyperlink r:id="rId44" w:history="1">
        <w:r w:rsidR="00222205" w:rsidRPr="004532E8">
          <w:rPr>
            <w:rStyle w:val="Hyperlink"/>
            <w:rFonts w:cs="Times New Roman"/>
            <w:color w:val="auto"/>
            <w:u w:val="none"/>
            <w:lang w:val="en-US"/>
          </w:rPr>
          <w:t>http://socialequity.unimelb.edu.au/research/projects/disability-and-mental-health/unfitness-to-plead</w:t>
        </w:r>
      </w:hyperlink>
      <w:r w:rsidR="00222205" w:rsidRPr="004532E8">
        <w:rPr>
          <w:rStyle w:val="Hyperlink"/>
          <w:rFonts w:cs="Times New Roman"/>
          <w:color w:val="auto"/>
          <w:u w:val="none"/>
          <w:lang w:val="en-US"/>
        </w:rPr>
        <w:t>&gt;</w:t>
      </w:r>
      <w:r w:rsidR="00222205" w:rsidRPr="004532E8">
        <w:t>.</w:t>
      </w:r>
      <w:r w:rsidR="00222205" w:rsidRPr="005158D0">
        <w:t xml:space="preserve"> </w:t>
      </w:r>
    </w:p>
    <w:p w14:paraId="1B46A69E" w14:textId="77777777" w:rsidR="00085848" w:rsidRPr="005158D0" w:rsidRDefault="002A6807" w:rsidP="00085848">
      <w:pPr>
        <w:pStyle w:val="Bibliography"/>
      </w:pPr>
      <w:hyperlink r:id="rId45" w:history="1">
        <w:r w:rsidR="00085848" w:rsidRPr="004E5522">
          <w:rPr>
            <w:rStyle w:val="Hyperlink"/>
          </w:rPr>
          <w:t>University of Melbourne and the University of New South Wales Unfitness to Plead Project</w:t>
        </w:r>
      </w:hyperlink>
      <w:r w:rsidR="00085848" w:rsidRPr="004E5522">
        <w:t xml:space="preserve"> at &lt;</w:t>
      </w:r>
      <w:hyperlink r:id="rId46" w:history="1">
        <w:r w:rsidR="00085848" w:rsidRPr="004E5522">
          <w:rPr>
            <w:rStyle w:val="Hyperlink"/>
            <w:rFonts w:cs="Times New Roman"/>
            <w:color w:val="auto"/>
            <w:u w:val="none"/>
            <w:lang w:val="en-US"/>
          </w:rPr>
          <w:t>http://socialequity.unimelb.edu.au/research/projects/disability-and-mental-health/unfitness-to-plead</w:t>
        </w:r>
      </w:hyperlink>
      <w:r w:rsidR="00085848" w:rsidRPr="004E5522">
        <w:rPr>
          <w:rStyle w:val="Hyperlink"/>
          <w:rFonts w:cs="Times New Roman"/>
          <w:color w:val="auto"/>
          <w:u w:val="none"/>
          <w:lang w:val="en-US"/>
        </w:rPr>
        <w:t>&gt;</w:t>
      </w:r>
      <w:r w:rsidR="00085848" w:rsidRPr="004E5522">
        <w:t>.</w:t>
      </w:r>
      <w:r w:rsidR="00085848" w:rsidRPr="005158D0">
        <w:t xml:space="preserve"> </w:t>
      </w:r>
    </w:p>
    <w:p w14:paraId="674C19C2" w14:textId="26C88A60" w:rsidR="00C26149" w:rsidRDefault="00C26149" w:rsidP="00C26149">
      <w:pPr>
        <w:pStyle w:val="Heading2"/>
      </w:pPr>
      <w:bookmarkStart w:id="69" w:name="_Toc514751859"/>
      <w:r>
        <w:t>Books and e-books</w:t>
      </w:r>
      <w:r w:rsidR="00E7771D">
        <w:t>, and chapters</w:t>
      </w:r>
      <w:bookmarkEnd w:id="69"/>
    </w:p>
    <w:p w14:paraId="69957F89" w14:textId="77777777" w:rsidR="00B4284F" w:rsidRDefault="00B4284F" w:rsidP="00417670">
      <w:pPr>
        <w:pStyle w:val="Bibliography"/>
      </w:pPr>
      <w:r>
        <w:t xml:space="preserve">Anna Arstein-Kerslake, </w:t>
      </w:r>
      <w:r w:rsidRPr="00B4284F">
        <w:rPr>
          <w:i/>
        </w:rPr>
        <w:t>Restoring Voice to People with Cognitive Disabilities</w:t>
      </w:r>
      <w:r>
        <w:t xml:space="preserve"> (Cambridge University Press, 2017).</w:t>
      </w:r>
    </w:p>
    <w:p w14:paraId="2929093B" w14:textId="77777777" w:rsidR="00F408ED" w:rsidRDefault="00F408ED" w:rsidP="00F408ED">
      <w:pPr>
        <w:pStyle w:val="Bibliography"/>
      </w:pPr>
      <w:r w:rsidRPr="005158D0">
        <w:t>Isabelle</w:t>
      </w:r>
      <w:r w:rsidRPr="00074F62">
        <w:t xml:space="preserve"> </w:t>
      </w:r>
      <w:r>
        <w:t>Bartkowiak-Théron,</w:t>
      </w:r>
      <w:r w:rsidRPr="005158D0">
        <w:t xml:space="preserve"> Nicole Asquith and Karl Roberts, ‘Vulnerability as a contemporary challenge for policing’ in</w:t>
      </w:r>
      <w:r>
        <w:t xml:space="preserve"> </w:t>
      </w:r>
      <w:r w:rsidRPr="005158D0">
        <w:t>Nicole Asquith</w:t>
      </w:r>
      <w:r>
        <w:t xml:space="preserve">, </w:t>
      </w:r>
      <w:r w:rsidRPr="005158D0">
        <w:t>Isabelle</w:t>
      </w:r>
      <w:r w:rsidRPr="00074F62">
        <w:t xml:space="preserve"> </w:t>
      </w:r>
      <w:r>
        <w:t>Bartkowiak-Théron</w:t>
      </w:r>
      <w:r w:rsidRPr="005158D0">
        <w:t xml:space="preserve"> and Karl Roberts</w:t>
      </w:r>
      <w:r>
        <w:t>,</w:t>
      </w:r>
      <w:r w:rsidRPr="005158D0">
        <w:t xml:space="preserve"> </w:t>
      </w:r>
      <w:r w:rsidRPr="005158D0">
        <w:rPr>
          <w:i/>
          <w:iCs/>
        </w:rPr>
        <w:t>Policing Encounters with Vulnerability</w:t>
      </w:r>
      <w:r w:rsidRPr="005158D0">
        <w:t xml:space="preserve"> (Sp</w:t>
      </w:r>
      <w:r>
        <w:t>ringer International Publishing, 2017).</w:t>
      </w:r>
    </w:p>
    <w:p w14:paraId="61F986DB" w14:textId="77777777" w:rsidR="007816C8" w:rsidRDefault="007816C8" w:rsidP="00417670">
      <w:pPr>
        <w:pStyle w:val="Bibliography"/>
      </w:pPr>
      <w:r>
        <w:t xml:space="preserve">Warren Brookbanks, </w:t>
      </w:r>
      <w:r w:rsidRPr="00417670">
        <w:rPr>
          <w:i/>
        </w:rPr>
        <w:t>Competencies of Trial: Fitness to Plead in New Zealand</w:t>
      </w:r>
      <w:r>
        <w:t xml:space="preserve"> (LexisNexis, 2011).</w:t>
      </w:r>
    </w:p>
    <w:p w14:paraId="4B6EBB45" w14:textId="77777777" w:rsidR="00F97C17" w:rsidRPr="005158D0" w:rsidRDefault="00F97C17" w:rsidP="00F97C17">
      <w:pPr>
        <w:pStyle w:val="Bibliography"/>
      </w:pPr>
      <w:r w:rsidRPr="005158D0">
        <w:t>John</w:t>
      </w:r>
      <w:r w:rsidRPr="00FD287E">
        <w:t xml:space="preserve"> </w:t>
      </w:r>
      <w:r w:rsidRPr="005158D0">
        <w:t xml:space="preserve">Dawson and Kris Gledhill (eds), </w:t>
      </w:r>
      <w:r w:rsidRPr="005158D0">
        <w:rPr>
          <w:i/>
          <w:iCs/>
        </w:rPr>
        <w:t>New Zealand’s Mental Health Act in Practice</w:t>
      </w:r>
      <w:r>
        <w:t xml:space="preserve"> (Victoria University Press,</w:t>
      </w:r>
      <w:r w:rsidRPr="005158D0">
        <w:t xml:space="preserve"> 2013).</w:t>
      </w:r>
    </w:p>
    <w:p w14:paraId="6117AEA0" w14:textId="77777777" w:rsidR="0001794C" w:rsidRPr="005158D0" w:rsidRDefault="0001794C" w:rsidP="0001794C">
      <w:pPr>
        <w:pStyle w:val="Bibliography"/>
      </w:pPr>
      <w:r w:rsidRPr="00272F79">
        <w:t>Leanne</w:t>
      </w:r>
      <w:r w:rsidRPr="001B55FA">
        <w:t xml:space="preserve"> </w:t>
      </w:r>
      <w:r>
        <w:t>Dowse</w:t>
      </w:r>
      <w:r w:rsidRPr="00272F79">
        <w:t>, Carolyn Frohmader and Aminath Didi, ‘Violence against disabled women in the global South: working locally, acting globally’ in Shaun</w:t>
      </w:r>
      <w:r w:rsidRPr="001B55FA">
        <w:t xml:space="preserve"> </w:t>
      </w:r>
      <w:r>
        <w:t>Grech</w:t>
      </w:r>
      <w:r w:rsidRPr="00272F79">
        <w:t xml:space="preserve"> and Karen Soldatic (eds) </w:t>
      </w:r>
      <w:r w:rsidRPr="00272F79">
        <w:rPr>
          <w:i/>
          <w:iCs/>
        </w:rPr>
        <w:t xml:space="preserve">Disability in the Global South </w:t>
      </w:r>
      <w:r w:rsidRPr="00272F79">
        <w:rPr>
          <w:iCs/>
        </w:rPr>
        <w:t>(</w:t>
      </w:r>
      <w:r w:rsidRPr="00272F79">
        <w:t>Sp</w:t>
      </w:r>
      <w:r>
        <w:t>ringer International Publishing, 2016)</w:t>
      </w:r>
      <w:r w:rsidRPr="00272F79">
        <w:t>.</w:t>
      </w:r>
    </w:p>
    <w:p w14:paraId="7C860A48" w14:textId="77777777" w:rsidR="00E7771D" w:rsidRDefault="00E7771D" w:rsidP="00417670">
      <w:pPr>
        <w:pStyle w:val="Bibliography"/>
      </w:pPr>
      <w:r>
        <w:t xml:space="preserve">Eilionóir Flynn, ‘Article 13 [Access to Justice]’ in Valentina Della Fina, Rachele Cera, and Giuseppe Palmisano (eds) </w:t>
      </w:r>
      <w:r w:rsidRPr="0085108B">
        <w:rPr>
          <w:i/>
        </w:rPr>
        <w:t>The United Nations Convention on the Rights of Persons with Disabilities</w:t>
      </w:r>
      <w:r>
        <w:t xml:space="preserve"> (Springer, 2017).</w:t>
      </w:r>
    </w:p>
    <w:p w14:paraId="43573633" w14:textId="5E9E520A" w:rsidR="00E356C1" w:rsidRDefault="00E356C1" w:rsidP="00417670">
      <w:pPr>
        <w:pStyle w:val="Bibliography"/>
      </w:pPr>
      <w:r>
        <w:t xml:space="preserve">Gwynnyth Llewellyn, </w:t>
      </w:r>
      <w:r w:rsidRPr="00212EAD">
        <w:rPr>
          <w:i/>
        </w:rPr>
        <w:t>Report of Audit of Disability Research in Australia</w:t>
      </w:r>
      <w:r>
        <w:t xml:space="preserve"> (Centre for Disability Research and Policy, Faculty of Health Sciences, University of Sydney, 2014). </w:t>
      </w:r>
    </w:p>
    <w:p w14:paraId="66EE5960" w14:textId="77777777" w:rsidR="00625987" w:rsidRPr="005158D0" w:rsidRDefault="00625987" w:rsidP="00625987">
      <w:pPr>
        <w:pStyle w:val="Bibliography"/>
      </w:pPr>
      <w:r w:rsidRPr="005158D0">
        <w:t>Brigit</w:t>
      </w:r>
      <w:r w:rsidRPr="0074739F">
        <w:t xml:space="preserve"> </w:t>
      </w:r>
      <w:r w:rsidRPr="005158D0">
        <w:t>Mirfin-Veitch</w:t>
      </w:r>
      <w:r>
        <w:t>, Sue Gates, Kate Diesfeld and Mark Henaghan</w:t>
      </w:r>
      <w:r w:rsidRPr="005158D0">
        <w:t xml:space="preserve">, </w:t>
      </w:r>
      <w:r w:rsidRPr="005158D0">
        <w:rPr>
          <w:i/>
        </w:rPr>
        <w:t>Developing a more responsive legal system for people with intellectual disability in New</w:t>
      </w:r>
      <w:r w:rsidRPr="005158D0">
        <w:t xml:space="preserve"> </w:t>
      </w:r>
      <w:r w:rsidRPr="00625987">
        <w:rPr>
          <w:i/>
        </w:rPr>
        <w:t>Zealand</w:t>
      </w:r>
      <w:r w:rsidRPr="005158D0">
        <w:t xml:space="preserve"> (</w:t>
      </w:r>
      <w:r w:rsidRPr="005158D0">
        <w:rPr>
          <w:iCs/>
        </w:rPr>
        <w:t>Donald Beasley Institute</w:t>
      </w:r>
      <w:r>
        <w:t xml:space="preserve">, </w:t>
      </w:r>
      <w:r w:rsidRPr="005158D0">
        <w:t>2014)</w:t>
      </w:r>
      <w:r w:rsidRPr="005158D0">
        <w:rPr>
          <w:i/>
          <w:iCs/>
        </w:rPr>
        <w:t>.</w:t>
      </w:r>
    </w:p>
    <w:p w14:paraId="06CD1671" w14:textId="77777777" w:rsidR="00224CDA" w:rsidRPr="005158D0" w:rsidRDefault="00224CDA" w:rsidP="00224CDA">
      <w:pPr>
        <w:pStyle w:val="Bibliography"/>
      </w:pPr>
      <w:r w:rsidRPr="005158D0">
        <w:t>Sue</w:t>
      </w:r>
      <w:r w:rsidRPr="00FD287E">
        <w:t xml:space="preserve"> </w:t>
      </w:r>
      <w:r w:rsidRPr="005158D0">
        <w:t>Nightingale and Iris Reuvecamp, ‘Chapter 9 – Regulating the Detention of Mentally Incapacitated Adults Not Subject to the Mental Health Act’</w:t>
      </w:r>
      <w:r>
        <w:t>,</w:t>
      </w:r>
      <w:r w:rsidRPr="005158D0">
        <w:t xml:space="preserve"> in John</w:t>
      </w:r>
      <w:r w:rsidRPr="00FD287E">
        <w:t xml:space="preserve"> </w:t>
      </w:r>
      <w:r w:rsidRPr="005158D0">
        <w:t xml:space="preserve">Dawson and Kris Gledhill (eds), </w:t>
      </w:r>
      <w:r w:rsidRPr="005158D0">
        <w:rPr>
          <w:i/>
          <w:iCs/>
        </w:rPr>
        <w:t>New Zealand’s Mental Health Act in Practice</w:t>
      </w:r>
      <w:r>
        <w:t xml:space="preserve"> (Victoria University Press,</w:t>
      </w:r>
      <w:r w:rsidRPr="005158D0">
        <w:t xml:space="preserve"> 2013).</w:t>
      </w:r>
    </w:p>
    <w:p w14:paraId="4969B4C1" w14:textId="292D4868" w:rsidR="00224CDA" w:rsidRDefault="00224CDA" w:rsidP="00224CDA">
      <w:pPr>
        <w:pStyle w:val="Bibliography"/>
      </w:pPr>
      <w:r w:rsidRPr="005158D0">
        <w:t>Katey</w:t>
      </w:r>
      <w:r w:rsidRPr="00FD287E">
        <w:t xml:space="preserve"> </w:t>
      </w:r>
      <w:r w:rsidRPr="005158D0">
        <w:t>Thom and Kate Prebble, ‘Chapter 7 – District Inspectors: Watchdogs of Patients’ Rights’</w:t>
      </w:r>
      <w:r>
        <w:t>,</w:t>
      </w:r>
      <w:r w:rsidRPr="005158D0">
        <w:t xml:space="preserve"> in John</w:t>
      </w:r>
      <w:r w:rsidRPr="00FD287E">
        <w:t xml:space="preserve"> </w:t>
      </w:r>
      <w:r w:rsidRPr="005158D0">
        <w:t xml:space="preserve">Dawson and Kris Gledhill (eds), </w:t>
      </w:r>
      <w:r w:rsidRPr="005158D0">
        <w:rPr>
          <w:i/>
          <w:iCs/>
        </w:rPr>
        <w:t>New Zealand’s Mental Health Act in Practice</w:t>
      </w:r>
      <w:r>
        <w:t xml:space="preserve"> (Victoria University Press,</w:t>
      </w:r>
      <w:r w:rsidRPr="005158D0">
        <w:t xml:space="preserve"> 2013).</w:t>
      </w:r>
    </w:p>
    <w:p w14:paraId="7B311959" w14:textId="06E9ADEF" w:rsidR="00E950F8" w:rsidRDefault="00E950F8" w:rsidP="00E950F8">
      <w:pPr>
        <w:pStyle w:val="Heading2"/>
      </w:pPr>
      <w:bookmarkStart w:id="70" w:name="_Toc514751860"/>
      <w:r>
        <w:t>Legislation and international treaties</w:t>
      </w:r>
      <w:bookmarkEnd w:id="70"/>
    </w:p>
    <w:p w14:paraId="102839F1" w14:textId="4887BAAA" w:rsidR="006A4324" w:rsidRDefault="006A4324" w:rsidP="006A4324">
      <w:pPr>
        <w:pStyle w:val="Heading3"/>
      </w:pPr>
      <w:bookmarkStart w:id="71" w:name="_Toc514751861"/>
      <w:r>
        <w:t>International</w:t>
      </w:r>
      <w:bookmarkEnd w:id="71"/>
    </w:p>
    <w:p w14:paraId="03C70A63" w14:textId="56D35E1A" w:rsidR="00E356C1" w:rsidRDefault="00E356C1" w:rsidP="00987FDC">
      <w:pPr>
        <w:pStyle w:val="Bibliography"/>
      </w:pPr>
      <w:r w:rsidRPr="00480FA6">
        <w:rPr>
          <w:i/>
        </w:rPr>
        <w:t>Convention on the Rights of Persons with Disabilities</w:t>
      </w:r>
      <w:r>
        <w:t>, opened for signature 30 March 2007, 2515 UNTS 3 (entered into force 3 May 2008).</w:t>
      </w:r>
    </w:p>
    <w:p w14:paraId="4EE62F2F" w14:textId="6E4EE6F3" w:rsidR="00026135" w:rsidRDefault="00026135" w:rsidP="00987FDC">
      <w:pPr>
        <w:pStyle w:val="Bibliography"/>
      </w:pPr>
      <w:r>
        <w:lastRenderedPageBreak/>
        <w:t xml:space="preserve">United Nations Committee on the Rights of Persons with Disabilities, </w:t>
      </w:r>
      <w:r w:rsidRPr="00026135">
        <w:rPr>
          <w:i/>
        </w:rPr>
        <w:t>General Comment No 1: Article 12: Equal Recognition Before the Law</w:t>
      </w:r>
      <w:r>
        <w:t>, 11th sess, UN Doc CRPD/C/GC/1 (19 May 2014).</w:t>
      </w:r>
    </w:p>
    <w:p w14:paraId="1A10ECF1" w14:textId="412539D6" w:rsidR="006A4324" w:rsidRDefault="006A4324" w:rsidP="006A4324">
      <w:pPr>
        <w:pStyle w:val="Heading3"/>
      </w:pPr>
      <w:bookmarkStart w:id="72" w:name="_Toc514751862"/>
      <w:r>
        <w:t>Australian federal</w:t>
      </w:r>
      <w:bookmarkEnd w:id="72"/>
    </w:p>
    <w:p w14:paraId="728D0513" w14:textId="77777777" w:rsidR="006A4324" w:rsidRDefault="006A4324" w:rsidP="00987FDC">
      <w:pPr>
        <w:pStyle w:val="Bibliography"/>
      </w:pPr>
      <w:r w:rsidRPr="00987FDC">
        <w:rPr>
          <w:i/>
        </w:rPr>
        <w:t>Evidence Act 1995</w:t>
      </w:r>
      <w:r>
        <w:t xml:space="preserve"> (Cth)</w:t>
      </w:r>
    </w:p>
    <w:p w14:paraId="4C288EF9" w14:textId="2B41C42C" w:rsidR="006A4324" w:rsidRDefault="006A4324" w:rsidP="006A4324">
      <w:pPr>
        <w:pStyle w:val="Heading3"/>
      </w:pPr>
      <w:bookmarkStart w:id="73" w:name="_Toc514751863"/>
      <w:r>
        <w:t>Australian state or territory</w:t>
      </w:r>
      <w:bookmarkEnd w:id="73"/>
    </w:p>
    <w:p w14:paraId="491DEEAE" w14:textId="77777777" w:rsidR="006A4324" w:rsidRDefault="006A4324" w:rsidP="00987FDC">
      <w:pPr>
        <w:pStyle w:val="Bibliography"/>
      </w:pPr>
      <w:r w:rsidRPr="00987FDC">
        <w:rPr>
          <w:i/>
        </w:rPr>
        <w:t>Criminal Procedure Act 1986</w:t>
      </w:r>
      <w:r>
        <w:t xml:space="preserve"> (NSW) </w:t>
      </w:r>
    </w:p>
    <w:p w14:paraId="7DEAF9D9" w14:textId="77777777" w:rsidR="006A4324" w:rsidRDefault="006A4324" w:rsidP="00987FDC">
      <w:pPr>
        <w:pStyle w:val="Bibliography"/>
      </w:pPr>
      <w:r w:rsidRPr="00987FDC">
        <w:rPr>
          <w:i/>
        </w:rPr>
        <w:t>Evidence Act 1906</w:t>
      </w:r>
      <w:r>
        <w:t xml:space="preserve"> (WA) </w:t>
      </w:r>
    </w:p>
    <w:p w14:paraId="1DD2BCFA" w14:textId="55C156EC" w:rsidR="006A4324" w:rsidRDefault="006A4324" w:rsidP="00987FDC">
      <w:pPr>
        <w:pStyle w:val="Bibliography"/>
      </w:pPr>
      <w:r w:rsidRPr="00987FDC">
        <w:rPr>
          <w:i/>
        </w:rPr>
        <w:t>Statutes Amendment (Vulnerable Witnesses) Act 2015</w:t>
      </w:r>
      <w:r>
        <w:t xml:space="preserve"> (SA)</w:t>
      </w:r>
    </w:p>
    <w:p w14:paraId="4CE4710D" w14:textId="08FC4056" w:rsidR="00E950F8" w:rsidRDefault="00E950F8" w:rsidP="00E950F8">
      <w:pPr>
        <w:pStyle w:val="Heading2"/>
      </w:pPr>
      <w:bookmarkStart w:id="74" w:name="_Toc514751864"/>
      <w:r>
        <w:t>Journal articles</w:t>
      </w:r>
      <w:bookmarkEnd w:id="74"/>
    </w:p>
    <w:p w14:paraId="73294CA3" w14:textId="77777777" w:rsidR="00846A25" w:rsidRPr="005158D0" w:rsidRDefault="00846A25" w:rsidP="00846A25">
      <w:pPr>
        <w:pStyle w:val="Bibliography"/>
        <w:rPr>
          <w:highlight w:val="yellow"/>
        </w:rPr>
      </w:pPr>
      <w:r w:rsidRPr="005158D0">
        <w:t>Joseph</w:t>
      </w:r>
      <w:r w:rsidRPr="0001784B">
        <w:t xml:space="preserve"> </w:t>
      </w:r>
      <w:r w:rsidRPr="005158D0">
        <w:t xml:space="preserve">Allan and Vincent Egan, ‘Fitness to stand trial in New Zealand: Different factors associated with fitness to stand trial between mentally disordered and intellectually disabled defendants in the New Zealand Criminal justice system’ (2014) 21(5) </w:t>
      </w:r>
      <w:r w:rsidRPr="005158D0">
        <w:rPr>
          <w:i/>
          <w:iCs/>
        </w:rPr>
        <w:t xml:space="preserve">Psychiatry, Psychology and the Law </w:t>
      </w:r>
      <w:r w:rsidRPr="005158D0">
        <w:t>658.</w:t>
      </w:r>
    </w:p>
    <w:p w14:paraId="7F63B95F" w14:textId="77777777" w:rsidR="00360D69" w:rsidRDefault="00360D69" w:rsidP="004F7B33">
      <w:pPr>
        <w:pStyle w:val="Bibliography"/>
      </w:pPr>
      <w:r>
        <w:t xml:space="preserve">Caleb Armstrong, ‘Fitness to Stand Trial in the New Zealand Youth Court: Characterising Court-Ordered Competence Assessments’ (2016) 23(4) </w:t>
      </w:r>
      <w:r w:rsidRPr="00360D69">
        <w:rPr>
          <w:i/>
        </w:rPr>
        <w:t>Psychiatry, Psychology and Law</w:t>
      </w:r>
      <w:r>
        <w:t xml:space="preserve"> 538.</w:t>
      </w:r>
    </w:p>
    <w:p w14:paraId="178A8466" w14:textId="77777777" w:rsidR="007973EF" w:rsidRPr="005158D0" w:rsidRDefault="007973EF" w:rsidP="007973EF">
      <w:pPr>
        <w:pStyle w:val="Bibliography"/>
        <w:rPr>
          <w:lang w:val="en-US"/>
        </w:rPr>
      </w:pPr>
      <w:r w:rsidRPr="005158D0">
        <w:t xml:space="preserve">Stella </w:t>
      </w:r>
      <w:r>
        <w:t xml:space="preserve">Aroha Black, </w:t>
      </w:r>
      <w:r w:rsidRPr="005158D0">
        <w:t>Jacqui</w:t>
      </w:r>
      <w:r>
        <w:t>e Kidd, Katey Thom, Alice Mills</w:t>
      </w:r>
      <w:r w:rsidRPr="005158D0">
        <w:t>,</w:t>
      </w:r>
      <w:r>
        <w:t xml:space="preserve"> </w:t>
      </w:r>
      <w:r w:rsidRPr="005158D0">
        <w:t>T</w:t>
      </w:r>
      <w:r>
        <w:t>racey McIntosh and</w:t>
      </w:r>
      <w:r w:rsidRPr="005158D0">
        <w:t xml:space="preserve"> Khylee Quince, ‘Researching Ngā Kōti Rangatahi – Youth Courts on Marae: Koia te Hāngaitanga -That’s the right way?’ (2017) 1(1) </w:t>
      </w:r>
      <w:r w:rsidRPr="005158D0">
        <w:rPr>
          <w:i/>
          <w:iCs/>
        </w:rPr>
        <w:t xml:space="preserve">The Ethnographic Edge </w:t>
      </w:r>
      <w:r w:rsidRPr="00F83BBB">
        <w:t>33–45.</w:t>
      </w:r>
    </w:p>
    <w:p w14:paraId="4919D521" w14:textId="77777777" w:rsidR="0085108B" w:rsidRDefault="0085108B" w:rsidP="004F7B33">
      <w:pPr>
        <w:pStyle w:val="Bibliography"/>
      </w:pPr>
      <w:r>
        <w:t xml:space="preserve">Anna Arstein-Kerslake and Eilionóir Flynn, ‘The General Comment on Article 12 of the </w:t>
      </w:r>
      <w:r w:rsidRPr="0085108B">
        <w:rPr>
          <w:i/>
        </w:rPr>
        <w:t>Convention on the Rights of Persons with Disabilities</w:t>
      </w:r>
      <w:r>
        <w:t xml:space="preserve">: a roadmap for equality before the law’ (2016) 20(4) </w:t>
      </w:r>
      <w:r w:rsidRPr="0085108B">
        <w:rPr>
          <w:i/>
        </w:rPr>
        <w:t>The International Journal of Human Rights</w:t>
      </w:r>
      <w:r>
        <w:t xml:space="preserve"> 471.</w:t>
      </w:r>
    </w:p>
    <w:p w14:paraId="0D9D7510" w14:textId="18F6290B" w:rsidR="00E95A48" w:rsidRDefault="00E95A48" w:rsidP="004F7B33">
      <w:pPr>
        <w:pStyle w:val="Bibliography"/>
      </w:pPr>
      <w:r>
        <w:t xml:space="preserve">Anna Arstein-Kerslake and Eilionóir Flynn, ‘Legislating consent: Creating an empowering definition of consent to sex that is inclusive of people with cognitive disabilities’ (2016) 25(2) </w:t>
      </w:r>
      <w:r w:rsidRPr="00852204">
        <w:rPr>
          <w:i/>
        </w:rPr>
        <w:t>Social &amp; Legal Studies</w:t>
      </w:r>
      <w:r>
        <w:t xml:space="preserve"> 225.</w:t>
      </w:r>
    </w:p>
    <w:p w14:paraId="7F12384A" w14:textId="77777777" w:rsidR="0085108B" w:rsidRDefault="0085108B" w:rsidP="004F7B33">
      <w:pPr>
        <w:pStyle w:val="Bibliography"/>
      </w:pPr>
      <w:r>
        <w:t xml:space="preserve">Anna Arstein-Kerslake and Eilionóir Flynn, ‘The right to legal agency: domination, disability and the protections of Article 12 of the </w:t>
      </w:r>
      <w:r w:rsidRPr="0085108B">
        <w:rPr>
          <w:i/>
        </w:rPr>
        <w:t>Convention on the Rights of Persons with Disabilities</w:t>
      </w:r>
      <w:r>
        <w:t xml:space="preserve">’ (2017) 13(1) </w:t>
      </w:r>
      <w:r w:rsidRPr="0085108B">
        <w:rPr>
          <w:i/>
        </w:rPr>
        <w:t>Legal Capacity and Human Rights</w:t>
      </w:r>
      <w:r>
        <w:t xml:space="preserve"> 22.</w:t>
      </w:r>
    </w:p>
    <w:p w14:paraId="18753A52" w14:textId="77777777" w:rsidR="00641282" w:rsidRDefault="00641282" w:rsidP="004F7B33">
      <w:pPr>
        <w:pStyle w:val="Bibliography"/>
      </w:pPr>
      <w:r>
        <w:t xml:space="preserve">Anna Arstein-Kerslake, Piers Gooding, Louis Andrews and Bernadette McSherry, ‘Human Rights and Unfitness to Plead: The Demands of the </w:t>
      </w:r>
      <w:r w:rsidRPr="00641282">
        <w:rPr>
          <w:i/>
        </w:rPr>
        <w:t>Convention on the Rights of Persons with Disabilities</w:t>
      </w:r>
      <w:r>
        <w:t xml:space="preserve">’ (2017) 17(3) </w:t>
      </w:r>
      <w:r w:rsidRPr="00641282">
        <w:rPr>
          <w:i/>
        </w:rPr>
        <w:t>Human Rights Law Review</w:t>
      </w:r>
      <w:r>
        <w:t xml:space="preserve"> 399.</w:t>
      </w:r>
    </w:p>
    <w:p w14:paraId="76AEE76D" w14:textId="77777777" w:rsidR="002F0D15" w:rsidRDefault="002F0D15" w:rsidP="002F0D15">
      <w:pPr>
        <w:pStyle w:val="Bibliography"/>
        <w:rPr>
          <w:lang w:val="en-US"/>
        </w:rPr>
      </w:pPr>
      <w:r w:rsidRPr="005158D0">
        <w:rPr>
          <w:lang w:val="en-US"/>
        </w:rPr>
        <w:t>Eileen</w:t>
      </w:r>
      <w:r w:rsidRPr="002B31E3">
        <w:rPr>
          <w:lang w:val="en-US"/>
        </w:rPr>
        <w:t xml:space="preserve"> </w:t>
      </w:r>
      <w:r>
        <w:rPr>
          <w:lang w:val="en-US"/>
        </w:rPr>
        <w:t>Baldry,</w:t>
      </w:r>
      <w:r w:rsidRPr="005158D0">
        <w:rPr>
          <w:lang w:val="en-US"/>
        </w:rPr>
        <w:t xml:space="preserve"> ‘Disability at the margins: Limits of the Law’ (2014) 23(3) </w:t>
      </w:r>
      <w:r w:rsidRPr="005158D0">
        <w:rPr>
          <w:i/>
          <w:iCs/>
          <w:lang w:val="en-US"/>
        </w:rPr>
        <w:t>Griffith Law Review</w:t>
      </w:r>
      <w:r w:rsidRPr="005158D0">
        <w:rPr>
          <w:lang w:val="en-US"/>
        </w:rPr>
        <w:t xml:space="preserve"> 370</w:t>
      </w:r>
      <w:r w:rsidRPr="005158D0">
        <w:t>.</w:t>
      </w:r>
    </w:p>
    <w:p w14:paraId="2EF13A48" w14:textId="77777777" w:rsidR="002F0D15" w:rsidRPr="005158D0" w:rsidRDefault="002F0D15" w:rsidP="002F0D15">
      <w:pPr>
        <w:pStyle w:val="Bibliography"/>
      </w:pPr>
      <w:r>
        <w:lastRenderedPageBreak/>
        <w:t>Eileen</w:t>
      </w:r>
      <w:r w:rsidRPr="00F55CAB">
        <w:t xml:space="preserve"> </w:t>
      </w:r>
      <w:r w:rsidRPr="005158D0">
        <w:t>Baldry</w:t>
      </w:r>
      <w:r>
        <w:t>, Melissa Clarence, Leanne Dowse, and Julian Troller,</w:t>
      </w:r>
      <w:r w:rsidRPr="005158D0">
        <w:t xml:space="preserve"> ‘Reducing vulnerability to harm in adults with cognitive disabilities in the Australian criminal justice system.’ (2013) 10(3) </w:t>
      </w:r>
      <w:r w:rsidRPr="005158D0">
        <w:rPr>
          <w:i/>
          <w:iCs/>
        </w:rPr>
        <w:t>Journal of Policy and Practice in Intellectual Disabilities</w:t>
      </w:r>
      <w:r w:rsidRPr="005158D0">
        <w:t xml:space="preserve"> 222.</w:t>
      </w:r>
    </w:p>
    <w:p w14:paraId="7EF21D3A" w14:textId="39625FD0" w:rsidR="0085108B" w:rsidRDefault="0085108B" w:rsidP="004F7B33">
      <w:pPr>
        <w:pStyle w:val="Bibliography"/>
      </w:pPr>
      <w:r>
        <w:t xml:space="preserve">Eileen Baldry, Ruth McCausland, Leanne Dowse, Elizabeth McEntyre, and Peter MacGillivray, ‘It’s just a big vicious cycle that swallows them up: Indigenous people with mental and cognitive disabilities in the </w:t>
      </w:r>
      <w:r w:rsidR="00E33746">
        <w:t>criminal justice system’ (2016) </w:t>
      </w:r>
      <w:r>
        <w:t xml:space="preserve">8(22) </w:t>
      </w:r>
      <w:r w:rsidRPr="0085108B">
        <w:rPr>
          <w:i/>
        </w:rPr>
        <w:t>Indigenous Law Bulletin</w:t>
      </w:r>
      <w:r>
        <w:t xml:space="preserve"> 10.</w:t>
      </w:r>
    </w:p>
    <w:p w14:paraId="3C93CAB5" w14:textId="77777777" w:rsidR="00FA589F" w:rsidRDefault="00FA589F" w:rsidP="004F7B33">
      <w:pPr>
        <w:pStyle w:val="Bibliography"/>
      </w:pPr>
      <w:r>
        <w:t xml:space="preserve">Peter Bartlett, ‘The United Nations </w:t>
      </w:r>
      <w:r w:rsidRPr="00FF3387">
        <w:rPr>
          <w:i/>
        </w:rPr>
        <w:t>Convention on the Rights of Persons with Disabilities</w:t>
      </w:r>
      <w:r>
        <w:t xml:space="preserve"> and mental health law’ (2012) 75(5) </w:t>
      </w:r>
      <w:r w:rsidRPr="00FF3387">
        <w:rPr>
          <w:i/>
        </w:rPr>
        <w:t>The Modern Law Review</w:t>
      </w:r>
      <w:r>
        <w:t xml:space="preserve"> 752.</w:t>
      </w:r>
    </w:p>
    <w:p w14:paraId="45345640" w14:textId="77777777" w:rsidR="00972601" w:rsidRPr="005158D0" w:rsidRDefault="00972601" w:rsidP="00972601">
      <w:pPr>
        <w:pStyle w:val="Bibliography"/>
        <w:rPr>
          <w:highlight w:val="green"/>
        </w:rPr>
      </w:pPr>
      <w:r w:rsidRPr="005158D0">
        <w:t>Rebecca</w:t>
      </w:r>
      <w:r w:rsidRPr="00DF4A53">
        <w:t xml:space="preserve"> </w:t>
      </w:r>
      <w:r w:rsidRPr="005158D0">
        <w:t>Barton,</w:t>
      </w:r>
      <w:r>
        <w:t xml:space="preserve"> Tracy Robinson, Gwynnyth Llewellyn, Kathy Thorncraft and Andy Smidt,</w:t>
      </w:r>
      <w:r w:rsidRPr="005158D0">
        <w:t xml:space="preserve"> ‘Rural and remote perspectives in disability and mental health research in Australia: 2000 – 2013’ (2015) 13(1) </w:t>
      </w:r>
      <w:r w:rsidRPr="005158D0">
        <w:rPr>
          <w:i/>
          <w:iCs/>
        </w:rPr>
        <w:t>Advances in Mental Health</w:t>
      </w:r>
      <w:r w:rsidRPr="005158D0">
        <w:t xml:space="preserve"> 30.</w:t>
      </w:r>
    </w:p>
    <w:p w14:paraId="161C7A2D" w14:textId="77777777" w:rsidR="00AA7F2A" w:rsidRDefault="00AA7F2A" w:rsidP="00AA7F2A">
      <w:pPr>
        <w:pStyle w:val="Bibliography"/>
      </w:pPr>
      <w:r w:rsidRPr="005158D0">
        <w:t>Harry</w:t>
      </w:r>
      <w:r w:rsidRPr="0074739F">
        <w:t xml:space="preserve"> </w:t>
      </w:r>
      <w:r>
        <w:t>Blagg,</w:t>
      </w:r>
      <w:r w:rsidRPr="005158D0">
        <w:t xml:space="preserve"> Tamara Tulich and Zoe Bush, ‘Diversionary pathways for Indigenous youth with FASD in Western Australia: decolonising alternatives’ </w:t>
      </w:r>
      <w:r w:rsidRPr="005158D0">
        <w:rPr>
          <w:iCs/>
        </w:rPr>
        <w:t>(2015) 40(4)</w:t>
      </w:r>
      <w:r w:rsidRPr="005158D0">
        <w:rPr>
          <w:i/>
          <w:iCs/>
        </w:rPr>
        <w:t xml:space="preserve"> Alternative Law Journal</w:t>
      </w:r>
      <w:r>
        <w:t xml:space="preserve"> 257.</w:t>
      </w:r>
    </w:p>
    <w:p w14:paraId="4F92FE3B" w14:textId="77777777" w:rsidR="00360D69" w:rsidRDefault="00360D69" w:rsidP="004F7B33">
      <w:pPr>
        <w:pStyle w:val="Bibliography"/>
      </w:pPr>
      <w:r>
        <w:t xml:space="preserve">Warren Brookbanks, ‘Reconsidering fitness to plead’ [2014] </w:t>
      </w:r>
      <w:r w:rsidRPr="00360D69">
        <w:rPr>
          <w:i/>
        </w:rPr>
        <w:t>New Zealand Law Journal</w:t>
      </w:r>
      <w:r>
        <w:t xml:space="preserve"> 8.</w:t>
      </w:r>
    </w:p>
    <w:p w14:paraId="55300A4E" w14:textId="77777777" w:rsidR="00360D69" w:rsidRDefault="00360D69" w:rsidP="004F7B33">
      <w:pPr>
        <w:pStyle w:val="Bibliography"/>
      </w:pPr>
      <w:r>
        <w:t xml:space="preserve">Warren Brookbanks, ‘Unfitness to stand trial raised post-conviction’ [2014] </w:t>
      </w:r>
      <w:r w:rsidRPr="00360D69">
        <w:rPr>
          <w:i/>
        </w:rPr>
        <w:t>New Zealand Law Journal</w:t>
      </w:r>
      <w:r>
        <w:t xml:space="preserve"> 350.</w:t>
      </w:r>
    </w:p>
    <w:p w14:paraId="3F2039C2" w14:textId="77777777" w:rsidR="005E21A0" w:rsidRDefault="005E21A0" w:rsidP="00E33746">
      <w:pPr>
        <w:pStyle w:val="Bibliography"/>
        <w:rPr>
          <w:lang w:eastAsia="en-US"/>
        </w:rPr>
      </w:pPr>
      <w:r w:rsidRPr="005158D0">
        <w:rPr>
          <w:lang w:eastAsia="en-US"/>
        </w:rPr>
        <w:t>Michelle</w:t>
      </w:r>
      <w:r>
        <w:rPr>
          <w:lang w:eastAsia="en-US"/>
        </w:rPr>
        <w:t xml:space="preserve"> Browning, Christine Bigby</w:t>
      </w:r>
      <w:r w:rsidRPr="005158D0">
        <w:rPr>
          <w:lang w:eastAsia="en-US"/>
        </w:rPr>
        <w:t xml:space="preserve"> and Jacinta Douglas, ‘Supported decision making: Understanding how its conceptual link to legal capacity is influencing the development of practice’ (2014) 1(1) </w:t>
      </w:r>
      <w:r w:rsidRPr="005158D0">
        <w:rPr>
          <w:i/>
          <w:iCs/>
          <w:lang w:eastAsia="en-US"/>
        </w:rPr>
        <w:t>Research and Practice in Intellectual and Developmental Disabilities</w:t>
      </w:r>
      <w:r>
        <w:rPr>
          <w:lang w:eastAsia="en-US"/>
        </w:rPr>
        <w:t> 34.</w:t>
      </w:r>
    </w:p>
    <w:p w14:paraId="758F8F72" w14:textId="77777777" w:rsidR="00E255AC" w:rsidRDefault="00E255AC" w:rsidP="00E33746">
      <w:pPr>
        <w:pStyle w:val="Bibliography"/>
      </w:pPr>
      <w:r>
        <w:t xml:space="preserve">Terry Carney, and Fleur Aileen Beaupert, ‘Public and private bricolage-challenges balancing law, services &amp; civil society in advancing CRPD supported decision making’ (2013) 36(1) </w:t>
      </w:r>
      <w:r w:rsidRPr="00B4284F">
        <w:rPr>
          <w:i/>
        </w:rPr>
        <w:t>UNSW Law Journal</w:t>
      </w:r>
      <w:r>
        <w:t xml:space="preserve"> 175.</w:t>
      </w:r>
    </w:p>
    <w:p w14:paraId="3DADE87B" w14:textId="77777777" w:rsidR="00E21149" w:rsidRDefault="00E21149" w:rsidP="00E21149">
      <w:pPr>
        <w:pStyle w:val="Bibliography"/>
      </w:pPr>
      <w:r w:rsidRPr="005158D0">
        <w:t>Emma</w:t>
      </w:r>
      <w:r w:rsidRPr="00074F62">
        <w:t xml:space="preserve"> </w:t>
      </w:r>
      <w:r w:rsidRPr="005158D0">
        <w:t>Cashman and Stuart Thomas, ‘</w:t>
      </w:r>
      <w:r w:rsidRPr="005629DF">
        <w:t>Does</w:t>
      </w:r>
      <w:r w:rsidRPr="005158D0">
        <w:t xml:space="preserve"> mental illness impact the incidence of crime and victimisation among young people?’ (2017) 24 (1) </w:t>
      </w:r>
      <w:r w:rsidRPr="005158D0">
        <w:rPr>
          <w:i/>
        </w:rPr>
        <w:t xml:space="preserve">Psychology and Law </w:t>
      </w:r>
      <w:r w:rsidRPr="00F83BBB">
        <w:t>33</w:t>
      </w:r>
      <w:r w:rsidRPr="00F83BBB">
        <w:softHyphen/>
        <w:t>46.</w:t>
      </w:r>
    </w:p>
    <w:p w14:paraId="6F4DE039" w14:textId="77777777" w:rsidR="00846A25" w:rsidRPr="005B3542" w:rsidRDefault="00846A25" w:rsidP="00846A25">
      <w:pPr>
        <w:pStyle w:val="Bibliography"/>
      </w:pPr>
      <w:r>
        <w:t>Fiona</w:t>
      </w:r>
      <w:r w:rsidRPr="0000522A">
        <w:t xml:space="preserve"> </w:t>
      </w:r>
      <w:r w:rsidRPr="005158D0">
        <w:t>Davidson</w:t>
      </w:r>
      <w:r>
        <w:t>,</w:t>
      </w:r>
      <w:r w:rsidRPr="005158D0">
        <w:t xml:space="preserve"> </w:t>
      </w:r>
      <w:r>
        <w:t>Ed Heffernan</w:t>
      </w:r>
      <w:r w:rsidRPr="005158D0">
        <w:t>,</w:t>
      </w:r>
      <w:r>
        <w:t xml:space="preserve"> D Greenberg, Tony Butler and Philip Burgess, </w:t>
      </w:r>
      <w:r w:rsidRPr="005158D0">
        <w:t xml:space="preserve">‘A critical review of mental health court liaison services in Australia: A first national survey’ (2016) 23(6) </w:t>
      </w:r>
      <w:r w:rsidRPr="005158D0">
        <w:rPr>
          <w:i/>
        </w:rPr>
        <w:t>Psychiatry, Psychology and Law</w:t>
      </w:r>
      <w:r w:rsidRPr="005158D0">
        <w:t xml:space="preserve"> 908.</w:t>
      </w:r>
    </w:p>
    <w:p w14:paraId="5E90CD2A" w14:textId="77777777" w:rsidR="00003234" w:rsidRDefault="00003234" w:rsidP="00E33746">
      <w:pPr>
        <w:pStyle w:val="Bibliography"/>
      </w:pPr>
      <w:r>
        <w:t xml:space="preserve">Heather Douglas and Paul Harpur, ‘Intellectual disabilities, domestic violence and legal engagement’ (2016) 31(3) </w:t>
      </w:r>
      <w:r w:rsidRPr="00003234">
        <w:rPr>
          <w:i/>
        </w:rPr>
        <w:t>Disability and Society</w:t>
      </w:r>
      <w:r>
        <w:t xml:space="preserve"> 305.</w:t>
      </w:r>
    </w:p>
    <w:p w14:paraId="010E58FB" w14:textId="77777777" w:rsidR="006B01CD" w:rsidRDefault="006B01CD" w:rsidP="006B01CD">
      <w:pPr>
        <w:pStyle w:val="Bibliography"/>
      </w:pPr>
      <w:r w:rsidRPr="00272F79">
        <w:t>Leanne</w:t>
      </w:r>
      <w:r w:rsidRPr="001B55FA">
        <w:t xml:space="preserve"> </w:t>
      </w:r>
      <w:r>
        <w:t>Dowse</w:t>
      </w:r>
      <w:r w:rsidRPr="00272F79">
        <w:t>, Kar</w:t>
      </w:r>
      <w:r>
        <w:t>en Soldatic, Jo Spangaro</w:t>
      </w:r>
      <w:r w:rsidRPr="00272F79">
        <w:t xml:space="preserve"> and Georgia Toorn,‘Mind the gap: the extent of violence against women with disabilities in Australia’ (2016) 51(3) </w:t>
      </w:r>
      <w:r w:rsidRPr="00272F79">
        <w:rPr>
          <w:i/>
          <w:iCs/>
        </w:rPr>
        <w:t>Australian Journal of Social Issues</w:t>
      </w:r>
      <w:r>
        <w:t xml:space="preserve"> 341.</w:t>
      </w:r>
    </w:p>
    <w:p w14:paraId="4CB4C2DA" w14:textId="77777777" w:rsidR="00E95A48" w:rsidRDefault="00E95A48" w:rsidP="00E33746">
      <w:pPr>
        <w:pStyle w:val="Bibliography"/>
      </w:pPr>
      <w:r>
        <w:t xml:space="preserve">Suzanne Doyle and Eilionóir Flynn, ‘Ireland's ratification of the UN </w:t>
      </w:r>
      <w:r w:rsidRPr="00852204">
        <w:rPr>
          <w:i/>
        </w:rPr>
        <w:t>Convention on the Rights of Persons with Disabilities</w:t>
      </w:r>
      <w:r>
        <w:t xml:space="preserve">: challenges and opportunities’ (2013) 41(3) </w:t>
      </w:r>
      <w:r w:rsidRPr="00852204">
        <w:rPr>
          <w:i/>
        </w:rPr>
        <w:t>British Journal of Learning Disabilities</w:t>
      </w:r>
      <w:r>
        <w:t xml:space="preserve"> 171.</w:t>
      </w:r>
    </w:p>
    <w:p w14:paraId="5DA4F7C0" w14:textId="77777777" w:rsidR="00846A25" w:rsidRDefault="00846A25" w:rsidP="00846A25">
      <w:pPr>
        <w:pStyle w:val="Bibliography"/>
      </w:pPr>
      <w:r>
        <w:lastRenderedPageBreak/>
        <w:t xml:space="preserve">Jean Drage, ‘New Zealand’s National Health and Disability Advocacy Service: A Successful Model of Advocacy’ (2012) 14(1) </w:t>
      </w:r>
      <w:r w:rsidRPr="00641282">
        <w:rPr>
          <w:i/>
        </w:rPr>
        <w:t>Health and Human Rights</w:t>
      </w:r>
      <w:r>
        <w:t xml:space="preserve"> 1.</w:t>
      </w:r>
    </w:p>
    <w:p w14:paraId="4820F876" w14:textId="77777777" w:rsidR="00127549" w:rsidRPr="005158D0" w:rsidRDefault="00127549" w:rsidP="00127549">
      <w:pPr>
        <w:pStyle w:val="Bibliography"/>
      </w:pPr>
      <w:r w:rsidRPr="005158D0">
        <w:t>Timothy</w:t>
      </w:r>
      <w:r>
        <w:t xml:space="preserve"> P</w:t>
      </w:r>
      <w:r w:rsidRPr="00CE269F">
        <w:t xml:space="preserve"> </w:t>
      </w:r>
      <w:r w:rsidRPr="005158D0">
        <w:t xml:space="preserve">Fadgen and Guy Charlton, ‘Humanitarian Concerns and Deportation Orders Under the </w:t>
      </w:r>
      <w:r w:rsidRPr="00620053">
        <w:rPr>
          <w:i/>
        </w:rPr>
        <w:t>Immigration Act 2009</w:t>
      </w:r>
      <w:r w:rsidRPr="005158D0">
        <w:t xml:space="preserve">; Are International Obligations Enough Protection for the Immigrant with Mental Illness?’ (2012) 43 </w:t>
      </w:r>
      <w:r w:rsidRPr="005158D0">
        <w:rPr>
          <w:i/>
        </w:rPr>
        <w:t xml:space="preserve">Victoria University of Wellington Law Review </w:t>
      </w:r>
      <w:r w:rsidRPr="005158D0">
        <w:t>423.</w:t>
      </w:r>
    </w:p>
    <w:p w14:paraId="11226958" w14:textId="77777777" w:rsidR="00D332A8" w:rsidRDefault="00D332A8" w:rsidP="00E33746">
      <w:pPr>
        <w:pStyle w:val="Bibliography"/>
      </w:pPr>
      <w:r>
        <w:t xml:space="preserve">Eilionóir Flynn, ‘Mental (in) Capacity or Legal Capacity: A Human Rights Analysis of the Proposed Fusion of Mental Health and Mental Capacity Law in Northern Ireland’ (2013) 64 </w:t>
      </w:r>
      <w:r w:rsidRPr="00FF3387">
        <w:rPr>
          <w:i/>
        </w:rPr>
        <w:t>Northern Ireland Legal Quarterly</w:t>
      </w:r>
      <w:r>
        <w:t xml:space="preserve"> 485.</w:t>
      </w:r>
    </w:p>
    <w:p w14:paraId="6034B62F" w14:textId="77777777" w:rsidR="006E15F3" w:rsidRDefault="006E15F3" w:rsidP="00E33746">
      <w:pPr>
        <w:pStyle w:val="Bibliography"/>
      </w:pPr>
      <w:r w:rsidRPr="005158D0">
        <w:rPr>
          <w:lang w:eastAsia="en-US"/>
        </w:rPr>
        <w:t>Piers</w:t>
      </w:r>
      <w:r w:rsidRPr="006E15F3">
        <w:rPr>
          <w:lang w:eastAsia="en-US"/>
        </w:rPr>
        <w:t xml:space="preserve"> </w:t>
      </w:r>
      <w:r>
        <w:rPr>
          <w:lang w:eastAsia="en-US"/>
        </w:rPr>
        <w:t>Gooding,</w:t>
      </w:r>
      <w:r w:rsidRPr="005158D0">
        <w:rPr>
          <w:lang w:eastAsia="en-US"/>
        </w:rPr>
        <w:t xml:space="preserve"> ‘Psychiatrists’ perceptions of supported decision-making: a Vi</w:t>
      </w:r>
      <w:r>
        <w:rPr>
          <w:lang w:eastAsia="en-US"/>
        </w:rPr>
        <w:t>ctorian empirical study’ (2015) </w:t>
      </w:r>
      <w:r w:rsidRPr="005158D0">
        <w:rPr>
          <w:lang w:eastAsia="en-US"/>
        </w:rPr>
        <w:t>22(5) </w:t>
      </w:r>
      <w:r w:rsidRPr="005158D0">
        <w:rPr>
          <w:i/>
          <w:iCs/>
          <w:lang w:eastAsia="en-US"/>
        </w:rPr>
        <w:t>Psychiatry, Psychology and Law</w:t>
      </w:r>
      <w:r w:rsidRPr="005158D0">
        <w:rPr>
          <w:lang w:eastAsia="en-US"/>
        </w:rPr>
        <w:t> 701.</w:t>
      </w:r>
    </w:p>
    <w:p w14:paraId="7FDCBDA6" w14:textId="77777777" w:rsidR="00003234" w:rsidRDefault="00003234" w:rsidP="00E33746">
      <w:pPr>
        <w:pStyle w:val="Bibliography"/>
      </w:pPr>
      <w:r>
        <w:t xml:space="preserve">Piers Gooding and Charles O’Mahoney, ‘Laws on unfitness to stand trial and the UN </w:t>
      </w:r>
      <w:r w:rsidRPr="00003234">
        <w:rPr>
          <w:i/>
        </w:rPr>
        <w:t>Convention on the Rights of Persons with Disabilities</w:t>
      </w:r>
      <w:r>
        <w:t xml:space="preserve">: Comparing reform in England, Wales, Northern Ireland and Australia,’ (2016) 44 </w:t>
      </w:r>
      <w:r w:rsidRPr="00003234">
        <w:rPr>
          <w:i/>
        </w:rPr>
        <w:t>International Journal of Law, Crime and Justice</w:t>
      </w:r>
      <w:r>
        <w:t xml:space="preserve"> 122.</w:t>
      </w:r>
    </w:p>
    <w:p w14:paraId="2786FFD6" w14:textId="32A30ADF" w:rsidR="00E950F8" w:rsidRDefault="00E356C1" w:rsidP="00326D59">
      <w:pPr>
        <w:pStyle w:val="Bibliography"/>
      </w:pPr>
      <w:r>
        <w:t xml:space="preserve">Piers Gooding, Bernadette McSherry, Anna Arstein-Kerslake, and Louis Andrews, ‘Unfitness to Stand Trial and the Indefinite Detention of Persons with Cognitive Disabilities in Australia: Human Rights Challenges and Proposals for Change’ (2017) 40 </w:t>
      </w:r>
      <w:r w:rsidRPr="00E950F8">
        <w:rPr>
          <w:i/>
        </w:rPr>
        <w:t>Melbo</w:t>
      </w:r>
      <w:r w:rsidR="00E950F8" w:rsidRPr="00E950F8">
        <w:rPr>
          <w:i/>
        </w:rPr>
        <w:t>urne University Law Review</w:t>
      </w:r>
      <w:r w:rsidR="00E950F8">
        <w:t xml:space="preserve"> 816</w:t>
      </w:r>
      <w:r w:rsidR="006A4324">
        <w:t>.</w:t>
      </w:r>
    </w:p>
    <w:p w14:paraId="4C9A88DA" w14:textId="77777777" w:rsidR="00C46605" w:rsidRDefault="00C46605" w:rsidP="00C46605">
      <w:pPr>
        <w:pStyle w:val="Bibliography"/>
      </w:pPr>
      <w:r w:rsidRPr="0033095D">
        <w:t>Katherine</w:t>
      </w:r>
      <w:r w:rsidRPr="001B55FA">
        <w:t xml:space="preserve"> </w:t>
      </w:r>
      <w:r>
        <w:t>Hafekost</w:t>
      </w:r>
      <w:r w:rsidRPr="0033095D">
        <w:t>, David Lawrence, Colleen O’Leary, Carol Bower, James Semme</w:t>
      </w:r>
      <w:r>
        <w:t>ns</w:t>
      </w:r>
      <w:r w:rsidRPr="0033095D">
        <w:t xml:space="preserve"> and Stephen R Zubrick, ‘Maternal alcohol use disorder and risk of child contact with the justice system in Western Australia: a population cohort record linkage study’ (2017) 41(8) </w:t>
      </w:r>
      <w:r w:rsidRPr="0033095D">
        <w:rPr>
          <w:i/>
          <w:iCs/>
        </w:rPr>
        <w:t xml:space="preserve">Alcoholism: clinical and experimental research </w:t>
      </w:r>
      <w:r>
        <w:t>1542.</w:t>
      </w:r>
    </w:p>
    <w:p w14:paraId="7C6C4C48" w14:textId="77777777" w:rsidR="00964259" w:rsidRPr="005158D0" w:rsidRDefault="00964259" w:rsidP="00964259">
      <w:pPr>
        <w:pStyle w:val="Bibliography"/>
        <w:rPr>
          <w:color w:val="000000" w:themeColor="text1"/>
        </w:rPr>
      </w:pPr>
      <w:r>
        <w:t>Carol</w:t>
      </w:r>
      <w:r w:rsidRPr="00FD287E">
        <w:t xml:space="preserve"> </w:t>
      </w:r>
      <w:r>
        <w:t xml:space="preserve">Hamilton, </w:t>
      </w:r>
      <w:r w:rsidRPr="005158D0">
        <w:t>‘Sterilisation and intellectually disabled people in New Zealand – still on the agenda?’ (</w:t>
      </w:r>
      <w:r w:rsidRPr="005158D0">
        <w:rPr>
          <w:color w:val="000000" w:themeColor="text1"/>
        </w:rPr>
        <w:t xml:space="preserve">2012) 7(2) </w:t>
      </w:r>
      <w:r w:rsidRPr="005158D0">
        <w:rPr>
          <w:i/>
          <w:color w:val="000000" w:themeColor="text1"/>
        </w:rPr>
        <w:t>Kotuitui: New Zealand Journal of Social Sciences Online</w:t>
      </w:r>
      <w:r>
        <w:rPr>
          <w:i/>
          <w:color w:val="000000" w:themeColor="text1"/>
        </w:rPr>
        <w:t> </w:t>
      </w:r>
      <w:r w:rsidRPr="005158D0">
        <w:rPr>
          <w:color w:val="000000" w:themeColor="text1"/>
        </w:rPr>
        <w:t>61.</w:t>
      </w:r>
    </w:p>
    <w:p w14:paraId="3BFAB961" w14:textId="77777777" w:rsidR="00AC2E06" w:rsidRDefault="00AC2E06" w:rsidP="00AC2E06">
      <w:pPr>
        <w:pStyle w:val="Bibliography"/>
      </w:pPr>
      <w:r w:rsidRPr="0033095D">
        <w:t>Leigh</w:t>
      </w:r>
      <w:r w:rsidRPr="001B55FA">
        <w:t xml:space="preserve"> </w:t>
      </w:r>
      <w:r>
        <w:t>Haysom, Devon Indig, Elizabeth Moore</w:t>
      </w:r>
      <w:r w:rsidRPr="0033095D">
        <w:t xml:space="preserve"> and Claire Gaskin, ‘Intellectual disability in young people in custody in New South Wales, Australia – prevalence and markers’ (2014) 58(11) </w:t>
      </w:r>
      <w:r w:rsidRPr="0033095D">
        <w:rPr>
          <w:i/>
          <w:iCs/>
        </w:rPr>
        <w:t>Journal of intellectual Disability Research</w:t>
      </w:r>
      <w:r>
        <w:t xml:space="preserve"> 1004.</w:t>
      </w:r>
    </w:p>
    <w:p w14:paraId="620A78E6" w14:textId="77777777" w:rsidR="00E95A48" w:rsidRPr="002E269C" w:rsidRDefault="00E95A48" w:rsidP="00326D59">
      <w:pPr>
        <w:pStyle w:val="Bibliography"/>
      </w:pPr>
      <w:r>
        <w:t xml:space="preserve">Kevin Healy, ‘The Assisted Decision-Making (Capacity) Bill 2013: A Step in the right direction but does it go far enough?’ (2014) 1 </w:t>
      </w:r>
      <w:r w:rsidRPr="00852204">
        <w:rPr>
          <w:i/>
        </w:rPr>
        <w:t>Irish Journal of Medical Science</w:t>
      </w:r>
      <w:r>
        <w:t xml:space="preserve"> 2.</w:t>
      </w:r>
    </w:p>
    <w:p w14:paraId="323B1B49" w14:textId="77777777" w:rsidR="00F408ED" w:rsidRDefault="00F408ED" w:rsidP="00F408ED">
      <w:pPr>
        <w:pStyle w:val="Bibliography"/>
      </w:pPr>
      <w:r w:rsidRPr="005158D0">
        <w:t>Ilana</w:t>
      </w:r>
      <w:r w:rsidRPr="00074F62">
        <w:t xml:space="preserve"> </w:t>
      </w:r>
      <w:r>
        <w:t>Hepner,</w:t>
      </w:r>
      <w:r w:rsidRPr="005158D0">
        <w:t xml:space="preserve"> Mary Woodward and Jeanette Stewart, ‘Giving the Vulnerable a Voice in the Criminal Justice System: The Use of Intermediaries with Individuals with Intellectual Disability’ (2015) 22(3) </w:t>
      </w:r>
      <w:r w:rsidRPr="005158D0">
        <w:rPr>
          <w:i/>
          <w:iCs/>
        </w:rPr>
        <w:t>Psychiatry, Psychology and Law</w:t>
      </w:r>
      <w:r>
        <w:t xml:space="preserve"> 453.</w:t>
      </w:r>
    </w:p>
    <w:p w14:paraId="34717D55" w14:textId="77777777" w:rsidR="00B00420" w:rsidRPr="005158D0" w:rsidRDefault="00B00420" w:rsidP="00B00420">
      <w:pPr>
        <w:pStyle w:val="Bibliography"/>
      </w:pPr>
      <w:r w:rsidRPr="005158D0">
        <w:t>Jonathon</w:t>
      </w:r>
      <w:r w:rsidRPr="00254064">
        <w:t xml:space="preserve"> </w:t>
      </w:r>
      <w:r>
        <w:t>Hunyor,</w:t>
      </w:r>
      <w:r w:rsidRPr="005158D0">
        <w:t xml:space="preserve"> ‘Imprisonment: Paperless arrests and the </w:t>
      </w:r>
      <w:r>
        <w:t>rise of executive power in the Northern T</w:t>
      </w:r>
      <w:r w:rsidRPr="005158D0">
        <w:t xml:space="preserve">erritory’ (2015) 8(21) </w:t>
      </w:r>
      <w:r w:rsidRPr="005158D0">
        <w:rPr>
          <w:i/>
        </w:rPr>
        <w:t>Indigenous Law Bulletin</w:t>
      </w:r>
      <w:r w:rsidRPr="005158D0">
        <w:t xml:space="preserve"> 3.</w:t>
      </w:r>
    </w:p>
    <w:p w14:paraId="08FC4E9B" w14:textId="77777777" w:rsidR="006E15F3" w:rsidRDefault="006E15F3" w:rsidP="00326D59">
      <w:pPr>
        <w:pStyle w:val="Bibliography"/>
        <w:rPr>
          <w:lang w:eastAsia="en-US"/>
        </w:rPr>
      </w:pPr>
      <w:r w:rsidRPr="005158D0">
        <w:rPr>
          <w:lang w:eastAsia="en-US"/>
        </w:rPr>
        <w:t>Annegret</w:t>
      </w:r>
      <w:r w:rsidRPr="00BF776F">
        <w:rPr>
          <w:lang w:eastAsia="en-US"/>
        </w:rPr>
        <w:t xml:space="preserve"> </w:t>
      </w:r>
      <w:r>
        <w:rPr>
          <w:lang w:eastAsia="en-US"/>
        </w:rPr>
        <w:t>Kampf,</w:t>
      </w:r>
      <w:r w:rsidRPr="005158D0">
        <w:rPr>
          <w:lang w:eastAsia="en-US"/>
        </w:rPr>
        <w:t xml:space="preserve"> ‘The Disabilities Convention and its consequences for mental health laws in Australia’ (2008) 26 </w:t>
      </w:r>
      <w:r w:rsidRPr="005158D0">
        <w:rPr>
          <w:i/>
          <w:iCs/>
          <w:lang w:eastAsia="en-US"/>
        </w:rPr>
        <w:t>Law Context: A Socio-Legal J</w:t>
      </w:r>
      <w:r w:rsidRPr="005158D0">
        <w:rPr>
          <w:i/>
          <w:lang w:eastAsia="en-US"/>
        </w:rPr>
        <w:t xml:space="preserve">ournal </w:t>
      </w:r>
      <w:r>
        <w:rPr>
          <w:lang w:eastAsia="en-US"/>
        </w:rPr>
        <w:t>10.</w:t>
      </w:r>
    </w:p>
    <w:p w14:paraId="1F4C92BE" w14:textId="77777777" w:rsidR="00E950F8" w:rsidRDefault="00E950F8" w:rsidP="00326D59">
      <w:pPr>
        <w:pStyle w:val="Bibliography"/>
      </w:pPr>
      <w:r>
        <w:lastRenderedPageBreak/>
        <w:t xml:space="preserve">Stacey Lim, Ian Lambie and Erana Cooper, ‘New Zealand Youth That Sexually Offend: Improving Outcomes for Maori Rangatahi and Their Whanau’ (2012) 24(5) </w:t>
      </w:r>
      <w:r w:rsidRPr="00E950F8">
        <w:rPr>
          <w:i/>
        </w:rPr>
        <w:t>Sexual Abuse: A Journal of Research and Treatment</w:t>
      </w:r>
      <w:r>
        <w:t xml:space="preserve"> 459.</w:t>
      </w:r>
    </w:p>
    <w:p w14:paraId="1A701CAC" w14:textId="77777777" w:rsidR="00AC2E06" w:rsidRDefault="00AC2E06" w:rsidP="00AC2E06">
      <w:pPr>
        <w:pStyle w:val="Bibliography"/>
      </w:pPr>
      <w:r w:rsidRPr="005158D0">
        <w:t>Jane</w:t>
      </w:r>
      <w:r>
        <w:t xml:space="preserve"> E</w:t>
      </w:r>
      <w:r w:rsidRPr="001B55FA">
        <w:t xml:space="preserve"> </w:t>
      </w:r>
      <w:r w:rsidRPr="005158D0">
        <w:t>Lloyd</w:t>
      </w:r>
      <w:r>
        <w:t>, Dea Delaney-Thiele, Penny Abbott, Eileen Baldry, Elizabeth McEntyre, Jennifer Reath, Devon Indig, Juanita Sherwood and Mark F Harris</w:t>
      </w:r>
      <w:r w:rsidRPr="005158D0">
        <w:t xml:space="preserve">, ‘The role of primary health care services to better meet the needs of Aboriginal Australians transitioning from prison to the community’ (2015) 16(1) </w:t>
      </w:r>
      <w:r w:rsidRPr="005158D0">
        <w:rPr>
          <w:i/>
          <w:iCs/>
        </w:rPr>
        <w:t>BMC Family Practice</w:t>
      </w:r>
      <w:r>
        <w:t xml:space="preserve"> 86.</w:t>
      </w:r>
    </w:p>
    <w:p w14:paraId="7FBF0895" w14:textId="77777777" w:rsidR="005E21A0" w:rsidRDefault="005E21A0" w:rsidP="00326D59">
      <w:pPr>
        <w:pStyle w:val="Bibliography"/>
      </w:pPr>
      <w:r w:rsidRPr="005158D0">
        <w:rPr>
          <w:lang w:eastAsia="en-US"/>
        </w:rPr>
        <w:t>Yvette</w:t>
      </w:r>
      <w:r w:rsidRPr="006F03BE">
        <w:rPr>
          <w:lang w:eastAsia="en-US"/>
        </w:rPr>
        <w:t xml:space="preserve"> </w:t>
      </w:r>
      <w:r w:rsidRPr="005158D0">
        <w:rPr>
          <w:lang w:eastAsia="en-US"/>
        </w:rPr>
        <w:t>Maker</w:t>
      </w:r>
      <w:r>
        <w:rPr>
          <w:lang w:eastAsia="en-US"/>
        </w:rPr>
        <w:t>, Bernadette McSherry, Lisa Brophy, Jeannie Paterson and Anna Arstein-Kerslake</w:t>
      </w:r>
      <w:r w:rsidRPr="005158D0">
        <w:rPr>
          <w:lang w:eastAsia="en-US"/>
        </w:rPr>
        <w:t xml:space="preserve">, ‘Supporting people with decision-making impairments: Choice, control and consumer transactions’ (2017) 24(4) </w:t>
      </w:r>
      <w:r w:rsidRPr="005158D0">
        <w:rPr>
          <w:i/>
          <w:lang w:eastAsia="en-US"/>
        </w:rPr>
        <w:t xml:space="preserve">Journal of Law and Medicine </w:t>
      </w:r>
      <w:r w:rsidRPr="005158D0">
        <w:rPr>
          <w:lang w:eastAsia="en-US"/>
        </w:rPr>
        <w:t>756.</w:t>
      </w:r>
    </w:p>
    <w:p w14:paraId="381E997A" w14:textId="77777777" w:rsidR="0066181E" w:rsidRPr="005158D0" w:rsidRDefault="0066181E" w:rsidP="0066181E">
      <w:pPr>
        <w:pStyle w:val="Bibliography"/>
      </w:pPr>
      <w:r w:rsidRPr="005158D0">
        <w:t>Ruth</w:t>
      </w:r>
      <w:r w:rsidRPr="0074739F">
        <w:t xml:space="preserve"> </w:t>
      </w:r>
      <w:r w:rsidRPr="005158D0">
        <w:t xml:space="preserve">McCausland and Eileen Baldry, ‘I feel like I failed him by ringing the police: Criminalising disability in Australia’ (2017) 19 (3) </w:t>
      </w:r>
      <w:r w:rsidRPr="005158D0">
        <w:rPr>
          <w:i/>
          <w:iCs/>
        </w:rPr>
        <w:t xml:space="preserve">Punishment &amp; Society </w:t>
      </w:r>
      <w:r w:rsidRPr="005158D0">
        <w:t>290</w:t>
      </w:r>
      <w:r>
        <w:t>.</w:t>
      </w:r>
    </w:p>
    <w:p w14:paraId="7D14E481" w14:textId="77777777" w:rsidR="00003234" w:rsidRDefault="00003234" w:rsidP="00326D59">
      <w:pPr>
        <w:pStyle w:val="Bibliography"/>
      </w:pPr>
      <w:r>
        <w:t xml:space="preserve">Bernadette McSherry, ‘Regulating seclusion and restraint in health care settings: The promise of the </w:t>
      </w:r>
      <w:r w:rsidRPr="00003234">
        <w:rPr>
          <w:i/>
        </w:rPr>
        <w:t>Convention on the Rights of Persons with Disabilities</w:t>
      </w:r>
      <w:r>
        <w:t xml:space="preserve">’ (2017) 53 </w:t>
      </w:r>
      <w:r w:rsidRPr="00003234">
        <w:rPr>
          <w:i/>
        </w:rPr>
        <w:t>International Journal of Law and Psychiatry</w:t>
      </w:r>
      <w:r>
        <w:t xml:space="preserve"> 39.</w:t>
      </w:r>
    </w:p>
    <w:p w14:paraId="7C67CEA2" w14:textId="77777777" w:rsidR="006E15F3" w:rsidRDefault="006E15F3" w:rsidP="00326D59">
      <w:pPr>
        <w:pStyle w:val="Bibliography"/>
        <w:rPr>
          <w:lang w:eastAsia="en-US"/>
        </w:rPr>
      </w:pPr>
      <w:r w:rsidRPr="005158D0">
        <w:rPr>
          <w:lang w:eastAsia="en-US"/>
        </w:rPr>
        <w:t>Bernadette</w:t>
      </w:r>
      <w:r w:rsidRPr="006F03BE">
        <w:rPr>
          <w:lang w:eastAsia="en-US"/>
        </w:rPr>
        <w:t xml:space="preserve"> </w:t>
      </w:r>
      <w:r w:rsidRPr="005158D0">
        <w:rPr>
          <w:lang w:eastAsia="en-US"/>
        </w:rPr>
        <w:t xml:space="preserve">McSherry and Kay Wilson, ‘The concept of capacity in Australian mental health law reform: Going in the wrong direction?’ (2015) </w:t>
      </w:r>
      <w:r w:rsidRPr="005158D0">
        <w:rPr>
          <w:i/>
          <w:iCs/>
          <w:lang w:eastAsia="en-US"/>
        </w:rPr>
        <w:t>International journal of law and psychiatry</w:t>
      </w:r>
      <w:r>
        <w:rPr>
          <w:lang w:eastAsia="en-US"/>
        </w:rPr>
        <w:t> 60.</w:t>
      </w:r>
    </w:p>
    <w:p w14:paraId="7B83B2AD" w14:textId="77777777" w:rsidR="000F27F6" w:rsidRPr="005158D0" w:rsidRDefault="000F27F6" w:rsidP="000F27F6">
      <w:pPr>
        <w:pStyle w:val="Bibliography"/>
      </w:pPr>
      <w:r w:rsidRPr="005158D0">
        <w:t>Bernadette</w:t>
      </w:r>
      <w:r w:rsidRPr="00FD287E">
        <w:t xml:space="preserve"> </w:t>
      </w:r>
      <w:r w:rsidRPr="005158D0">
        <w:t>McSherry and Juan Jose Tellez</w:t>
      </w:r>
      <w:r>
        <w:t>,</w:t>
      </w:r>
      <w:r w:rsidRPr="005158D0">
        <w:t xml:space="preserve"> Current Challenges for the Regulation of Chemical Restraint in Healthcare settings</w:t>
      </w:r>
      <w:r w:rsidRPr="00EC5229">
        <w:t xml:space="preserve"> </w:t>
      </w:r>
      <w:r w:rsidRPr="005158D0">
        <w:t xml:space="preserve">(2016) 24 </w:t>
      </w:r>
      <w:r w:rsidRPr="00893CDD">
        <w:rPr>
          <w:i/>
        </w:rPr>
        <w:t>Journal of Law and Medicine</w:t>
      </w:r>
      <w:r w:rsidRPr="005158D0">
        <w:t xml:space="preserve"> 15.</w:t>
      </w:r>
    </w:p>
    <w:p w14:paraId="1FCF339C" w14:textId="77777777" w:rsidR="00B629CF" w:rsidRPr="005158D0" w:rsidRDefault="00B629CF" w:rsidP="00B629CF">
      <w:pPr>
        <w:pStyle w:val="Bibliography"/>
      </w:pPr>
      <w:r w:rsidRPr="005158D0">
        <w:t>Tiho</w:t>
      </w:r>
      <w:r w:rsidRPr="00026400">
        <w:t xml:space="preserve"> </w:t>
      </w:r>
      <w:r>
        <w:t>Mijatov,</w:t>
      </w:r>
      <w:r w:rsidRPr="005158D0">
        <w:t xml:space="preserve"> Tom Barraclough and Warren Forster, ‘The Idea of Access to Justice: Reflections on New Zealand’s Motor Vehicle Accident Compensation (Or Personal Injury) System, (2016) 33 </w:t>
      </w:r>
      <w:r w:rsidRPr="005158D0">
        <w:rPr>
          <w:i/>
        </w:rPr>
        <w:t xml:space="preserve">Windsor Yearbook of Access to Justice </w:t>
      </w:r>
      <w:r w:rsidRPr="005158D0">
        <w:t>197.</w:t>
      </w:r>
    </w:p>
    <w:p w14:paraId="7AA01701" w14:textId="77777777" w:rsidR="00D32B2D" w:rsidRPr="005158D0" w:rsidRDefault="00D32B2D" w:rsidP="00D32B2D">
      <w:pPr>
        <w:pStyle w:val="Bibliography"/>
        <w:rPr>
          <w:lang w:val="en-US"/>
        </w:rPr>
      </w:pPr>
      <w:r w:rsidRPr="005158D0">
        <w:t>Rebecca</w:t>
      </w:r>
      <w:r w:rsidRPr="005512CC">
        <w:t xml:space="preserve"> </w:t>
      </w:r>
      <w:r w:rsidRPr="005158D0">
        <w:t>Milne</w:t>
      </w:r>
      <w:r>
        <w:t>, Stefanie J Sharman, Martine B Powell and Sarah Mead,</w:t>
      </w:r>
      <w:r w:rsidRPr="005158D0">
        <w:t xml:space="preserve"> ‘Assessing the effectiveness of cognitive interview for children with severe intellectual disabilities’ (2013) 60 </w:t>
      </w:r>
      <w:r w:rsidRPr="005158D0">
        <w:rPr>
          <w:i/>
        </w:rPr>
        <w:t>International Journal of Disability, Development and Education</w:t>
      </w:r>
      <w:r w:rsidRPr="005158D0">
        <w:t xml:space="preserve"> 18.</w:t>
      </w:r>
    </w:p>
    <w:p w14:paraId="7475365C" w14:textId="77777777" w:rsidR="00355156" w:rsidRDefault="00355156" w:rsidP="00355156">
      <w:pPr>
        <w:pStyle w:val="Bibliography"/>
      </w:pPr>
      <w:r w:rsidRPr="005158D0">
        <w:t>Jennifer</w:t>
      </w:r>
      <w:r w:rsidRPr="00026400">
        <w:t xml:space="preserve"> </w:t>
      </w:r>
      <w:r>
        <w:t>Moore,</w:t>
      </w:r>
      <w:r w:rsidRPr="005158D0">
        <w:t xml:space="preserve"> Donna Buckingham and Kate Diesfeld, ‘Disciplinary Tribunal Cases Involving New Zealand Lawyers with Physical or Mental Impairment, 2009</w:t>
      </w:r>
      <w:r>
        <w:softHyphen/>
      </w:r>
      <w:r w:rsidRPr="005158D0">
        <w:t>2013’ (2015) 22(5)</w:t>
      </w:r>
      <w:r w:rsidRPr="005158D0">
        <w:rPr>
          <w:i/>
        </w:rPr>
        <w:t xml:space="preserve"> Psychiatry, Psychology and Law </w:t>
      </w:r>
      <w:r>
        <w:t>649</w:t>
      </w:r>
      <w:r w:rsidRPr="005158D0">
        <w:t>.</w:t>
      </w:r>
    </w:p>
    <w:p w14:paraId="63F91611" w14:textId="77777777" w:rsidR="00CA515E" w:rsidRDefault="00CA515E" w:rsidP="00CA515E">
      <w:pPr>
        <w:pStyle w:val="Bibliography"/>
      </w:pPr>
      <w:r w:rsidRPr="005158D0">
        <w:t>Lillian</w:t>
      </w:r>
      <w:r w:rsidRPr="00FD287E">
        <w:t xml:space="preserve"> </w:t>
      </w:r>
      <w:r>
        <w:t>Ng,</w:t>
      </w:r>
      <w:r w:rsidRPr="005158D0">
        <w:t xml:space="preserve"> Susan Hatters Friedman and Kate Diesfeld, ‘Checking and Balancing New Zealand’s Mental Health Review Tribunal: Perspectives of Forensic Patients’ (2016) 23(1) </w:t>
      </w:r>
      <w:r w:rsidRPr="005158D0">
        <w:rPr>
          <w:i/>
        </w:rPr>
        <w:t>Psychiatry, Psychology and Law</w:t>
      </w:r>
      <w:r w:rsidRPr="005158D0">
        <w:t xml:space="preserve"> 135</w:t>
      </w:r>
      <w:r>
        <w:t>.</w:t>
      </w:r>
    </w:p>
    <w:p w14:paraId="7792AFB8" w14:textId="77777777" w:rsidR="005B2B17" w:rsidRDefault="005B2B17" w:rsidP="005B2B17">
      <w:pPr>
        <w:pStyle w:val="Bibliography"/>
      </w:pPr>
      <w:r w:rsidRPr="00ED43F6">
        <w:t>Margaret</w:t>
      </w:r>
      <w:r w:rsidRPr="00074F62">
        <w:t xml:space="preserve"> </w:t>
      </w:r>
      <w:r>
        <w:t>Nixon</w:t>
      </w:r>
      <w:r w:rsidRPr="00ED43F6">
        <w:t>, Stuart </w:t>
      </w:r>
      <w:r>
        <w:t>D M Thomas, Michael Daffern</w:t>
      </w:r>
      <w:r w:rsidRPr="00ED43F6">
        <w:t xml:space="preserve"> and James R P Ogloff, ‘Estimating the risk of crime and victimisation in people with intellectual disability: a data-linkage study’ (2017) 52 (5) </w:t>
      </w:r>
      <w:r w:rsidRPr="00ED43F6">
        <w:rPr>
          <w:i/>
          <w:iCs/>
        </w:rPr>
        <w:t xml:space="preserve">Social Psychiatry and Psychiatric Epidemiology </w:t>
      </w:r>
      <w:r>
        <w:t>617.</w:t>
      </w:r>
    </w:p>
    <w:p w14:paraId="1C2683A6" w14:textId="77777777" w:rsidR="00A203F8" w:rsidRPr="005158D0" w:rsidRDefault="00A203F8" w:rsidP="00A203F8">
      <w:pPr>
        <w:pStyle w:val="Bibliography"/>
      </w:pPr>
      <w:r w:rsidRPr="005158D0">
        <w:t>Anthony</w:t>
      </w:r>
      <w:r w:rsidRPr="00FD287E">
        <w:t xml:space="preserve"> </w:t>
      </w:r>
      <w:r>
        <w:t>O’Brien,</w:t>
      </w:r>
      <w:r w:rsidRPr="005158D0">
        <w:t xml:space="preserve"> ‘Community Treatment orders in New Zealand: Regional Variability and international comparisons’ (2014) 22(4) </w:t>
      </w:r>
      <w:r w:rsidRPr="005158D0">
        <w:rPr>
          <w:i/>
        </w:rPr>
        <w:t>Australasian Psychiatry</w:t>
      </w:r>
      <w:r w:rsidRPr="005158D0">
        <w:t xml:space="preserve"> 352.</w:t>
      </w:r>
    </w:p>
    <w:p w14:paraId="5A286687" w14:textId="77777777" w:rsidR="00B37762" w:rsidRDefault="00B37762" w:rsidP="00B37762">
      <w:pPr>
        <w:pStyle w:val="Bibliography"/>
      </w:pPr>
      <w:r w:rsidRPr="005158D0">
        <w:lastRenderedPageBreak/>
        <w:t>Anthony</w:t>
      </w:r>
      <w:r w:rsidRPr="001B55FA">
        <w:t xml:space="preserve"> </w:t>
      </w:r>
      <w:r w:rsidRPr="005158D0">
        <w:t xml:space="preserve">O’Brien and Katey Thom, ‘Police use of TASER devices in mental health emergencies: A review’ (2014) 37 </w:t>
      </w:r>
      <w:r w:rsidRPr="005158D0">
        <w:rPr>
          <w:i/>
        </w:rPr>
        <w:t xml:space="preserve">International Journal of Law and Psychiatry </w:t>
      </w:r>
      <w:r w:rsidRPr="005158D0">
        <w:t>420.</w:t>
      </w:r>
    </w:p>
    <w:p w14:paraId="3AD5ACF2" w14:textId="77777777" w:rsidR="001D44FE" w:rsidRPr="005158D0" w:rsidRDefault="001D44FE" w:rsidP="001D44FE">
      <w:pPr>
        <w:pStyle w:val="Bibliography"/>
      </w:pPr>
      <w:r w:rsidRPr="005158D0">
        <w:t>Katrina</w:t>
      </w:r>
      <w:r>
        <w:t xml:space="preserve"> </w:t>
      </w:r>
      <w:r w:rsidRPr="005158D0">
        <w:t xml:space="preserve">Pestka and Sarah Wendt, ‘Belonging: women living with intellectual disabilities and experiences of domestic violence’ (2014) 29(7) </w:t>
      </w:r>
      <w:r w:rsidRPr="005158D0">
        <w:rPr>
          <w:i/>
        </w:rPr>
        <w:t>Disability &amp; Society</w:t>
      </w:r>
      <w:r w:rsidRPr="005158D0">
        <w:t xml:space="preserve"> 1031.</w:t>
      </w:r>
    </w:p>
    <w:p w14:paraId="681311AD" w14:textId="77777777" w:rsidR="00B37762" w:rsidRDefault="00B37762" w:rsidP="00B37762">
      <w:pPr>
        <w:pStyle w:val="Bibliography"/>
      </w:pPr>
      <w:r w:rsidRPr="005158D0">
        <w:t>Kat</w:t>
      </w:r>
      <w:r>
        <w:t>e</w:t>
      </w:r>
      <w:r w:rsidRPr="001B55FA">
        <w:t xml:space="preserve"> </w:t>
      </w:r>
      <w:r>
        <w:t>Prebble,</w:t>
      </w:r>
      <w:r w:rsidRPr="005158D0">
        <w:t xml:space="preserve"> </w:t>
      </w:r>
      <w:r>
        <w:t>Kate Diesfeld, Rosemary Frey, Daniel Sutton, Michelle Honey, Russell Vickery and Brian McKenna,</w:t>
      </w:r>
      <w:r w:rsidRPr="005158D0">
        <w:t xml:space="preserve"> ‘The care manager’s dilemma: balancing human rights with risk management under the </w:t>
      </w:r>
      <w:r w:rsidRPr="004F7AA2">
        <w:rPr>
          <w:i/>
        </w:rPr>
        <w:t>Intellectual Disability (Compulsory Care and Rehabilitation) Act 2003</w:t>
      </w:r>
      <w:r w:rsidRPr="005158D0">
        <w:t xml:space="preserve">’ (2013) 28(1) </w:t>
      </w:r>
      <w:r w:rsidRPr="005158D0">
        <w:rPr>
          <w:i/>
        </w:rPr>
        <w:t xml:space="preserve">Disability &amp; Society </w:t>
      </w:r>
      <w:r w:rsidRPr="005158D0">
        <w:t>110.</w:t>
      </w:r>
    </w:p>
    <w:p w14:paraId="6AA02524" w14:textId="77777777" w:rsidR="00CD0A52" w:rsidRPr="005158D0" w:rsidRDefault="00CD0A52" w:rsidP="00CD0A52">
      <w:pPr>
        <w:pStyle w:val="Bibliography"/>
      </w:pPr>
      <w:r w:rsidRPr="005158D0">
        <w:t>Kate</w:t>
      </w:r>
      <w:r w:rsidRPr="00FD287E">
        <w:t xml:space="preserve"> </w:t>
      </w:r>
      <w:r>
        <w:t>Prebble,</w:t>
      </w:r>
      <w:r w:rsidRPr="005158D0">
        <w:t xml:space="preserve"> Claire Gooder and Katey Thom, ‘New Zealand’s mental health district inspector in historical context: ‘the impartial scrutiny of a citizen of standing’’ (2015) 22(2) </w:t>
      </w:r>
      <w:r w:rsidRPr="005158D0">
        <w:rPr>
          <w:i/>
          <w:iCs/>
        </w:rPr>
        <w:t xml:space="preserve">Journal of Law and Medicine </w:t>
      </w:r>
      <w:r w:rsidRPr="005158D0">
        <w:t>415</w:t>
      </w:r>
      <w:r>
        <w:t>.</w:t>
      </w:r>
    </w:p>
    <w:p w14:paraId="1CBDD263" w14:textId="5CD4BBA1" w:rsidR="00CD0A52" w:rsidRDefault="00CD0A52" w:rsidP="00CD0A52">
      <w:pPr>
        <w:pStyle w:val="Bibliography"/>
      </w:pPr>
      <w:r w:rsidRPr="005158D0">
        <w:t>Kate</w:t>
      </w:r>
      <w:r w:rsidRPr="00FD287E">
        <w:t xml:space="preserve"> </w:t>
      </w:r>
      <w:r>
        <w:t>Prebble,</w:t>
      </w:r>
      <w:r w:rsidRPr="005158D0">
        <w:t xml:space="preserve"> Katey Thom and Elizabeth Hudso</w:t>
      </w:r>
      <w:r w:rsidR="00F83BBB">
        <w:t xml:space="preserve">n, </w:t>
      </w:r>
      <w:r w:rsidRPr="005158D0">
        <w:t xml:space="preserve">Service users’ experiences of voluntary mental hospital admission and treatment: A review of recent literature’ (2015) 22(3) </w:t>
      </w:r>
      <w:r w:rsidRPr="005158D0">
        <w:rPr>
          <w:i/>
          <w:iCs/>
        </w:rPr>
        <w:t xml:space="preserve">Psychiatry, Psychology and </w:t>
      </w:r>
      <w:r w:rsidRPr="00F83BBB">
        <w:rPr>
          <w:i/>
          <w:iCs/>
        </w:rPr>
        <w:t xml:space="preserve">Law </w:t>
      </w:r>
      <w:r w:rsidRPr="00F83BBB">
        <w:t>327–36.</w:t>
      </w:r>
    </w:p>
    <w:p w14:paraId="6506A2C0" w14:textId="77777777" w:rsidR="00FA589F" w:rsidRDefault="00FA589F" w:rsidP="00326D59">
      <w:pPr>
        <w:pStyle w:val="Bibliography"/>
      </w:pPr>
      <w:r>
        <w:t xml:space="preserve">Geneva Richardson, ‘Mental disabilities and the law: From substitute to supported decision-making?’ (2012) 65(1) </w:t>
      </w:r>
      <w:r w:rsidRPr="00FF3387">
        <w:rPr>
          <w:i/>
        </w:rPr>
        <w:t>Current Legal Problems</w:t>
      </w:r>
      <w:r>
        <w:t xml:space="preserve"> 333.</w:t>
      </w:r>
    </w:p>
    <w:p w14:paraId="7FF282AE" w14:textId="77777777" w:rsidR="00B4284F" w:rsidRDefault="00B4284F" w:rsidP="00AA7CD6">
      <w:pPr>
        <w:pStyle w:val="Bibliography"/>
      </w:pPr>
      <w:r>
        <w:t xml:space="preserve">Joseph A Sakdalan and Vincent Egan, ‘Fitness to Stand Trial in New Zealand: Different Factors Associated with Fitness to Stand Trial Between Mentally Disordered and Intellectual Disabled Defendants in the New Zealand Criminal Justice System’ (2014) 21(5) </w:t>
      </w:r>
      <w:r w:rsidRPr="00360D69">
        <w:rPr>
          <w:i/>
        </w:rPr>
        <w:t>Psychiatry, Psychology and Law</w:t>
      </w:r>
      <w:r>
        <w:t xml:space="preserve"> 658.</w:t>
      </w:r>
    </w:p>
    <w:p w14:paraId="0025ACCF" w14:textId="58A7A648" w:rsidR="00E950F8" w:rsidRDefault="00E356C1" w:rsidP="00AA7CD6">
      <w:pPr>
        <w:pStyle w:val="Bibliography"/>
      </w:pPr>
      <w:r>
        <w:t>Marie Segrave, Claire Spivakovsky and Anna Eriksson, ‘The Maelstrom of punishment, mental illness, intellectual disability and cognitive impairment’ (2017) 19</w:t>
      </w:r>
      <w:r w:rsidR="00E950F8">
        <w:t xml:space="preserve">(3) </w:t>
      </w:r>
      <w:r w:rsidR="00E950F8" w:rsidRPr="00E950F8">
        <w:rPr>
          <w:i/>
        </w:rPr>
        <w:t>Punishment and Society</w:t>
      </w:r>
      <w:r w:rsidR="00E950F8">
        <w:t xml:space="preserve"> 267</w:t>
      </w:r>
      <w:r w:rsidR="006A4324">
        <w:t>.</w:t>
      </w:r>
    </w:p>
    <w:p w14:paraId="7B4C05C4" w14:textId="77777777" w:rsidR="00EC54EA" w:rsidRDefault="00EC54EA" w:rsidP="00AA7CD6">
      <w:pPr>
        <w:pStyle w:val="Bibliography"/>
      </w:pPr>
      <w:r>
        <w:t xml:space="preserve">Lucy Series, ‘Relationships, autonomy and legal capacity: Mental capacity and support paradigms’ (2015) 40 </w:t>
      </w:r>
      <w:r w:rsidRPr="00FF3387">
        <w:rPr>
          <w:i/>
        </w:rPr>
        <w:t>International journal of law and psychiatry</w:t>
      </w:r>
      <w:r>
        <w:t xml:space="preserve"> 80.</w:t>
      </w:r>
    </w:p>
    <w:p w14:paraId="54FCAB14" w14:textId="77777777" w:rsidR="008230E1" w:rsidRDefault="008230E1" w:rsidP="008230E1">
      <w:pPr>
        <w:pStyle w:val="Bibliography"/>
      </w:pPr>
      <w:r w:rsidRPr="005158D0">
        <w:t>Jeremy</w:t>
      </w:r>
      <w:r w:rsidRPr="00FD287E">
        <w:t xml:space="preserve"> </w:t>
      </w:r>
      <w:r>
        <w:t>Skipworth,</w:t>
      </w:r>
      <w:r w:rsidRPr="005158D0">
        <w:t xml:space="preserve"> John Dawson and Pete Ellis, ‘Capacity of forensic patients to consent to treatment’ (2012) 47(5) </w:t>
      </w:r>
      <w:r w:rsidRPr="005158D0">
        <w:rPr>
          <w:i/>
        </w:rPr>
        <w:t>Australian &amp; New Zealand Journal of Psychiatry</w:t>
      </w:r>
      <w:r w:rsidRPr="005158D0">
        <w:t xml:space="preserve"> 443.</w:t>
      </w:r>
    </w:p>
    <w:p w14:paraId="0558436B" w14:textId="77777777" w:rsidR="006B01CD" w:rsidRDefault="006B01CD" w:rsidP="006B01CD">
      <w:pPr>
        <w:pStyle w:val="Bibliography"/>
      </w:pPr>
      <w:r w:rsidRPr="005158D0">
        <w:t>Karen</w:t>
      </w:r>
      <w:r w:rsidRPr="001B55FA">
        <w:t xml:space="preserve"> </w:t>
      </w:r>
      <w:r w:rsidRPr="005158D0">
        <w:t>Soldatic</w:t>
      </w:r>
      <w:r>
        <w:t>, Georgia van Toorn, Leanne Dowse and Kristy Muir</w:t>
      </w:r>
      <w:r w:rsidRPr="005158D0">
        <w:t xml:space="preserve">, ‘Intellectual disability and complex intersections: Marginalisation under the National Disability Insurance Scheme’ (2014) 1(1) </w:t>
      </w:r>
      <w:r w:rsidRPr="005158D0">
        <w:rPr>
          <w:i/>
          <w:iCs/>
        </w:rPr>
        <w:t xml:space="preserve">Research and Practice in Intellectual and Developmental Disabilities </w:t>
      </w:r>
      <w:r w:rsidRPr="005158D0">
        <w:t>6.</w:t>
      </w:r>
    </w:p>
    <w:p w14:paraId="24E4AA17" w14:textId="77777777" w:rsidR="00CE269F" w:rsidRPr="00620053" w:rsidRDefault="00CE269F" w:rsidP="00CE269F">
      <w:pPr>
        <w:pStyle w:val="Bibliography"/>
      </w:pPr>
      <w:r>
        <w:t>Karen</w:t>
      </w:r>
      <w:r w:rsidRPr="00CE269F">
        <w:t xml:space="preserve"> </w:t>
      </w:r>
      <w:r>
        <w:t>Soldatic, Kelly Somers, Amma Buckley and Caroline Fleay,</w:t>
      </w:r>
      <w:r w:rsidRPr="005158D0">
        <w:t xml:space="preserve"> ‘‘Nowhere to be found’: disabled refugees and asylum seekers within the Australian resettlement landscape’ (2017) 2(1) </w:t>
      </w:r>
      <w:r w:rsidRPr="005158D0">
        <w:rPr>
          <w:i/>
        </w:rPr>
        <w:t>Disability and the Global South</w:t>
      </w:r>
      <w:r w:rsidRPr="005158D0">
        <w:t xml:space="preserve"> 501.</w:t>
      </w:r>
    </w:p>
    <w:p w14:paraId="337E42A5" w14:textId="77777777" w:rsidR="00A043B0" w:rsidRDefault="00A043B0" w:rsidP="00AA7CD6">
      <w:pPr>
        <w:pStyle w:val="Bibliography"/>
      </w:pPr>
      <w:r>
        <w:t xml:space="preserve">Claire Spivakovsky, ‘From punishment to protection: Containing and controlling the lives of people with disabilities in human rights’ (2014) 16(5) </w:t>
      </w:r>
      <w:r w:rsidRPr="00A043B0">
        <w:rPr>
          <w:i/>
        </w:rPr>
        <w:t>Punishment and Society</w:t>
      </w:r>
      <w:r>
        <w:t xml:space="preserve"> 560. </w:t>
      </w:r>
    </w:p>
    <w:p w14:paraId="3BADA487" w14:textId="77777777" w:rsidR="00A043B0" w:rsidRDefault="00A043B0" w:rsidP="00AA7CD6">
      <w:pPr>
        <w:pStyle w:val="Bibliography"/>
      </w:pPr>
      <w:r>
        <w:lastRenderedPageBreak/>
        <w:t xml:space="preserve">Claire Spivakovsky and Kate Seear, ‘Making the abject: problem-solving courts, addition, mental illness and impairment’ (2017) 31(3) </w:t>
      </w:r>
      <w:r w:rsidRPr="00A043B0">
        <w:rPr>
          <w:i/>
        </w:rPr>
        <w:t>Continuum Journal of Media and Cultural Studies</w:t>
      </w:r>
      <w:r>
        <w:t xml:space="preserve"> 458.</w:t>
      </w:r>
    </w:p>
    <w:p w14:paraId="33D872C0" w14:textId="5C6FFF42" w:rsidR="00D332A8" w:rsidRDefault="00D332A8" w:rsidP="00AA7CD6">
      <w:pPr>
        <w:pStyle w:val="Bibliography"/>
      </w:pPr>
      <w:r>
        <w:t>Jill Stavert, ‘The exercise of legal capacity, supported decision-making and Scotland’s mental health and incapacity legislation: worki</w:t>
      </w:r>
      <w:r w:rsidR="007553A8">
        <w:t>ng with CRPD challenges’ (2015) </w:t>
      </w:r>
      <w:r>
        <w:t xml:space="preserve">4(2) </w:t>
      </w:r>
      <w:r w:rsidRPr="00FF3387">
        <w:rPr>
          <w:i/>
        </w:rPr>
        <w:t>Laws</w:t>
      </w:r>
      <w:r>
        <w:t xml:space="preserve"> 296.</w:t>
      </w:r>
    </w:p>
    <w:p w14:paraId="6A7D7701" w14:textId="0F8DA2D1" w:rsidR="00A043B0" w:rsidRDefault="00A043B0" w:rsidP="00EF098B">
      <w:pPr>
        <w:pStyle w:val="Bibliography"/>
      </w:pPr>
      <w:r>
        <w:t xml:space="preserve">Linda Steele, ‘Policing normalcy: sexual violence against women offenders with disability’ (2017) 31(3) </w:t>
      </w:r>
      <w:r w:rsidRPr="00A043B0">
        <w:rPr>
          <w:i/>
        </w:rPr>
        <w:t>Continuum Journal of Media &amp; Cultural Studies</w:t>
      </w:r>
      <w:r>
        <w:t xml:space="preserve"> 422.</w:t>
      </w:r>
    </w:p>
    <w:p w14:paraId="621472B1" w14:textId="773109B8" w:rsidR="00465E47" w:rsidRDefault="00465E47" w:rsidP="00EF098B">
      <w:pPr>
        <w:pStyle w:val="Bibliography"/>
      </w:pPr>
      <w:r>
        <w:t>Linda Steele, Leanne Dowse and Julian Trofimovs, ‘Who is Diverted? Moving beyond Diagnosed Impairment towards a Social and Political Analysis of Diversion’</w:t>
      </w:r>
      <w:r w:rsidR="00EF098B">
        <w:t xml:space="preserve"> [2016] </w:t>
      </w:r>
      <w:r>
        <w:t xml:space="preserve">8 </w:t>
      </w:r>
      <w:r w:rsidRPr="00B41DED">
        <w:rPr>
          <w:i/>
        </w:rPr>
        <w:t>Sydney Law Review</w:t>
      </w:r>
      <w:r>
        <w:t xml:space="preserve"> 179.</w:t>
      </w:r>
    </w:p>
    <w:p w14:paraId="080FE66A" w14:textId="77777777" w:rsidR="00D332A8" w:rsidRDefault="00D332A8" w:rsidP="00EF098B">
      <w:pPr>
        <w:pStyle w:val="Bibliography"/>
      </w:pPr>
      <w:r>
        <w:t xml:space="preserve">George Szmukler, Rowena Daw, and Felicity Callard, ‘Mental health law and the UN </w:t>
      </w:r>
      <w:r w:rsidRPr="00FF3387">
        <w:rPr>
          <w:i/>
        </w:rPr>
        <w:t>Convention on the Rights of Persons with Disabilities</w:t>
      </w:r>
      <w:r>
        <w:t xml:space="preserve">’ (2014) 37(3) </w:t>
      </w:r>
      <w:r w:rsidRPr="00FF3387">
        <w:rPr>
          <w:i/>
        </w:rPr>
        <w:t>International journal of law and psychiatry</w:t>
      </w:r>
      <w:r>
        <w:t xml:space="preserve"> 24.</w:t>
      </w:r>
    </w:p>
    <w:p w14:paraId="640A3BCE" w14:textId="77777777" w:rsidR="00572C8D" w:rsidRDefault="00572C8D" w:rsidP="00572C8D">
      <w:pPr>
        <w:pStyle w:val="Bibliography"/>
      </w:pPr>
      <w:r w:rsidRPr="005158D0">
        <w:t>Katey</w:t>
      </w:r>
      <w:r w:rsidRPr="00FD287E">
        <w:t xml:space="preserve"> </w:t>
      </w:r>
      <w:r>
        <w:t>Thom,</w:t>
      </w:r>
      <w:r w:rsidRPr="005158D0">
        <w:t xml:space="preserve"> ‘New Zealand Mental Health Review Tribunal Characteristics and outcomes 1993</w:t>
      </w:r>
      <w:r>
        <w:t>–</w:t>
      </w:r>
      <w:r w:rsidRPr="005158D0">
        <w:t xml:space="preserve">2011’ (2014) 22 </w:t>
      </w:r>
      <w:r w:rsidRPr="005158D0">
        <w:rPr>
          <w:i/>
          <w:iCs/>
        </w:rPr>
        <w:t>Australasian Psychiatry</w:t>
      </w:r>
      <w:r>
        <w:t xml:space="preserve"> </w:t>
      </w:r>
      <w:r w:rsidRPr="00F83BBB">
        <w:t>341–44.</w:t>
      </w:r>
    </w:p>
    <w:p w14:paraId="77A54C3D" w14:textId="77777777" w:rsidR="00572C8D" w:rsidRDefault="00572C8D" w:rsidP="00572C8D">
      <w:pPr>
        <w:pStyle w:val="Bibliography"/>
      </w:pPr>
      <w:r w:rsidRPr="005158D0">
        <w:t>Katey</w:t>
      </w:r>
      <w:r w:rsidRPr="00FD287E">
        <w:t xml:space="preserve"> </w:t>
      </w:r>
      <w:r>
        <w:t>Thom,</w:t>
      </w:r>
      <w:r w:rsidRPr="005158D0">
        <w:t xml:space="preserve"> Stella Black and Graham Panther, ‘The decision-making of the Mental Health Review Tribunal in New Zealand (2015) 22(3) </w:t>
      </w:r>
      <w:r w:rsidRPr="005158D0">
        <w:rPr>
          <w:i/>
          <w:iCs/>
        </w:rPr>
        <w:t xml:space="preserve">Law and Medicine </w:t>
      </w:r>
      <w:r>
        <w:t>667–</w:t>
      </w:r>
      <w:r w:rsidRPr="005158D0">
        <w:t>78.</w:t>
      </w:r>
    </w:p>
    <w:p w14:paraId="1B6AAA69" w14:textId="77777777" w:rsidR="00572C8D" w:rsidRPr="005158D0" w:rsidRDefault="00572C8D" w:rsidP="00572C8D">
      <w:pPr>
        <w:pStyle w:val="Bibliography"/>
      </w:pPr>
      <w:r w:rsidRPr="005158D0">
        <w:t>Katey</w:t>
      </w:r>
      <w:r w:rsidRPr="00FD287E">
        <w:t xml:space="preserve"> </w:t>
      </w:r>
      <w:r>
        <w:t>Thom,</w:t>
      </w:r>
      <w:r w:rsidRPr="005158D0">
        <w:t xml:space="preserve"> Anthony John O’Brien and Juan Jose Tellez, ‘Service user and clinical perspectives of psychiatric advance directives in New Zealand (2015) 24(6) </w:t>
      </w:r>
      <w:r w:rsidRPr="005158D0">
        <w:rPr>
          <w:i/>
          <w:iCs/>
        </w:rPr>
        <w:t>International Journal of Mental health Nursing</w:t>
      </w:r>
      <w:r>
        <w:t xml:space="preserve"> </w:t>
      </w:r>
      <w:r w:rsidRPr="00F83BBB">
        <w:t>554–60</w:t>
      </w:r>
      <w:r w:rsidRPr="005158D0">
        <w:t>.</w:t>
      </w:r>
    </w:p>
    <w:p w14:paraId="6618477F" w14:textId="77777777" w:rsidR="00572C8D" w:rsidRDefault="00572C8D" w:rsidP="00572C8D">
      <w:pPr>
        <w:pStyle w:val="Bibliography"/>
      </w:pPr>
      <w:r w:rsidRPr="005158D0">
        <w:t>Katey</w:t>
      </w:r>
      <w:r w:rsidRPr="00FD287E">
        <w:t xml:space="preserve"> </w:t>
      </w:r>
      <w:r>
        <w:t>Thom,</w:t>
      </w:r>
      <w:r w:rsidRPr="005158D0">
        <w:t xml:space="preserve"> ‘Exploring Te Whare Whakapiki Wairua/The Alcohol and Other Drug Treatment Court Pilot: Theory, Practice and Known Outcomes’ (2017) </w:t>
      </w:r>
      <w:r w:rsidRPr="005158D0">
        <w:rPr>
          <w:i/>
        </w:rPr>
        <w:t>Te Wharenga - New Zealand Criminal Law Review</w:t>
      </w:r>
      <w:r w:rsidRPr="005158D0">
        <w:t xml:space="preserve"> 180.</w:t>
      </w:r>
    </w:p>
    <w:p w14:paraId="04A658FF" w14:textId="77777777" w:rsidR="007B094F" w:rsidRDefault="007B094F" w:rsidP="007B094F">
      <w:pPr>
        <w:pStyle w:val="Bibliography"/>
      </w:pPr>
      <w:r w:rsidRPr="005158D0">
        <w:t>Volmaine</w:t>
      </w:r>
      <w:r w:rsidRPr="00254064">
        <w:t xml:space="preserve"> </w:t>
      </w:r>
      <w:r>
        <w:t>Toki,</w:t>
      </w:r>
      <w:r w:rsidRPr="005158D0">
        <w:t xml:space="preserve"> ‘Therapeutic jurisprudence and mental health courts for Maori’ (2010) 33 </w:t>
      </w:r>
      <w:r w:rsidRPr="005158D0">
        <w:rPr>
          <w:i/>
        </w:rPr>
        <w:t>International Journal of Law and Psychiatry</w:t>
      </w:r>
      <w:r w:rsidRPr="005158D0">
        <w:t xml:space="preserve"> 440.</w:t>
      </w:r>
    </w:p>
    <w:p w14:paraId="4D7D34C7" w14:textId="77777777" w:rsidR="00A9441D" w:rsidRPr="005158D0" w:rsidRDefault="00A9441D" w:rsidP="00A9441D">
      <w:pPr>
        <w:pStyle w:val="Bibliography"/>
      </w:pPr>
      <w:r>
        <w:t>Clare</w:t>
      </w:r>
      <w:r w:rsidRPr="00856457">
        <w:t xml:space="preserve"> </w:t>
      </w:r>
      <w:r>
        <w:t xml:space="preserve">Townsend, </w:t>
      </w:r>
      <w:r w:rsidRPr="005158D0">
        <w:t xml:space="preserve">Kate Hammill and Paul White, ‘Fetal alcohol disorder, disability and the criminal justice system’ (2015) 8(17) </w:t>
      </w:r>
      <w:r w:rsidRPr="00AE5A81">
        <w:rPr>
          <w:i/>
        </w:rPr>
        <w:t>Indigenous</w:t>
      </w:r>
      <w:r w:rsidRPr="005158D0">
        <w:rPr>
          <w:i/>
          <w:iCs/>
        </w:rPr>
        <w:t xml:space="preserve"> Law Bulletin</w:t>
      </w:r>
      <w:r w:rsidRPr="005158D0">
        <w:t xml:space="preserve"> 30.</w:t>
      </w:r>
    </w:p>
    <w:p w14:paraId="6ABCF714" w14:textId="77777777" w:rsidR="00AC2E06" w:rsidRDefault="00AC2E06" w:rsidP="00AC2E06">
      <w:pPr>
        <w:pStyle w:val="Bibliography"/>
      </w:pPr>
      <w:r w:rsidRPr="0033095D">
        <w:t>Julian</w:t>
      </w:r>
      <w:r w:rsidRPr="001B55FA">
        <w:t xml:space="preserve"> </w:t>
      </w:r>
      <w:r>
        <w:t>Trofimovs</w:t>
      </w:r>
      <w:r w:rsidRPr="0033095D">
        <w:t xml:space="preserve"> and Leanne Dowse, ‘Mental health at the intersections: The impact of complex needs on police contact and custody for Indigenous Australian men’ (2014) 37(4) </w:t>
      </w:r>
      <w:r w:rsidRPr="0033095D">
        <w:rPr>
          <w:i/>
          <w:iCs/>
        </w:rPr>
        <w:t>International Journal of Law and Psychiatry</w:t>
      </w:r>
      <w:r>
        <w:t xml:space="preserve"> 390.</w:t>
      </w:r>
    </w:p>
    <w:p w14:paraId="6EF834EE" w14:textId="77777777" w:rsidR="006E15F3" w:rsidRDefault="006E15F3" w:rsidP="00EF098B">
      <w:pPr>
        <w:pStyle w:val="Bibliography"/>
        <w:rPr>
          <w:lang w:eastAsia="en-US"/>
        </w:rPr>
      </w:pPr>
      <w:r w:rsidRPr="005158D0">
        <w:rPr>
          <w:lang w:eastAsia="en-US"/>
        </w:rPr>
        <w:t>Joanne</w:t>
      </w:r>
      <w:r w:rsidRPr="006F03BE">
        <w:rPr>
          <w:lang w:eastAsia="en-US"/>
        </w:rPr>
        <w:t xml:space="preserve"> </w:t>
      </w:r>
      <w:r>
        <w:rPr>
          <w:lang w:eastAsia="en-US"/>
        </w:rPr>
        <w:t>Watson,</w:t>
      </w:r>
      <w:r w:rsidRPr="005158D0">
        <w:rPr>
          <w:lang w:eastAsia="en-US"/>
        </w:rPr>
        <w:t xml:space="preserve"> </w:t>
      </w:r>
      <w:r>
        <w:rPr>
          <w:lang w:eastAsia="en-US"/>
        </w:rPr>
        <w:t>‘Assumptions of decision-making capacity: the role supporter attitudes play in the realisation of Article 12 for people with severe or profound intellectual d</w:t>
      </w:r>
      <w:r w:rsidRPr="005158D0">
        <w:rPr>
          <w:lang w:eastAsia="en-US"/>
        </w:rPr>
        <w:t>isability’ (2016) 5(1) </w:t>
      </w:r>
      <w:r w:rsidRPr="005158D0">
        <w:rPr>
          <w:i/>
          <w:iCs/>
          <w:lang w:eastAsia="en-US"/>
        </w:rPr>
        <w:t>Laws</w:t>
      </w:r>
      <w:r>
        <w:rPr>
          <w:lang w:eastAsia="en-US"/>
        </w:rPr>
        <w:t> 6.</w:t>
      </w:r>
    </w:p>
    <w:p w14:paraId="5B98BDE3" w14:textId="77777777" w:rsidR="006E15F3" w:rsidRDefault="006E15F3" w:rsidP="00EF098B">
      <w:pPr>
        <w:pStyle w:val="Bibliography"/>
        <w:rPr>
          <w:lang w:eastAsia="en-US"/>
        </w:rPr>
      </w:pPr>
      <w:r w:rsidRPr="005158D0">
        <w:rPr>
          <w:lang w:eastAsia="en-US"/>
        </w:rPr>
        <w:t>Penny</w:t>
      </w:r>
      <w:r w:rsidRPr="006F03BE">
        <w:rPr>
          <w:lang w:eastAsia="en-US"/>
        </w:rPr>
        <w:t xml:space="preserve"> </w:t>
      </w:r>
      <w:r>
        <w:rPr>
          <w:lang w:eastAsia="en-US"/>
        </w:rPr>
        <w:t>Weller,</w:t>
      </w:r>
      <w:r w:rsidRPr="005158D0">
        <w:rPr>
          <w:lang w:eastAsia="en-US"/>
        </w:rPr>
        <w:t xml:space="preserve"> </w:t>
      </w:r>
      <w:r>
        <w:rPr>
          <w:lang w:eastAsia="en-US"/>
        </w:rPr>
        <w:t>‘Supported Decision-making and the Achievement of Non-discrimination: The Promise and Paradox of the Disabilities C</w:t>
      </w:r>
      <w:r w:rsidRPr="005158D0">
        <w:rPr>
          <w:lang w:eastAsia="en-US"/>
        </w:rPr>
        <w:t>onvention’ (2008) 26 </w:t>
      </w:r>
      <w:r w:rsidRPr="005158D0">
        <w:rPr>
          <w:i/>
          <w:iCs/>
          <w:lang w:eastAsia="en-US"/>
        </w:rPr>
        <w:t>Law Context: A Socio-Legal Journal</w:t>
      </w:r>
      <w:r>
        <w:rPr>
          <w:lang w:eastAsia="en-US"/>
        </w:rPr>
        <w:t> 85.</w:t>
      </w:r>
    </w:p>
    <w:p w14:paraId="0DB9A07C" w14:textId="77777777" w:rsidR="006E15F3" w:rsidRDefault="006E15F3" w:rsidP="00EF098B">
      <w:pPr>
        <w:pStyle w:val="Bibliography"/>
        <w:rPr>
          <w:lang w:eastAsia="en-US"/>
        </w:rPr>
      </w:pPr>
      <w:r w:rsidRPr="005158D0">
        <w:rPr>
          <w:lang w:eastAsia="en-US"/>
        </w:rPr>
        <w:lastRenderedPageBreak/>
        <w:t>Penny</w:t>
      </w:r>
      <w:r w:rsidRPr="006F03BE">
        <w:rPr>
          <w:lang w:eastAsia="en-US"/>
        </w:rPr>
        <w:t xml:space="preserve"> </w:t>
      </w:r>
      <w:r>
        <w:rPr>
          <w:lang w:eastAsia="en-US"/>
        </w:rPr>
        <w:t>Weller,</w:t>
      </w:r>
      <w:r w:rsidRPr="005158D0">
        <w:rPr>
          <w:lang w:eastAsia="en-US"/>
        </w:rPr>
        <w:t xml:space="preserve"> ‘Psychiatric advance directives and human rights’ (2010) 17(2) </w:t>
      </w:r>
      <w:r w:rsidRPr="005158D0">
        <w:rPr>
          <w:i/>
          <w:iCs/>
          <w:lang w:eastAsia="en-US"/>
        </w:rPr>
        <w:t>Psychiatry, Psychology and Law</w:t>
      </w:r>
      <w:r>
        <w:rPr>
          <w:lang w:eastAsia="en-US"/>
        </w:rPr>
        <w:t> 218.</w:t>
      </w:r>
    </w:p>
    <w:p w14:paraId="7B345B91" w14:textId="77777777" w:rsidR="0085108B" w:rsidRDefault="0085108B" w:rsidP="00EF098B">
      <w:pPr>
        <w:pStyle w:val="Bibliography"/>
      </w:pPr>
      <w:r>
        <w:t xml:space="preserve">Penelope Weller, ‘Legal capacity and access to justice: the right to participation in the CRPD,’ (2016) 5(1) </w:t>
      </w:r>
      <w:r w:rsidRPr="0085108B">
        <w:rPr>
          <w:i/>
        </w:rPr>
        <w:t>Laws</w:t>
      </w:r>
      <w:r>
        <w:t xml:space="preserve"> 13.</w:t>
      </w:r>
    </w:p>
    <w:p w14:paraId="37C36FB7" w14:textId="2D1D7A59" w:rsidR="00E950F8" w:rsidRDefault="00E950F8" w:rsidP="00E950F8">
      <w:pPr>
        <w:pStyle w:val="Heading2"/>
      </w:pPr>
      <w:bookmarkStart w:id="75" w:name="_Toc514751865"/>
      <w:r>
        <w:t>Reports</w:t>
      </w:r>
      <w:r w:rsidR="006E15F3">
        <w:t>,</w:t>
      </w:r>
      <w:r>
        <w:t xml:space="preserve"> submissions</w:t>
      </w:r>
      <w:r w:rsidR="006E15F3">
        <w:t xml:space="preserve"> and theses</w:t>
      </w:r>
      <w:bookmarkEnd w:id="75"/>
    </w:p>
    <w:p w14:paraId="3F2BACE7" w14:textId="77777777" w:rsidR="0085108B" w:rsidRDefault="0085108B" w:rsidP="007E06B7">
      <w:pPr>
        <w:pStyle w:val="Bibliography"/>
      </w:pPr>
      <w:r>
        <w:t xml:space="preserve">Australian Cross Disability Alliance, Submission No 147 to Senate Community Affairs References Committee, Parliament of Australia, </w:t>
      </w:r>
      <w:r w:rsidRPr="0085108B">
        <w:rPr>
          <w:i/>
        </w:rPr>
        <w:t>Inquiry into Violence, Abuse and Neglect Against People With Disability in Institutional and Residential Settings</w:t>
      </w:r>
      <w:r>
        <w:t>, August 2015.</w:t>
      </w:r>
    </w:p>
    <w:p w14:paraId="49F7F55A" w14:textId="5F58A3BB" w:rsidR="003A61BF" w:rsidRPr="003A61BF" w:rsidRDefault="003A61BF" w:rsidP="003A61BF">
      <w:pPr>
        <w:pStyle w:val="Bibliography"/>
      </w:pPr>
      <w:r w:rsidRPr="003A61BF">
        <w:t>Australian Human Rights Commission</w:t>
      </w:r>
      <w:r w:rsidR="00BD48A6">
        <w:t>,</w:t>
      </w:r>
      <w:r w:rsidRPr="003A61BF">
        <w:t xml:space="preserve"> </w:t>
      </w:r>
      <w:r w:rsidRPr="003A61BF">
        <w:rPr>
          <w:i/>
        </w:rPr>
        <w:t xml:space="preserve">Equal Before the Law Report </w:t>
      </w:r>
      <w:r w:rsidRPr="003A61BF">
        <w:t>(Australian Human Rights Commission, 2014).</w:t>
      </w:r>
    </w:p>
    <w:p w14:paraId="1AF9F0DF" w14:textId="77777777" w:rsidR="005B3542" w:rsidRPr="005B3542" w:rsidRDefault="005B3542" w:rsidP="005B3542">
      <w:pPr>
        <w:pStyle w:val="Bibliography"/>
      </w:pPr>
      <w:r w:rsidRPr="005B3542">
        <w:t xml:space="preserve">Australian Law Reform Commission, </w:t>
      </w:r>
      <w:r w:rsidRPr="005B3542">
        <w:rPr>
          <w:i/>
        </w:rPr>
        <w:t>Report into Equality, Capacity and Disability in Commonwealth Laws</w:t>
      </w:r>
      <w:r w:rsidRPr="005B3542">
        <w:t xml:space="preserve"> (Australian Law Reform Commission, 2014).</w:t>
      </w:r>
    </w:p>
    <w:p w14:paraId="5F284F56" w14:textId="77777777" w:rsidR="00F31802" w:rsidRDefault="00F31802" w:rsidP="00F31802">
      <w:pPr>
        <w:pStyle w:val="Bibliography"/>
      </w:pPr>
      <w:r w:rsidRPr="00F31802">
        <w:t xml:space="preserve">Australian Law Reform Commission </w:t>
      </w:r>
      <w:r w:rsidRPr="00F31802">
        <w:rPr>
          <w:i/>
        </w:rPr>
        <w:t>Equality, Capacity and Disability in Commonwealth Laws, Final Report</w:t>
      </w:r>
      <w:r w:rsidRPr="00F31802">
        <w:t xml:space="preserve"> (Australian Law Reform Commission, 2016).</w:t>
      </w:r>
    </w:p>
    <w:p w14:paraId="21ED80C8" w14:textId="77777777" w:rsidR="00CF50D6" w:rsidRPr="005158D0" w:rsidRDefault="00CF50D6" w:rsidP="00CF50D6">
      <w:pPr>
        <w:pStyle w:val="Bibliography"/>
      </w:pPr>
      <w:r w:rsidRPr="00FC074B">
        <w:t>Eileen</w:t>
      </w:r>
      <w:r w:rsidRPr="00856457">
        <w:t xml:space="preserve"> </w:t>
      </w:r>
      <w:r w:rsidRPr="00FC074B">
        <w:t>Baldry, Leanne Dowse</w:t>
      </w:r>
      <w:r>
        <w:t>, Ruth McCausland and Melissa Clarence</w:t>
      </w:r>
      <w:r w:rsidRPr="005158D0">
        <w:t xml:space="preserve">, </w:t>
      </w:r>
      <w:r w:rsidRPr="005158D0">
        <w:rPr>
          <w:i/>
        </w:rPr>
        <w:t>Lifecourse Institutional Costs of homelessness for vulnerable groups</w:t>
      </w:r>
      <w:r w:rsidRPr="001C35A2">
        <w:rPr>
          <w:i/>
        </w:rPr>
        <w:t>, Final report</w:t>
      </w:r>
      <w:r>
        <w:t xml:space="preserve"> (Commonwealth Department of Families, Housing, Community Services and Indigenous Affairs,</w:t>
      </w:r>
      <w:r w:rsidRPr="005158D0">
        <w:t xml:space="preserve"> 2012).</w:t>
      </w:r>
    </w:p>
    <w:p w14:paraId="2DF2465C" w14:textId="7D3440D2" w:rsidR="00E950F8" w:rsidRDefault="00E356C1" w:rsidP="007E06B7">
      <w:pPr>
        <w:pStyle w:val="Bibliography"/>
      </w:pPr>
      <w:r>
        <w:t xml:space="preserve">Barbara Carter, </w:t>
      </w:r>
      <w:r w:rsidRPr="007E06B7">
        <w:rPr>
          <w:i/>
        </w:rPr>
        <w:t>Rebuilding the village: Supporting families where a parent has a disability Report 2: Child Protection</w:t>
      </w:r>
      <w:r>
        <w:t xml:space="preserve"> (Office of the Pu</w:t>
      </w:r>
      <w:r w:rsidR="00E950F8">
        <w:t>blic Advocate, Victoria, 2015)</w:t>
      </w:r>
      <w:r w:rsidR="006A4324">
        <w:t>.</w:t>
      </w:r>
    </w:p>
    <w:p w14:paraId="7C9B2DAB" w14:textId="77777777" w:rsidR="00D56F9F" w:rsidRDefault="00D56F9F" w:rsidP="00D56F9F">
      <w:pPr>
        <w:pStyle w:val="Bibliography"/>
      </w:pPr>
      <w:r w:rsidRPr="00804B83">
        <w:t>Disabled Peoples Organisation Australia, ‘List of issues [Australia] to be adopted during the 18th Session of the Committee on the Rights of Persons with Disabilities’</w:t>
      </w:r>
      <w:r w:rsidRPr="00804B83">
        <w:rPr>
          <w:i/>
        </w:rPr>
        <w:t>,</w:t>
      </w:r>
      <w:r w:rsidRPr="00804B83">
        <w:t xml:space="preserve"> Submission to the UN Committee on the Rights of Persons with Disabilities, 2017</w:t>
      </w:r>
      <w:r>
        <w:t>.</w:t>
      </w:r>
    </w:p>
    <w:p w14:paraId="226DA85D" w14:textId="77777777" w:rsidR="00412F00" w:rsidRDefault="00412F00" w:rsidP="00412F00">
      <w:pPr>
        <w:pStyle w:val="Bibliography"/>
      </w:pPr>
      <w:r w:rsidRPr="005158D0">
        <w:t>Leanne</w:t>
      </w:r>
      <w:r w:rsidRPr="00AA0AC2">
        <w:t xml:space="preserve"> </w:t>
      </w:r>
      <w:r w:rsidRPr="005158D0">
        <w:t>Dowse</w:t>
      </w:r>
      <w:r>
        <w:t>, Karen Soldatic, Carolyn Frohmader and Georgia van Toorn</w:t>
      </w:r>
      <w:r w:rsidRPr="005158D0">
        <w:t xml:space="preserve">, </w:t>
      </w:r>
      <w:r w:rsidRPr="005158D0">
        <w:rPr>
          <w:i/>
        </w:rPr>
        <w:t>Stop the Violence: Addressing Violence Against Women and Girls with Disabilities in Australia</w:t>
      </w:r>
      <w:r w:rsidRPr="005158D0">
        <w:t xml:space="preserve">, </w:t>
      </w:r>
      <w:r w:rsidRPr="00310756">
        <w:rPr>
          <w:i/>
        </w:rPr>
        <w:t>Background Paper</w:t>
      </w:r>
      <w:r w:rsidRPr="005158D0">
        <w:t xml:space="preserve"> </w:t>
      </w:r>
      <w:r>
        <w:t>(</w:t>
      </w:r>
      <w:r w:rsidRPr="005158D0">
        <w:t>Women with Disabilities Australia</w:t>
      </w:r>
      <w:r>
        <w:t>, 2013).</w:t>
      </w:r>
    </w:p>
    <w:p w14:paraId="77795C7E" w14:textId="77777777" w:rsidR="00696C66" w:rsidRPr="00696C66" w:rsidRDefault="00696C66" w:rsidP="00696C66">
      <w:pPr>
        <w:pStyle w:val="Bibliography"/>
      </w:pPr>
      <w:r w:rsidRPr="00696C66">
        <w:t xml:space="preserve">Family and Community Development Committee, Parliament of Victoria, </w:t>
      </w:r>
      <w:r w:rsidRPr="00696C66">
        <w:rPr>
          <w:i/>
        </w:rPr>
        <w:t xml:space="preserve">Inquiry into abuse in disability services Final Report </w:t>
      </w:r>
      <w:r w:rsidRPr="00696C66">
        <w:t>(2014).</w:t>
      </w:r>
    </w:p>
    <w:p w14:paraId="59D5034D" w14:textId="77777777" w:rsidR="001D44FE" w:rsidRPr="005158D0" w:rsidRDefault="001D44FE" w:rsidP="001D44FE">
      <w:pPr>
        <w:pStyle w:val="Bibliography"/>
      </w:pPr>
      <w:r w:rsidRPr="00134B60">
        <w:t xml:space="preserve">Patsie Frawley, Sue Dyson, Sally Robinson and Jen Dixon., </w:t>
      </w:r>
      <w:r w:rsidRPr="001D44FE">
        <w:rPr>
          <w:i/>
        </w:rPr>
        <w:t>Landscapes: State of knowledge</w:t>
      </w:r>
      <w:r w:rsidRPr="00134B60">
        <w:t xml:space="preserve"> — </w:t>
      </w:r>
      <w:r w:rsidRPr="00134B60">
        <w:rPr>
          <w:i/>
        </w:rPr>
        <w:t>What does it take? Developing informed and effective tertiary responses to violence and abuse of women and girls with disabilities in Australia: State of knowledge paper</w:t>
      </w:r>
      <w:r w:rsidRPr="00134B60">
        <w:t xml:space="preserve"> (Australia’s National Research Organisation for Women’s Safety, 2015)</w:t>
      </w:r>
      <w:r>
        <w:t>.</w:t>
      </w:r>
    </w:p>
    <w:p w14:paraId="1A25D310" w14:textId="77777777" w:rsidR="004E157E" w:rsidRPr="005158D0" w:rsidRDefault="004E157E" w:rsidP="004E157E">
      <w:pPr>
        <w:pStyle w:val="Bibliography"/>
        <w:rPr>
          <w:highlight w:val="green"/>
        </w:rPr>
      </w:pPr>
      <w:r w:rsidRPr="005158D0">
        <w:t>Carolyn</w:t>
      </w:r>
      <w:r w:rsidRPr="00DF4A53">
        <w:t xml:space="preserve"> </w:t>
      </w:r>
      <w:r>
        <w:t>Frohmader, Leanne Dowse</w:t>
      </w:r>
      <w:r w:rsidRPr="005158D0">
        <w:t xml:space="preserve"> and Aminath Didi, </w:t>
      </w:r>
      <w:r w:rsidRPr="004E157E">
        <w:rPr>
          <w:i/>
        </w:rPr>
        <w:t>Preventing violence against women and girls with disabilities: Integrating a human rights perspective</w:t>
      </w:r>
      <w:r w:rsidRPr="005158D0">
        <w:t xml:space="preserve"> (Women w</w:t>
      </w:r>
      <w:r>
        <w:t>ith Disabilities Australia, 2015).</w:t>
      </w:r>
    </w:p>
    <w:p w14:paraId="57178402" w14:textId="5D245A92" w:rsidR="00734800" w:rsidRDefault="00734800" w:rsidP="00734800">
      <w:pPr>
        <w:pStyle w:val="Bibliography"/>
      </w:pPr>
      <w:r w:rsidRPr="005158D0">
        <w:lastRenderedPageBreak/>
        <w:t>Rachel</w:t>
      </w:r>
      <w:r w:rsidRPr="00026400">
        <w:t xml:space="preserve"> </w:t>
      </w:r>
      <w:r w:rsidRPr="005158D0">
        <w:t>Hale</w:t>
      </w:r>
      <w:r>
        <w:t>, Bernadette McSherry, Jeannie Paterson, Lisa Brophy and Anna Arstein-Kerslake</w:t>
      </w:r>
      <w:r w:rsidRPr="005158D0">
        <w:t xml:space="preserve">, </w:t>
      </w:r>
      <w:r w:rsidRPr="0054445E">
        <w:rPr>
          <w:i/>
        </w:rPr>
        <w:t>Consumer Transactions: Equitable Support Models for Individuals with Decision-making Impairments: A pilot study</w:t>
      </w:r>
      <w:r>
        <w:t xml:space="preserve"> (University of Melbourne,</w:t>
      </w:r>
      <w:r w:rsidRPr="005158D0">
        <w:t xml:space="preserve"> 2017)</w:t>
      </w:r>
      <w:r w:rsidR="0054445E">
        <w:t>.</w:t>
      </w:r>
    </w:p>
    <w:p w14:paraId="692E7896" w14:textId="77777777" w:rsidR="00412F00" w:rsidRPr="005158D0" w:rsidRDefault="00412F00" w:rsidP="00412F00">
      <w:pPr>
        <w:pStyle w:val="Bibliography"/>
      </w:pPr>
      <w:r w:rsidRPr="005158D0">
        <w:t>Lucy</w:t>
      </w:r>
      <w:r w:rsidRPr="004E5522">
        <w:t xml:space="preserve"> </w:t>
      </w:r>
      <w:r>
        <w:t>Healey,</w:t>
      </w:r>
      <w:r w:rsidRPr="005158D0">
        <w:t xml:space="preserve"> </w:t>
      </w:r>
      <w:r w:rsidRPr="00310756">
        <w:rPr>
          <w:i/>
        </w:rPr>
        <w:t>Voices Against violence: Paper 2: Current issues in understanding and responding to violence against women with disabilitie</w:t>
      </w:r>
      <w:r>
        <w:rPr>
          <w:i/>
        </w:rPr>
        <w:t>s</w:t>
      </w:r>
      <w:r w:rsidRPr="005158D0">
        <w:t> </w:t>
      </w:r>
      <w:r w:rsidRPr="00310756">
        <w:t>(</w:t>
      </w:r>
      <w:r w:rsidRPr="00310756">
        <w:rPr>
          <w:iCs/>
        </w:rPr>
        <w:t>Women with Disabilities Victoria, Office of the Public Advocate and</w:t>
      </w:r>
      <w:r>
        <w:rPr>
          <w:iCs/>
        </w:rPr>
        <w:t xml:space="preserve"> </w:t>
      </w:r>
      <w:r w:rsidRPr="005158D0">
        <w:rPr>
          <w:iCs/>
        </w:rPr>
        <w:t>Domestic Violence Resource Centre Victoria</w:t>
      </w:r>
      <w:r>
        <w:rPr>
          <w:iCs/>
        </w:rPr>
        <w:t>,</w:t>
      </w:r>
      <w:r w:rsidRPr="005158D0">
        <w:t xml:space="preserve"> 2013).</w:t>
      </w:r>
    </w:p>
    <w:p w14:paraId="6DBD6993" w14:textId="77777777" w:rsidR="00D56F9F" w:rsidRDefault="00D56F9F" w:rsidP="00D56F9F">
      <w:pPr>
        <w:pStyle w:val="Bibliography"/>
      </w:pPr>
      <w:r w:rsidRPr="006678D2">
        <w:t xml:space="preserve">Law Reform Committee, Parliament of Victoria, </w:t>
      </w:r>
      <w:r w:rsidRPr="00D80B73">
        <w:rPr>
          <w:i/>
        </w:rPr>
        <w:t>Inquiry into Abuse in Disability Services: Final Report</w:t>
      </w:r>
      <w:r>
        <w:rPr>
          <w:i/>
        </w:rPr>
        <w:t xml:space="preserve"> </w:t>
      </w:r>
      <w:r>
        <w:t>(2016).</w:t>
      </w:r>
    </w:p>
    <w:p w14:paraId="1A675484" w14:textId="6C33D191" w:rsidR="000D79AE" w:rsidRDefault="000D79AE" w:rsidP="000D79AE">
      <w:pPr>
        <w:pStyle w:val="Bibliography"/>
        <w:rPr>
          <w:rStyle w:val="Hyperlink"/>
          <w:rFonts w:cs="Times New Roman"/>
          <w:color w:val="000000" w:themeColor="text1"/>
          <w:u w:val="none"/>
        </w:rPr>
      </w:pPr>
      <w:r w:rsidRPr="00026400">
        <w:t xml:space="preserve">Bernadette McSherry et al, </w:t>
      </w:r>
      <w:r w:rsidRPr="0054445E">
        <w:rPr>
          <w:i/>
        </w:rPr>
        <w:t>Seclusion and Restraint Project Report</w:t>
      </w:r>
      <w:r w:rsidRPr="00026400">
        <w:t xml:space="preserve"> (Melbourne Social Equity Inst</w:t>
      </w:r>
      <w:r>
        <w:t>itute, University of Melbourne,</w:t>
      </w:r>
      <w:r w:rsidRPr="00026400">
        <w:t xml:space="preserve"> 2014)</w:t>
      </w:r>
      <w:r w:rsidR="0054445E">
        <w:t>.</w:t>
      </w:r>
    </w:p>
    <w:p w14:paraId="6260B10B" w14:textId="31BE66BA" w:rsidR="00CF50D6" w:rsidRDefault="00CF50D6" w:rsidP="00CF50D6">
      <w:pPr>
        <w:pStyle w:val="Bibliography"/>
      </w:pPr>
      <w:r w:rsidRPr="00F83BBB">
        <w:t xml:space="preserve">Parenting Research Centre, </w:t>
      </w:r>
      <w:r w:rsidRPr="00F83BBB">
        <w:rPr>
          <w:i/>
        </w:rPr>
        <w:t>Parenting Young Children: Helping parents with an intellectual disability learn parenting skills</w:t>
      </w:r>
      <w:r w:rsidRPr="00F83BBB">
        <w:t xml:space="preserve"> </w:t>
      </w:r>
      <w:r w:rsidR="0054445E" w:rsidRPr="00F83BBB">
        <w:t>(undated).</w:t>
      </w:r>
    </w:p>
    <w:p w14:paraId="48A6091C" w14:textId="508C94CB" w:rsidR="00483A47" w:rsidRDefault="00483A47" w:rsidP="00414143">
      <w:pPr>
        <w:pStyle w:val="Bibliography"/>
      </w:pPr>
      <w:r w:rsidRPr="00483A47">
        <w:t xml:space="preserve">Royal Commission into Institutional Responses to Child Sexual Abuse, </w:t>
      </w:r>
      <w:r w:rsidRPr="00483A47">
        <w:rPr>
          <w:i/>
        </w:rPr>
        <w:t>Final Report:</w:t>
      </w:r>
      <w:r w:rsidRPr="00483A47">
        <w:t xml:space="preserve"> </w:t>
      </w:r>
      <w:r w:rsidRPr="00483A47">
        <w:rPr>
          <w:i/>
        </w:rPr>
        <w:t>Our Inquiry</w:t>
      </w:r>
      <w:r w:rsidRPr="00483A47">
        <w:t xml:space="preserve"> (Royal</w:t>
      </w:r>
      <w:r w:rsidRPr="00483A47">
        <w:rPr>
          <w:i/>
        </w:rPr>
        <w:t xml:space="preserve"> </w:t>
      </w:r>
      <w:r w:rsidRPr="00483A47">
        <w:t>Commission into Institutional Responses to Child Sexual Abuse, 2017)</w:t>
      </w:r>
      <w:r>
        <w:t>.</w:t>
      </w:r>
    </w:p>
    <w:p w14:paraId="373F2830" w14:textId="77777777" w:rsidR="008A4937" w:rsidRPr="005158D0" w:rsidRDefault="008A4937" w:rsidP="008A4937">
      <w:pPr>
        <w:pStyle w:val="Bibliography"/>
      </w:pPr>
      <w:r w:rsidRPr="005158D0">
        <w:t>Janet</w:t>
      </w:r>
      <w:r w:rsidRPr="000D3A56">
        <w:t xml:space="preserve"> </w:t>
      </w:r>
      <w:r>
        <w:t>Ruffles,</w:t>
      </w:r>
      <w:r w:rsidRPr="005158D0">
        <w:t xml:space="preserve"> </w:t>
      </w:r>
      <w:r w:rsidRPr="0068133C">
        <w:rPr>
          <w:i/>
        </w:rPr>
        <w:t>The Management of Forensic Patients in Victoria: The More Things Change, The More They Remain the Same</w:t>
      </w:r>
      <w:r w:rsidRPr="005158D0">
        <w:t xml:space="preserve"> (</w:t>
      </w:r>
      <w:r>
        <w:t>PhD</w:t>
      </w:r>
      <w:r w:rsidRPr="005158D0">
        <w:t xml:space="preserve"> Thes</w:t>
      </w:r>
      <w:r>
        <w:t>is, Monash University, 2010)</w:t>
      </w:r>
      <w:r w:rsidRPr="005158D0">
        <w:t>.</w:t>
      </w:r>
    </w:p>
    <w:p w14:paraId="56656569" w14:textId="24B861CC" w:rsidR="00414143" w:rsidRPr="005B3542" w:rsidRDefault="00414143" w:rsidP="00414143">
      <w:pPr>
        <w:pStyle w:val="Bibliography"/>
      </w:pPr>
      <w:r w:rsidRPr="00BE0DD9">
        <w:t xml:space="preserve">Senate Community Affairs References Committee, Parliament of Australia, </w:t>
      </w:r>
      <w:r w:rsidRPr="00BE0DD9">
        <w:rPr>
          <w:i/>
        </w:rPr>
        <w:t>Violence, abuse and neglect against people with disability in institutional and residential settings, including the gender and age related dimensions, and the particular situation of Aboriginal and Torres Strait Islander people with disability, and culturally and</w:t>
      </w:r>
      <w:r>
        <w:rPr>
          <w:i/>
        </w:rPr>
        <w:t xml:space="preserve"> </w:t>
      </w:r>
      <w:r w:rsidRPr="00BE0DD9">
        <w:rPr>
          <w:i/>
        </w:rPr>
        <w:t>linguistically diverse people with disability</w:t>
      </w:r>
      <w:r w:rsidRPr="00BE0DD9">
        <w:t xml:space="preserve"> (2015).</w:t>
      </w:r>
      <w:r w:rsidRPr="005B3542">
        <w:t xml:space="preserve"> </w:t>
      </w:r>
    </w:p>
    <w:p w14:paraId="6C651A04" w14:textId="77777777" w:rsidR="00E06F38" w:rsidRPr="00DF38AF" w:rsidRDefault="00E06F38" w:rsidP="00E06F38">
      <w:pPr>
        <w:pStyle w:val="Bibliography"/>
      </w:pPr>
      <w:r w:rsidRPr="00DF38AF">
        <w:t xml:space="preserve">Senate Community Affairs Reference Committee, Parliament of Australia, </w:t>
      </w:r>
      <w:r w:rsidRPr="00DF38AF">
        <w:rPr>
          <w:i/>
        </w:rPr>
        <w:t>Indefinite Detention of People with Cognitive and Psychiatric Impairment in Australia: Final Report</w:t>
      </w:r>
      <w:r w:rsidRPr="00DF38AF">
        <w:t xml:space="preserve"> (2016).</w:t>
      </w:r>
    </w:p>
    <w:p w14:paraId="6B6557F6" w14:textId="64E616A5" w:rsidR="00A9441D" w:rsidRDefault="002A6807" w:rsidP="00A9441D">
      <w:pPr>
        <w:pStyle w:val="Bibliography"/>
      </w:pPr>
      <w:hyperlink r:id="rId47" w:history="1">
        <w:r w:rsidR="00A9441D" w:rsidRPr="00244A6B">
          <w:t>Kirsten</w:t>
        </w:r>
      </w:hyperlink>
      <w:r w:rsidR="00A9441D" w:rsidRPr="00856457">
        <w:t xml:space="preserve"> Stal</w:t>
      </w:r>
      <w:r w:rsidR="00A9441D">
        <w:t>ker</w:t>
      </w:r>
      <w:r w:rsidR="00A9441D" w:rsidRPr="00244A6B">
        <w:t>, Juli</w:t>
      </w:r>
      <w:r w:rsidR="00A9441D">
        <w:t xml:space="preserve">e Taylor, Debi Fry, Chris Jones Audrey Cameron, Alasdair Stewart and </w:t>
      </w:r>
      <w:r w:rsidR="00A9441D" w:rsidRPr="00244A6B">
        <w:t xml:space="preserve">Anita Franklin, </w:t>
      </w:r>
      <w:r w:rsidR="00A9441D" w:rsidRPr="0054445E">
        <w:rPr>
          <w:i/>
        </w:rPr>
        <w:t>Protecting disabled children: what the latest research tells us</w:t>
      </w:r>
      <w:r w:rsidR="00A9441D">
        <w:t xml:space="preserve"> (Community Care, 2015). </w:t>
      </w:r>
    </w:p>
    <w:p w14:paraId="40FD24EF" w14:textId="77777777" w:rsidR="008B7BD8" w:rsidRDefault="008B7BD8" w:rsidP="008B7BD8">
      <w:pPr>
        <w:pStyle w:val="Bibliography"/>
      </w:pPr>
      <w:r w:rsidRPr="005158D0">
        <w:t xml:space="preserve">Tasmania Law Reform Institute, </w:t>
      </w:r>
      <w:r w:rsidRPr="00AA65CC">
        <w:rPr>
          <w:i/>
        </w:rPr>
        <w:t>Facilitating Equal Access to Justice: An Intermediary/Communication Assistant Scheme for Tasmania, Issues Paper No 22</w:t>
      </w:r>
      <w:r w:rsidRPr="005158D0">
        <w:t xml:space="preserve"> (</w:t>
      </w:r>
      <w:r>
        <w:t>Tasmanian Law Reform Institute,</w:t>
      </w:r>
      <w:r w:rsidRPr="005158D0">
        <w:t xml:space="preserve"> 2016). </w:t>
      </w:r>
    </w:p>
    <w:p w14:paraId="0312A117" w14:textId="42FEB4F2" w:rsidR="00E21149" w:rsidRPr="00E21149" w:rsidRDefault="007E06B7" w:rsidP="00E21149">
      <w:pPr>
        <w:pStyle w:val="Bibliography"/>
      </w:pPr>
      <w:r w:rsidRPr="00074F62">
        <w:t xml:space="preserve">Victorian Equal Opportunity and Human Rights Commission, </w:t>
      </w:r>
      <w:r w:rsidRPr="00074F62">
        <w:rPr>
          <w:i/>
        </w:rPr>
        <w:t xml:space="preserve">Beyond Doubt: The experiences of people with disabilities reporting crime – research findings </w:t>
      </w:r>
      <w:r w:rsidRPr="00074F62">
        <w:t>(Victorian Equal Opportunity and Human Rights Commission, 2014).</w:t>
      </w:r>
    </w:p>
    <w:p w14:paraId="2D84C150" w14:textId="77777777" w:rsidR="005B3542" w:rsidRPr="005B3542" w:rsidRDefault="005B3542" w:rsidP="005B3542">
      <w:pPr>
        <w:pStyle w:val="Bibliography"/>
      </w:pPr>
      <w:r w:rsidRPr="005B3542">
        <w:t xml:space="preserve">Victorian Law Reform Commission, </w:t>
      </w:r>
      <w:r w:rsidRPr="005B3542">
        <w:rPr>
          <w:i/>
        </w:rPr>
        <w:t>Report on the Role of Crime in the Criminal Trial Process</w:t>
      </w:r>
      <w:r w:rsidRPr="005B3542">
        <w:t xml:space="preserve"> (Victorian Law Reform Commission, 2014).</w:t>
      </w:r>
    </w:p>
    <w:p w14:paraId="5FD3BEB0" w14:textId="77777777" w:rsidR="00224CDA" w:rsidRDefault="00224CDA" w:rsidP="00224CDA">
      <w:pPr>
        <w:pStyle w:val="Bibliography"/>
      </w:pPr>
      <w:r w:rsidRPr="00987FDC">
        <w:lastRenderedPageBreak/>
        <w:t>Victorian</w:t>
      </w:r>
      <w:r>
        <w:t xml:space="preserve"> Law Reform Commission, </w:t>
      </w:r>
      <w:r w:rsidRPr="00987FDC">
        <w:rPr>
          <w:i/>
        </w:rPr>
        <w:t>Review of the Crimes (Mental Impairment and Unfitness to be Tried) Act 1997, Report</w:t>
      </w:r>
      <w:r>
        <w:t xml:space="preserve"> (Victorian Law Reform Commission, 2014).</w:t>
      </w:r>
    </w:p>
    <w:p w14:paraId="537410ED" w14:textId="2383A2D1" w:rsidR="006E15F3" w:rsidRDefault="006E15F3" w:rsidP="007E06B7">
      <w:pPr>
        <w:pStyle w:val="Bibliography"/>
        <w:rPr>
          <w:lang w:eastAsia="en-US"/>
        </w:rPr>
      </w:pPr>
      <w:r w:rsidRPr="005158D0">
        <w:rPr>
          <w:lang w:eastAsia="en-US"/>
        </w:rPr>
        <w:t>Joanne</w:t>
      </w:r>
      <w:r w:rsidRPr="006F03BE">
        <w:rPr>
          <w:lang w:eastAsia="en-US"/>
        </w:rPr>
        <w:t xml:space="preserve"> </w:t>
      </w:r>
      <w:r>
        <w:rPr>
          <w:lang w:eastAsia="en-US"/>
        </w:rPr>
        <w:t>Watson,</w:t>
      </w:r>
      <w:r w:rsidRPr="005158D0">
        <w:rPr>
          <w:lang w:eastAsia="en-US"/>
        </w:rPr>
        <w:t> </w:t>
      </w:r>
      <w:r w:rsidRPr="007E06B7">
        <w:rPr>
          <w:i/>
          <w:lang w:eastAsia="en-US"/>
        </w:rPr>
        <w:t>The right to supported decision-making for people rarely heard</w:t>
      </w:r>
      <w:r w:rsidRPr="005158D0">
        <w:rPr>
          <w:lang w:eastAsia="en-US"/>
        </w:rPr>
        <w:t xml:space="preserve"> (</w:t>
      </w:r>
      <w:r w:rsidR="008A4937">
        <w:rPr>
          <w:lang w:eastAsia="en-US"/>
        </w:rPr>
        <w:t>PhD</w:t>
      </w:r>
      <w:r w:rsidRPr="005158D0">
        <w:rPr>
          <w:lang w:eastAsia="en-US"/>
        </w:rPr>
        <w:t xml:space="preserve"> thesis, Deakin University, 2016).</w:t>
      </w:r>
    </w:p>
    <w:p w14:paraId="40708008" w14:textId="13194FD8" w:rsidR="00E21149" w:rsidRDefault="00CF50D6" w:rsidP="00CF50D6">
      <w:pPr>
        <w:pStyle w:val="Heading2"/>
      </w:pPr>
      <w:bookmarkStart w:id="76" w:name="_Toc514751866"/>
      <w:r>
        <w:t>Media reports</w:t>
      </w:r>
      <w:bookmarkEnd w:id="76"/>
    </w:p>
    <w:p w14:paraId="16F0FB2E" w14:textId="54A8B6AC" w:rsidR="00CF50D6" w:rsidRPr="00FC074B" w:rsidRDefault="00CF50D6" w:rsidP="00CF50D6">
      <w:pPr>
        <w:pStyle w:val="Bibliography"/>
      </w:pPr>
      <w:r w:rsidRPr="00CF50D6">
        <w:t>Debbie</w:t>
      </w:r>
      <w:r w:rsidRPr="00FC074B">
        <w:t xml:space="preserve"> Vilensky, ‘</w:t>
      </w:r>
      <w:hyperlink r:id="rId48" w:history="1">
        <w:r w:rsidRPr="00FC074B">
          <w:rPr>
            <w:rStyle w:val="Hyperlink"/>
          </w:rPr>
          <w:t>Parents with a disability 'judged on parental skills before they can learn', inquiry hears</w:t>
        </w:r>
      </w:hyperlink>
      <w:r w:rsidRPr="00FC074B">
        <w:t>’, ABC (online) 16 April 2015 &lt;</w:t>
      </w:r>
      <w:hyperlink r:id="rId49" w:history="1">
        <w:r w:rsidRPr="00FC074B">
          <w:rPr>
            <w:rStyle w:val="Hyperlink"/>
            <w:rFonts w:cs="Times New Roman"/>
            <w:color w:val="auto"/>
            <w:u w:val="none"/>
            <w:lang w:val="en-US"/>
          </w:rPr>
          <w:t>http://mobile.abc.net.au/news/2015-04-16/parents-with-a-disability-treated-almost-like-criminals/6399036</w:t>
        </w:r>
      </w:hyperlink>
      <w:r w:rsidRPr="00FC074B">
        <w:rPr>
          <w:rStyle w:val="Hyperlink"/>
          <w:rFonts w:cs="Times New Roman"/>
          <w:color w:val="auto"/>
          <w:u w:val="none"/>
          <w:lang w:val="en-US"/>
        </w:rPr>
        <w:t>&gt;</w:t>
      </w:r>
      <w:r w:rsidRPr="00FC074B">
        <w:t>.</w:t>
      </w:r>
    </w:p>
    <w:p w14:paraId="164A17ED" w14:textId="08D84932" w:rsidR="000D79AE" w:rsidRDefault="00254064" w:rsidP="00254064">
      <w:pPr>
        <w:pStyle w:val="Heading2"/>
      </w:pPr>
      <w:bookmarkStart w:id="77" w:name="_Toc514751867"/>
      <w:r>
        <w:t>Conference papers</w:t>
      </w:r>
      <w:bookmarkEnd w:id="77"/>
    </w:p>
    <w:p w14:paraId="5D670F3B" w14:textId="27FE360D" w:rsidR="00254064" w:rsidRDefault="00254064" w:rsidP="00254064">
      <w:pPr>
        <w:pStyle w:val="Bibliography"/>
      </w:pPr>
      <w:r w:rsidRPr="000D6A08">
        <w:t>Jonathon</w:t>
      </w:r>
      <w:r w:rsidRPr="00254064">
        <w:t xml:space="preserve"> </w:t>
      </w:r>
      <w:r w:rsidRPr="000D6A08">
        <w:t>Hunyor, ‘</w:t>
      </w:r>
      <w:r w:rsidRPr="0054445E">
        <w:t>A Kangaroo Loose in the Top Paddock – Criminal Justice, Mental Impairment and Fitness for Trial in the Northern Territory’</w:t>
      </w:r>
      <w:r w:rsidRPr="000D6A08">
        <w:t xml:space="preserve"> (Paper presented at the Uluru Criminal Law Conference, Uluru, 31 August 2012</w:t>
      </w:r>
      <w:r w:rsidR="0054445E">
        <w:t>).</w:t>
      </w:r>
    </w:p>
    <w:p w14:paraId="34EAB412" w14:textId="77777777" w:rsidR="00254064" w:rsidRPr="00254064" w:rsidRDefault="00254064" w:rsidP="00254064"/>
    <w:sectPr w:rsidR="00254064" w:rsidRPr="00254064" w:rsidSect="002556D9">
      <w:footerReference w:type="even" r:id="rId50"/>
      <w:footerReference w:type="first" r:id="rId51"/>
      <w:pgSz w:w="11900" w:h="16840"/>
      <w:pgMar w:top="1361" w:right="1474" w:bottom="1361" w:left="1474" w:header="709" w:footer="709" w:gutter="0"/>
      <w:pgNumType w:fmt="lowerRoman"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51EC3" w14:textId="77777777" w:rsidR="002A6807" w:rsidRDefault="002A6807" w:rsidP="00396190">
      <w:r>
        <w:separator/>
      </w:r>
    </w:p>
  </w:endnote>
  <w:endnote w:type="continuationSeparator" w:id="0">
    <w:p w14:paraId="714F33D4" w14:textId="77777777" w:rsidR="002A6807" w:rsidRDefault="002A6807" w:rsidP="0039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AB2DB" w14:textId="77777777" w:rsidR="001D06AA" w:rsidRDefault="001D06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82210" w14:textId="77777777" w:rsidR="001D06AA" w:rsidRDefault="001D06A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57EC6" w14:textId="7A30F523" w:rsidR="001D06AA" w:rsidRDefault="001D06AA" w:rsidP="001327B7">
    <w:pPr>
      <w:pStyle w:val="Footer-right"/>
    </w:pPr>
    <w:r w:rsidRPr="001327B7">
      <w:t xml:space="preserve">Research needs in access to justice for people with disability in Australia and New Zealand | </w:t>
    </w:r>
    <w:r w:rsidRPr="001327B7">
      <w:rPr>
        <w:rStyle w:val="PageNumber"/>
      </w:rPr>
      <w:fldChar w:fldCharType="begin"/>
    </w:r>
    <w:r w:rsidRPr="001327B7">
      <w:rPr>
        <w:rStyle w:val="PageNumber"/>
      </w:rPr>
      <w:instrText xml:space="preserve">PAGE  </w:instrText>
    </w:r>
    <w:r w:rsidRPr="001327B7">
      <w:rPr>
        <w:rStyle w:val="PageNumber"/>
      </w:rPr>
      <w:fldChar w:fldCharType="separate"/>
    </w:r>
    <w:r>
      <w:rPr>
        <w:rStyle w:val="PageNumber"/>
        <w:noProof/>
      </w:rPr>
      <w:t>1</w:t>
    </w:r>
    <w:r w:rsidRPr="001327B7">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0B996" w14:textId="2C5011EE" w:rsidR="001D06AA" w:rsidRPr="001327B7" w:rsidRDefault="001D06AA" w:rsidP="001327B7">
    <w:pPr>
      <w:pStyle w:val="Footer"/>
    </w:pPr>
    <w:r w:rsidRPr="001327B7">
      <w:rPr>
        <w:rStyle w:val="PageNumber"/>
      </w:rPr>
      <w:fldChar w:fldCharType="begin"/>
    </w:r>
    <w:r w:rsidRPr="001327B7">
      <w:rPr>
        <w:rStyle w:val="PageNumber"/>
      </w:rPr>
      <w:instrText xml:space="preserve">PAGE  </w:instrText>
    </w:r>
    <w:r w:rsidRPr="001327B7">
      <w:rPr>
        <w:rStyle w:val="PageNumber"/>
      </w:rPr>
      <w:fldChar w:fldCharType="separate"/>
    </w:r>
    <w:r w:rsidR="008E58FE">
      <w:rPr>
        <w:rStyle w:val="PageNumber"/>
        <w:noProof/>
      </w:rPr>
      <w:t>32</w:t>
    </w:r>
    <w:r w:rsidRPr="001327B7">
      <w:rPr>
        <w:rStyle w:val="PageNumber"/>
      </w:rPr>
      <w:fldChar w:fldCharType="end"/>
    </w:r>
    <w:r w:rsidRPr="001327B7">
      <w:rPr>
        <w:rStyle w:val="PageNumber"/>
      </w:rPr>
      <w:t xml:space="preserve"> | Disability Access to Justice </w:t>
    </w:r>
    <w:r>
      <w:rPr>
        <w:rStyle w:val="PageNumber"/>
      </w:rPr>
      <w:t xml:space="preserve">Research </w:t>
    </w:r>
    <w:r w:rsidRPr="001327B7">
      <w:rPr>
        <w:rStyle w:val="PageNumber"/>
      </w:rPr>
      <w:t xml:space="preserve">Consortium </w:t>
    </w:r>
    <w:r>
      <w:rPr>
        <w:rStyle w:val="PageNumber"/>
      </w:rPr>
      <w:t>–</w:t>
    </w:r>
    <w:r w:rsidRPr="001327B7">
      <w:rPr>
        <w:rStyle w:val="PageNumber"/>
      </w:rPr>
      <w:t xml:space="preserve"> Scoping Paper</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5534D" w14:textId="063EED28" w:rsidR="001D06AA" w:rsidRDefault="001D06AA" w:rsidP="001327B7">
    <w:pPr>
      <w:pStyle w:val="Footer-right"/>
    </w:pPr>
    <w:r w:rsidRPr="001327B7">
      <w:t xml:space="preserve">Research needs in access to justice for people with disability in Australia and New Zealand | </w:t>
    </w:r>
    <w:r w:rsidRPr="001327B7">
      <w:rPr>
        <w:rStyle w:val="PageNumber"/>
      </w:rPr>
      <w:fldChar w:fldCharType="begin"/>
    </w:r>
    <w:r w:rsidRPr="001327B7">
      <w:rPr>
        <w:rStyle w:val="PageNumber"/>
      </w:rPr>
      <w:instrText xml:space="preserve">PAGE  </w:instrText>
    </w:r>
    <w:r w:rsidRPr="001327B7">
      <w:rPr>
        <w:rStyle w:val="PageNumber"/>
      </w:rPr>
      <w:fldChar w:fldCharType="separate"/>
    </w:r>
    <w:r w:rsidR="008E58FE">
      <w:rPr>
        <w:rStyle w:val="PageNumber"/>
        <w:noProof/>
      </w:rPr>
      <w:t>xi</w:t>
    </w:r>
    <w:r w:rsidRPr="001327B7">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29D96" w14:textId="77777777" w:rsidR="001D06AA" w:rsidRDefault="001D06AA" w:rsidP="001327B7">
    <w:pPr>
      <w:pStyle w:val="Footer-right"/>
    </w:pPr>
    <w:r w:rsidRPr="001327B7">
      <w:t xml:space="preserve">Research needs in access to justice for people with disability in Australia and New Zealand | </w:t>
    </w:r>
    <w:r w:rsidRPr="001327B7">
      <w:rPr>
        <w:rStyle w:val="PageNumber"/>
      </w:rPr>
      <w:fldChar w:fldCharType="begin"/>
    </w:r>
    <w:r w:rsidRPr="001327B7">
      <w:rPr>
        <w:rStyle w:val="PageNumber"/>
      </w:rPr>
      <w:instrText xml:space="preserve">PAGE  </w:instrText>
    </w:r>
    <w:r w:rsidRPr="001327B7">
      <w:rPr>
        <w:rStyle w:val="PageNumber"/>
      </w:rPr>
      <w:fldChar w:fldCharType="separate"/>
    </w:r>
    <w:r w:rsidR="008E58FE">
      <w:rPr>
        <w:rStyle w:val="PageNumber"/>
        <w:noProof/>
      </w:rPr>
      <w:t>1</w:t>
    </w:r>
    <w:r w:rsidRPr="001327B7">
      <w:rPr>
        <w:rStyle w:val="PageNumber"/>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601F" w14:textId="647D02DE" w:rsidR="001D06AA" w:rsidRPr="001327B7" w:rsidRDefault="001D06AA" w:rsidP="001327B7">
    <w:pPr>
      <w:pStyle w:val="Footer"/>
    </w:pPr>
    <w:r w:rsidRPr="001327B7">
      <w:rPr>
        <w:rStyle w:val="PageNumber"/>
      </w:rPr>
      <w:fldChar w:fldCharType="begin"/>
    </w:r>
    <w:r w:rsidRPr="001327B7">
      <w:rPr>
        <w:rStyle w:val="PageNumber"/>
      </w:rPr>
      <w:instrText xml:space="preserve">PAGE  </w:instrText>
    </w:r>
    <w:r w:rsidRPr="001327B7">
      <w:rPr>
        <w:rStyle w:val="PageNumber"/>
      </w:rPr>
      <w:fldChar w:fldCharType="separate"/>
    </w:r>
    <w:r w:rsidR="008E58FE">
      <w:rPr>
        <w:rStyle w:val="PageNumber"/>
        <w:noProof/>
      </w:rPr>
      <w:t>x</w:t>
    </w:r>
    <w:r w:rsidRPr="001327B7">
      <w:rPr>
        <w:rStyle w:val="PageNumber"/>
      </w:rPr>
      <w:fldChar w:fldCharType="end"/>
    </w:r>
    <w:r w:rsidRPr="001327B7">
      <w:rPr>
        <w:rStyle w:val="PageNumber"/>
      </w:rPr>
      <w:t xml:space="preserve"> | Disability Access to Justice </w:t>
    </w:r>
    <w:r>
      <w:rPr>
        <w:rStyle w:val="PageNumber"/>
      </w:rPr>
      <w:t xml:space="preserve">Research </w:t>
    </w:r>
    <w:r w:rsidRPr="001327B7">
      <w:rPr>
        <w:rStyle w:val="PageNumber"/>
      </w:rPr>
      <w:t xml:space="preserve">Consortium </w:t>
    </w:r>
    <w:r>
      <w:rPr>
        <w:rStyle w:val="PageNumber"/>
      </w:rPr>
      <w:t>–</w:t>
    </w:r>
    <w:r w:rsidRPr="001327B7">
      <w:rPr>
        <w:rStyle w:val="PageNumber"/>
      </w:rPr>
      <w:t xml:space="preserve"> Scoping Paper</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06440" w14:textId="77777777" w:rsidR="001D06AA" w:rsidRDefault="001D06AA" w:rsidP="001327B7">
    <w:pPr>
      <w:pStyle w:val="Footer-right"/>
    </w:pPr>
    <w:r w:rsidRPr="001327B7">
      <w:t xml:space="preserve">Research needs in access to justice for people with disability in Australia and New Zealand | </w:t>
    </w:r>
    <w:r w:rsidRPr="001327B7">
      <w:rPr>
        <w:rStyle w:val="PageNumber"/>
      </w:rPr>
      <w:fldChar w:fldCharType="begin"/>
    </w:r>
    <w:r w:rsidRPr="001327B7">
      <w:rPr>
        <w:rStyle w:val="PageNumber"/>
      </w:rPr>
      <w:instrText xml:space="preserve">PAGE  </w:instrText>
    </w:r>
    <w:r w:rsidRPr="001327B7">
      <w:rPr>
        <w:rStyle w:val="PageNumber"/>
      </w:rPr>
      <w:fldChar w:fldCharType="separate"/>
    </w:r>
    <w:r w:rsidR="008E58FE">
      <w:rPr>
        <w:rStyle w:val="PageNumber"/>
        <w:noProof/>
      </w:rPr>
      <w:t>i</w:t>
    </w:r>
    <w:r w:rsidRPr="001327B7">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E0A00" w14:textId="77777777" w:rsidR="002A6807" w:rsidRDefault="002A6807" w:rsidP="00396190">
      <w:r>
        <w:separator/>
      </w:r>
    </w:p>
  </w:footnote>
  <w:footnote w:type="continuationSeparator" w:id="0">
    <w:p w14:paraId="543F8D36" w14:textId="77777777" w:rsidR="002A6807" w:rsidRDefault="002A6807" w:rsidP="00396190">
      <w:r>
        <w:continuationSeparator/>
      </w:r>
    </w:p>
  </w:footnote>
  <w:footnote w:id="1">
    <w:p w14:paraId="7D37167A" w14:textId="0EAC913E" w:rsidR="001D06AA" w:rsidRDefault="001D06AA">
      <w:pPr>
        <w:pStyle w:val="FootnoteText"/>
      </w:pPr>
      <w:r>
        <w:rPr>
          <w:rStyle w:val="FootnoteReference"/>
        </w:rPr>
        <w:footnoteRef/>
      </w:r>
      <w:r>
        <w:t xml:space="preserve"> </w:t>
      </w:r>
      <w:r>
        <w:tab/>
      </w:r>
      <w:r w:rsidRPr="005158D0">
        <w:t>The Disability Access to Justice Research Consortium began in August 2016 and is a growing team of researchers from Australian and New Zealand Universities and Disabled People</w:t>
      </w:r>
      <w:r>
        <w:t>’</w:t>
      </w:r>
      <w:r w:rsidRPr="005158D0">
        <w:t>s Organisations focused on improving Access to Justice for people with disabilities. See further</w:t>
      </w:r>
      <w:r>
        <w:t xml:space="preserve">, </w:t>
      </w:r>
      <w:hyperlink r:id="rId1" w:history="1">
        <w:r w:rsidRPr="00F67524">
          <w:rPr>
            <w:rStyle w:val="Hyperlink"/>
          </w:rPr>
          <w:t>Disability Access to Justice Consortium</w:t>
        </w:r>
      </w:hyperlink>
      <w:r>
        <w:t xml:space="preserve"> &lt;</w:t>
      </w:r>
      <w:hyperlink r:id="rId2" w:history="1">
        <w:r w:rsidRPr="00F67524">
          <w:rPr>
            <w:rStyle w:val="Hyperlink"/>
            <w:rFonts w:cs="Times New Roman"/>
            <w:color w:val="auto"/>
            <w:u w:val="none"/>
          </w:rPr>
          <w:t>http://research.unimelb.edu.au/hallmark-initiatives/disability-research-initiative/research/networks/access-to-justice-consortium</w:t>
        </w:r>
      </w:hyperlink>
      <w:r>
        <w:rPr>
          <w:rStyle w:val="Hyperlink"/>
          <w:rFonts w:cs="Times New Roman"/>
          <w:color w:val="auto"/>
          <w:u w:val="none"/>
        </w:rPr>
        <w:t>&gt;</w:t>
      </w:r>
      <w:r w:rsidRPr="00F67524">
        <w:rPr>
          <w:rStyle w:val="Hyperlink"/>
          <w:rFonts w:cs="Times New Roman"/>
          <w:color w:val="auto"/>
          <w:u w:val="none"/>
        </w:rPr>
        <w:t>.</w:t>
      </w:r>
    </w:p>
  </w:footnote>
  <w:footnote w:id="2">
    <w:p w14:paraId="5FD9830F" w14:textId="23AE7B49" w:rsidR="001D06AA" w:rsidRPr="005158D0" w:rsidRDefault="001D06AA" w:rsidP="004758FB">
      <w:pPr>
        <w:pStyle w:val="FootnoteText"/>
      </w:pPr>
      <w:r w:rsidRPr="005158D0">
        <w:rPr>
          <w:rStyle w:val="FootnoteReference"/>
          <w:rFonts w:cs="Times New Roman"/>
        </w:rPr>
        <w:footnoteRef/>
      </w:r>
      <w:r w:rsidRPr="005158D0">
        <w:t xml:space="preserve"> </w:t>
      </w:r>
      <w:r>
        <w:tab/>
        <w:t xml:space="preserve">Gwynnyth Llewellyn, </w:t>
      </w:r>
      <w:r w:rsidRPr="004758FB">
        <w:rPr>
          <w:i/>
        </w:rPr>
        <w:t>Report of Audit of Disability Research in Australia</w:t>
      </w:r>
      <w:r w:rsidRPr="005158D0">
        <w:t xml:space="preserve"> </w:t>
      </w:r>
      <w:r>
        <w:t>(</w:t>
      </w:r>
      <w:r w:rsidRPr="004758FB">
        <w:t>Centre for Disability Research and Policy</w:t>
      </w:r>
      <w:r w:rsidRPr="005158D0">
        <w:t>, Faculty of Health Sciences, University of Sydney</w:t>
      </w:r>
      <w:r>
        <w:t>, 2014)</w:t>
      </w:r>
      <w:r w:rsidRPr="005158D0">
        <w:t xml:space="preserve">. </w:t>
      </w:r>
    </w:p>
  </w:footnote>
  <w:footnote w:id="3">
    <w:p w14:paraId="0883E352" w14:textId="5D37FDB7" w:rsidR="001D06AA" w:rsidRPr="005158D0" w:rsidRDefault="001D06AA" w:rsidP="00396190">
      <w:pPr>
        <w:pStyle w:val="FootnoteText"/>
      </w:pPr>
      <w:r w:rsidRPr="005158D0">
        <w:rPr>
          <w:rStyle w:val="FootnoteReference"/>
          <w:rFonts w:cs="Times New Roman"/>
        </w:rPr>
        <w:footnoteRef/>
      </w:r>
      <w:r w:rsidRPr="005158D0">
        <w:t xml:space="preserve"> </w:t>
      </w:r>
      <w:r>
        <w:rPr>
          <w:i/>
        </w:rPr>
        <w:tab/>
      </w:r>
      <w:r w:rsidRPr="005158D0">
        <w:rPr>
          <w:i/>
        </w:rPr>
        <w:t>Convention on the Rights of Persons with Disabilities</w:t>
      </w:r>
      <w:r w:rsidRPr="005158D0">
        <w:t>, opened for signature 30 March 2007, 2515 UNTS</w:t>
      </w:r>
      <w:r>
        <w:t> </w:t>
      </w:r>
      <w:r w:rsidRPr="005158D0">
        <w:t>3 (entere</w:t>
      </w:r>
      <w:r>
        <w:t>d into force 3 May 2008) art 1</w:t>
      </w:r>
      <w:r w:rsidRPr="005158D0">
        <w:t>; note also art 2 ‘Definitions’.</w:t>
      </w:r>
    </w:p>
  </w:footnote>
  <w:footnote w:id="4">
    <w:p w14:paraId="46B4802E" w14:textId="431F10C7"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 art 13(1).</w:t>
      </w:r>
    </w:p>
  </w:footnote>
  <w:footnote w:id="5">
    <w:p w14:paraId="15A631D1" w14:textId="76326978"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 xml:space="preserve">Ibid art 13. </w:t>
      </w:r>
    </w:p>
  </w:footnote>
  <w:footnote w:id="6">
    <w:p w14:paraId="23D1CEE2" w14:textId="070519AF"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 art 12.</w:t>
      </w:r>
    </w:p>
  </w:footnote>
  <w:footnote w:id="7">
    <w:p w14:paraId="42FA712B" w14:textId="69B6F011"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 art 14.</w:t>
      </w:r>
    </w:p>
  </w:footnote>
  <w:footnote w:id="8">
    <w:p w14:paraId="1CD459E3" w14:textId="2A249D6F"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 art 5.</w:t>
      </w:r>
    </w:p>
  </w:footnote>
  <w:footnote w:id="9">
    <w:p w14:paraId="3ED4777A" w14:textId="76D45838" w:rsidR="001D06AA" w:rsidRPr="005158D0" w:rsidRDefault="001D06AA" w:rsidP="00396190">
      <w:pPr>
        <w:pStyle w:val="FootnoteText"/>
      </w:pPr>
      <w:r w:rsidRPr="00A72F53">
        <w:rPr>
          <w:rStyle w:val="FootnoteReference"/>
          <w:rFonts w:cs="Times New Roman"/>
        </w:rPr>
        <w:footnoteRef/>
      </w:r>
      <w:r w:rsidRPr="00A72F53">
        <w:t xml:space="preserve"> </w:t>
      </w:r>
      <w:r w:rsidRPr="00A72F53">
        <w:tab/>
        <w:t xml:space="preserve">See, for example, </w:t>
      </w:r>
      <w:r w:rsidRPr="005158D0">
        <w:t>Piers</w:t>
      </w:r>
      <w:r>
        <w:t xml:space="preserve"> </w:t>
      </w:r>
      <w:r w:rsidRPr="005158D0">
        <w:t xml:space="preserve">Gooding, </w:t>
      </w:r>
      <w:r>
        <w:t xml:space="preserve">Bernadette McSherry, Anna Arstein-Kerslake and Louis Andrews, </w:t>
      </w:r>
      <w:r w:rsidRPr="005158D0">
        <w:t xml:space="preserve">‘Unfitness to Stand Trial and the Indefinite Detention of Persons with Cognitive Disabilities in Australia: Human Rights Challenges and Proposals for Change’ (2017) 40 </w:t>
      </w:r>
      <w:r w:rsidRPr="005158D0">
        <w:rPr>
          <w:i/>
          <w:iCs/>
        </w:rPr>
        <w:t xml:space="preserve">Melbourne University Law Review </w:t>
      </w:r>
      <w:r w:rsidRPr="00E92A8F">
        <w:t xml:space="preserve">816; </w:t>
      </w:r>
      <w:r w:rsidRPr="005158D0">
        <w:t>Marie</w:t>
      </w:r>
      <w:r w:rsidRPr="00077764">
        <w:t xml:space="preserve"> </w:t>
      </w:r>
      <w:r w:rsidRPr="00E92A8F">
        <w:t>Segrave</w:t>
      </w:r>
      <w:r>
        <w:t>,</w:t>
      </w:r>
      <w:r w:rsidRPr="005158D0">
        <w:t xml:space="preserve"> Claire Spivakovsky and Anna Eriksson, ‘The Maelstrom of punishment, mental illness, intellectual disability and cognitive impairment’ (2017) 19(3) </w:t>
      </w:r>
      <w:r w:rsidRPr="005158D0">
        <w:rPr>
          <w:i/>
        </w:rPr>
        <w:t>Punishment and Society</w:t>
      </w:r>
      <w:r w:rsidRPr="005158D0">
        <w:t xml:space="preserve"> 267</w:t>
      </w:r>
      <w:r w:rsidRPr="00713CB2">
        <w:t>; Barbara</w:t>
      </w:r>
      <w:r w:rsidRPr="00077764">
        <w:t xml:space="preserve"> </w:t>
      </w:r>
      <w:r>
        <w:t>Carter</w:t>
      </w:r>
      <w:r w:rsidRPr="00713CB2">
        <w:t xml:space="preserve">, </w:t>
      </w:r>
      <w:r w:rsidRPr="00713CB2">
        <w:rPr>
          <w:i/>
        </w:rPr>
        <w:t>Rebuilding the village: Supporting families where a</w:t>
      </w:r>
      <w:r>
        <w:rPr>
          <w:i/>
        </w:rPr>
        <w:t xml:space="preserve"> parent has a disability Report </w:t>
      </w:r>
      <w:r w:rsidRPr="00713CB2">
        <w:rPr>
          <w:i/>
        </w:rPr>
        <w:t xml:space="preserve">2: Child Protection </w:t>
      </w:r>
      <w:r w:rsidRPr="00713CB2">
        <w:t xml:space="preserve">(Office of the Public Advocate, Victoria, 2015); </w:t>
      </w:r>
      <w:r w:rsidRPr="00FA07DA">
        <w:t>Stacey</w:t>
      </w:r>
      <w:r w:rsidRPr="00077764">
        <w:t xml:space="preserve"> </w:t>
      </w:r>
      <w:r>
        <w:t>Lim</w:t>
      </w:r>
      <w:r w:rsidRPr="00FA07DA">
        <w:t xml:space="preserve">, Ian Lambie and Erana Cooper, ‘New Zealand Youth That Sexually Offend: Improving Outcomes for Maori Rangatahi and Their Whanau’ (2012) 24(5) </w:t>
      </w:r>
      <w:r w:rsidRPr="00FA07DA">
        <w:rPr>
          <w:i/>
        </w:rPr>
        <w:t>Sexual Abuse: A Journal of Research and Treatment</w:t>
      </w:r>
      <w:r w:rsidRPr="00FA07DA">
        <w:t xml:space="preserve"> 459.</w:t>
      </w:r>
    </w:p>
  </w:footnote>
  <w:footnote w:id="10">
    <w:p w14:paraId="3B20FB72" w14:textId="47E0800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Llewellyn</w:t>
      </w:r>
      <w:r>
        <w:t>,</w:t>
      </w:r>
      <w:r w:rsidRPr="005158D0">
        <w:t xml:space="preserve"> </w:t>
      </w:r>
      <w:r>
        <w:t>above n</w:t>
      </w:r>
      <w:r>
        <w:fldChar w:fldCharType="begin"/>
      </w:r>
      <w:r>
        <w:instrText xml:space="preserve"> NOTEREF _Ref514432727 \h </w:instrText>
      </w:r>
      <w:r>
        <w:fldChar w:fldCharType="separate"/>
      </w:r>
      <w:r w:rsidR="00DE614F">
        <w:t>2</w:t>
      </w:r>
      <w:r>
        <w:fldChar w:fldCharType="end"/>
      </w:r>
      <w:r>
        <w:t>.</w:t>
      </w:r>
    </w:p>
  </w:footnote>
  <w:footnote w:id="11">
    <w:p w14:paraId="7B5B19C1" w14:textId="5A344C86"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 8.</w:t>
      </w:r>
    </w:p>
  </w:footnote>
  <w:footnote w:id="12">
    <w:p w14:paraId="70F7FD0B" w14:textId="0CE6E354" w:rsidR="001D06AA" w:rsidRPr="005158D0" w:rsidRDefault="001D06AA" w:rsidP="00396190">
      <w:pPr>
        <w:pStyle w:val="FootnoteText"/>
        <w:rPr>
          <w:lang w:val="en-US"/>
        </w:rPr>
      </w:pPr>
      <w:r w:rsidRPr="00713CB2">
        <w:rPr>
          <w:rStyle w:val="FootnoteReference"/>
          <w:rFonts w:cs="Times New Roman"/>
        </w:rPr>
        <w:footnoteRef/>
      </w:r>
      <w:r w:rsidRPr="00713CB2">
        <w:t xml:space="preserve"> </w:t>
      </w:r>
      <w:r w:rsidRPr="00713CB2">
        <w:tab/>
        <w:t>A full analysis of judicial commentary, case law and legislation was beyond the scope of this review, however while there have been some reforms to the law to improve access to justice for people with disability in the criminal justice system for example access to communication assistance, most of the legislation across Australia and New Zealand refers to ‘special measures’, ‘special witnesses’, ‘vulnerability’, ‘competence and lack of capacity’. Examples include</w:t>
      </w:r>
      <w:r>
        <w:t xml:space="preserve"> but are not limited to section </w:t>
      </w:r>
      <w:r w:rsidRPr="00713CB2">
        <w:t xml:space="preserve">13 in the Uniform Evidence Legislation (see further, </w:t>
      </w:r>
      <w:r w:rsidRPr="00713CB2">
        <w:rPr>
          <w:i/>
        </w:rPr>
        <w:t xml:space="preserve">Evidence Act 1995 </w:t>
      </w:r>
      <w:r w:rsidRPr="00713CB2">
        <w:t xml:space="preserve">(Cth)) or provisions such as </w:t>
      </w:r>
      <w:r w:rsidRPr="00713CB2">
        <w:rPr>
          <w:i/>
        </w:rPr>
        <w:t xml:space="preserve">Evidence Act 1906 </w:t>
      </w:r>
      <w:r w:rsidRPr="00713CB2">
        <w:t xml:space="preserve">(WA) s 106F; </w:t>
      </w:r>
      <w:r w:rsidRPr="00713CB2">
        <w:rPr>
          <w:i/>
        </w:rPr>
        <w:t xml:space="preserve">Criminal Procedure Act 1986 </w:t>
      </w:r>
      <w:r w:rsidRPr="00713CB2">
        <w:t xml:space="preserve">(NSW) ss 275B, 306ZK and Sch 2, cls 88–90; </w:t>
      </w:r>
      <w:r w:rsidRPr="00713CB2">
        <w:rPr>
          <w:i/>
        </w:rPr>
        <w:t>Statutes Amendment (Vulnerable Witnesses) Act 2015</w:t>
      </w:r>
      <w:r w:rsidRPr="00713CB2">
        <w:t xml:space="preserve"> </w:t>
      </w:r>
      <w:r>
        <w:t>(</w:t>
      </w:r>
      <w:r w:rsidRPr="00713CB2">
        <w:t>SA) ss 8 &amp; 12</w:t>
      </w:r>
      <w:r>
        <w:t xml:space="preserve"> amending the </w:t>
      </w:r>
      <w:r w:rsidRPr="00713CB2">
        <w:rPr>
          <w:i/>
        </w:rPr>
        <w:t>Evidence Act 1929</w:t>
      </w:r>
      <w:r>
        <w:t xml:space="preserve"> (SA) to allow</w:t>
      </w:r>
      <w:r w:rsidRPr="00713CB2">
        <w:t xml:space="preserve"> for special arrangements for ‘vulnerable witnesses’ rather than adopting rights-based terminology.</w:t>
      </w:r>
    </w:p>
  </w:footnote>
  <w:footnote w:id="13">
    <w:p w14:paraId="74B3799E" w14:textId="1CC1FAFA"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t>As well as</w:t>
      </w:r>
      <w:r w:rsidRPr="005158D0">
        <w:t xml:space="preserve"> references to ‘vulnerability’ and the medical model of disability in legislation</w:t>
      </w:r>
      <w:r>
        <w:t xml:space="preserve">, see above </w:t>
      </w:r>
      <w:r w:rsidRPr="005158D0">
        <w:t>n</w:t>
      </w:r>
      <w:r>
        <w:fldChar w:fldCharType="begin"/>
      </w:r>
      <w:r>
        <w:instrText xml:space="preserve"> NOTEREF _Ref514433087 \h </w:instrText>
      </w:r>
      <w:r>
        <w:fldChar w:fldCharType="separate"/>
      </w:r>
      <w:r w:rsidR="00DE614F">
        <w:t>12</w:t>
      </w:r>
      <w:r>
        <w:fldChar w:fldCharType="end"/>
      </w:r>
      <w:r w:rsidRPr="005158D0">
        <w:t xml:space="preserve">, commentators such as Steele </w:t>
      </w:r>
      <w:r w:rsidRPr="00077764">
        <w:t>et al</w:t>
      </w:r>
      <w:r w:rsidRPr="005158D0">
        <w:t xml:space="preserve"> </w:t>
      </w:r>
      <w:r w:rsidRPr="005158D0">
        <w:rPr>
          <w:lang w:val="en-US"/>
        </w:rPr>
        <w:t>point to the problem of using the medical model of disability as part of court diversion pro</w:t>
      </w:r>
      <w:r>
        <w:rPr>
          <w:lang w:val="en-US"/>
        </w:rPr>
        <w:t>grams:</w:t>
      </w:r>
      <w:r w:rsidRPr="005158D0">
        <w:rPr>
          <w:lang w:val="en-US"/>
        </w:rPr>
        <w:t xml:space="preserve"> </w:t>
      </w:r>
      <w:r w:rsidRPr="005158D0">
        <w:t>Linda</w:t>
      </w:r>
      <w:r w:rsidRPr="00DA5ACB">
        <w:rPr>
          <w:lang w:val="en-US"/>
        </w:rPr>
        <w:t xml:space="preserve"> </w:t>
      </w:r>
      <w:r>
        <w:rPr>
          <w:lang w:val="en-US"/>
        </w:rPr>
        <w:t>Steele</w:t>
      </w:r>
      <w:r>
        <w:t>,</w:t>
      </w:r>
      <w:r w:rsidRPr="005158D0">
        <w:t xml:space="preserve"> </w:t>
      </w:r>
      <w:r w:rsidRPr="005158D0">
        <w:rPr>
          <w:lang w:val="en-US"/>
        </w:rPr>
        <w:t>Leanne Dowse and Julian Trofimovs, ‘Who is Diverted? Moving beyond Diagnosed Impairment towards a Social and Po</w:t>
      </w:r>
      <w:r>
        <w:rPr>
          <w:lang w:val="en-US"/>
        </w:rPr>
        <w:t>litical Analysis of Diversion’ [2016]</w:t>
      </w:r>
      <w:r w:rsidRPr="005158D0">
        <w:rPr>
          <w:lang w:val="en-US"/>
        </w:rPr>
        <w:t xml:space="preserve"> 8 </w:t>
      </w:r>
      <w:r w:rsidRPr="005158D0">
        <w:rPr>
          <w:i/>
          <w:iCs/>
          <w:lang w:val="en-US"/>
        </w:rPr>
        <w:t>Sydney Law Review</w:t>
      </w:r>
      <w:r w:rsidRPr="005158D0">
        <w:rPr>
          <w:lang w:val="en-US"/>
        </w:rPr>
        <w:t xml:space="preserve"> 179.</w:t>
      </w:r>
    </w:p>
  </w:footnote>
  <w:footnote w:id="14">
    <w:p w14:paraId="244D8E86" w14:textId="40CCA08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Linda</w:t>
      </w:r>
      <w:r w:rsidRPr="00DA5ACB">
        <w:t xml:space="preserve"> </w:t>
      </w:r>
      <w:r>
        <w:t>Steele,</w:t>
      </w:r>
      <w:r w:rsidRPr="005158D0">
        <w:t xml:space="preserve"> ‘Policing normalcy: sexual violence against women offenders with disability’ (2017) 31(3) </w:t>
      </w:r>
      <w:r w:rsidRPr="005158D0">
        <w:rPr>
          <w:i/>
          <w:iCs/>
        </w:rPr>
        <w:t>Continuum Journal of Media &amp; Cultural Studies</w:t>
      </w:r>
      <w:r w:rsidRPr="005158D0">
        <w:rPr>
          <w:iCs/>
        </w:rPr>
        <w:t xml:space="preserve"> 422</w:t>
      </w:r>
      <w:r w:rsidRPr="005158D0">
        <w:t>; Claire</w:t>
      </w:r>
      <w:r w:rsidRPr="00DA5ACB">
        <w:t xml:space="preserve"> </w:t>
      </w:r>
      <w:r w:rsidRPr="005158D0">
        <w:t xml:space="preserve">Spivakovsky and Kate Seear, ‘Making the abject: problem-solving courts, addition, mental illness and impairment’ (2017) 31(3) </w:t>
      </w:r>
      <w:r w:rsidRPr="005158D0">
        <w:rPr>
          <w:i/>
          <w:iCs/>
        </w:rPr>
        <w:t>Continuum Journal of Media and Cultural Studies</w:t>
      </w:r>
      <w:r w:rsidRPr="005158D0">
        <w:rPr>
          <w:iCs/>
        </w:rPr>
        <w:t xml:space="preserve"> 458</w:t>
      </w:r>
      <w:r w:rsidRPr="005158D0">
        <w:t xml:space="preserve">. Note also the earlier analysis </w:t>
      </w:r>
      <w:r>
        <w:t>in</w:t>
      </w:r>
      <w:r w:rsidRPr="005158D0">
        <w:t xml:space="preserve"> Claire</w:t>
      </w:r>
      <w:r w:rsidRPr="00344368">
        <w:t xml:space="preserve"> </w:t>
      </w:r>
      <w:r>
        <w:t>Spivakovsky,</w:t>
      </w:r>
      <w:r w:rsidRPr="005158D0">
        <w:t xml:space="preserve"> ‘From punishment to protection: Containing and controlling the lives of people with disabilities in human rights’</w:t>
      </w:r>
      <w:r w:rsidRPr="005158D0">
        <w:rPr>
          <w:i/>
          <w:iCs/>
        </w:rPr>
        <w:t xml:space="preserve"> </w:t>
      </w:r>
      <w:r w:rsidRPr="005158D0">
        <w:t xml:space="preserve">(2014) 16(5) </w:t>
      </w:r>
      <w:r w:rsidRPr="005158D0">
        <w:rPr>
          <w:i/>
          <w:iCs/>
        </w:rPr>
        <w:t xml:space="preserve">Punishment and Society </w:t>
      </w:r>
      <w:r w:rsidRPr="005158D0">
        <w:rPr>
          <w:iCs/>
        </w:rPr>
        <w:t>560.</w:t>
      </w:r>
      <w:r w:rsidRPr="005158D0">
        <w:rPr>
          <w:i/>
          <w:iCs/>
        </w:rPr>
        <w:t xml:space="preserve"> </w:t>
      </w:r>
    </w:p>
  </w:footnote>
  <w:footnote w:id="15">
    <w:p w14:paraId="4E61625A" w14:textId="5DD89369"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Eilionóir</w:t>
      </w:r>
      <w:r w:rsidRPr="004D58A2">
        <w:t xml:space="preserve"> </w:t>
      </w:r>
      <w:r>
        <w:t>Flynn,</w:t>
      </w:r>
      <w:r w:rsidRPr="005158D0">
        <w:t xml:space="preserve"> ‘Article 13 [Access to Justice]’ in Valentina</w:t>
      </w:r>
      <w:r w:rsidRPr="00026236">
        <w:t xml:space="preserve"> </w:t>
      </w:r>
      <w:r>
        <w:t>Della Fina, Rachele Cera</w:t>
      </w:r>
      <w:r w:rsidRPr="005158D0">
        <w:t xml:space="preserve"> </w:t>
      </w:r>
      <w:r>
        <w:t xml:space="preserve">and </w:t>
      </w:r>
      <w:r w:rsidRPr="005158D0">
        <w:t xml:space="preserve">Giuseppe Palmisano (eds) </w:t>
      </w:r>
      <w:r w:rsidRPr="005158D0">
        <w:rPr>
          <w:i/>
          <w:iCs/>
        </w:rPr>
        <w:t>The United Nations Convention on the Rights of Persons with Disabilities</w:t>
      </w:r>
      <w:r>
        <w:t xml:space="preserve"> (Springer,</w:t>
      </w:r>
      <w:r w:rsidRPr="005158D0">
        <w:t xml:space="preserve"> 2017); see also </w:t>
      </w:r>
      <w:r>
        <w:t>Australian Cross Disability Alliance</w:t>
      </w:r>
      <w:r w:rsidRPr="005158D0">
        <w:t>,</w:t>
      </w:r>
      <w:r>
        <w:t xml:space="preserve"> Submission No 147</w:t>
      </w:r>
      <w:r w:rsidRPr="0022532B">
        <w:t xml:space="preserve"> to Senate Community Affairs References Committee, </w:t>
      </w:r>
      <w:r>
        <w:t xml:space="preserve">Parliament of Australia, </w:t>
      </w:r>
      <w:r w:rsidRPr="005158D0">
        <w:rPr>
          <w:i/>
          <w:iCs/>
        </w:rPr>
        <w:t>Inquiry into Violence, Abuse and Neglect Against People With Disability in Institutional and Residential Settings</w:t>
      </w:r>
      <w:r>
        <w:t>, August</w:t>
      </w:r>
      <w:r w:rsidRPr="00336A43">
        <w:t xml:space="preserve"> </w:t>
      </w:r>
      <w:r w:rsidRPr="005158D0">
        <w:t>2015; Anna</w:t>
      </w:r>
      <w:r w:rsidRPr="00B40080">
        <w:t xml:space="preserve"> </w:t>
      </w:r>
      <w:r w:rsidRPr="005158D0">
        <w:t xml:space="preserve">Arstein-Kerslake and Eilionóir Flynn, ‘The right to legal agency: domination, disability and the protections of Article 12 of the </w:t>
      </w:r>
      <w:r w:rsidRPr="00EB55B0">
        <w:rPr>
          <w:i/>
        </w:rPr>
        <w:t>Convention on the Rights of Persons with Disabilities</w:t>
      </w:r>
      <w:r w:rsidRPr="005158D0">
        <w:t xml:space="preserve">’ (2017) 13(1) </w:t>
      </w:r>
      <w:r w:rsidRPr="005158D0">
        <w:rPr>
          <w:i/>
          <w:iCs/>
        </w:rPr>
        <w:t xml:space="preserve">Legal Capacity and Human Rights </w:t>
      </w:r>
      <w:r w:rsidRPr="005158D0">
        <w:t>22; Anna</w:t>
      </w:r>
      <w:r w:rsidRPr="00B40080">
        <w:t xml:space="preserve"> </w:t>
      </w:r>
      <w:r w:rsidRPr="005158D0">
        <w:t xml:space="preserve">Arstein-Kerslake and Eilionóir Flynn, ‘The General Comment on Article 12 of the </w:t>
      </w:r>
      <w:r w:rsidRPr="00EB55B0">
        <w:rPr>
          <w:i/>
        </w:rPr>
        <w:t>Convention on the Rights of Persons with Disabilities</w:t>
      </w:r>
      <w:r w:rsidRPr="005158D0">
        <w:t xml:space="preserve">: a roadmap for equality before the law’ (2016) 20(4) </w:t>
      </w:r>
      <w:r w:rsidRPr="005158D0">
        <w:rPr>
          <w:i/>
          <w:iCs/>
        </w:rPr>
        <w:t>The International Journal of Human Rights</w:t>
      </w:r>
      <w:r w:rsidRPr="005158D0">
        <w:t xml:space="preserve"> 471; Penelope</w:t>
      </w:r>
      <w:r w:rsidRPr="00B40080">
        <w:t xml:space="preserve"> </w:t>
      </w:r>
      <w:r w:rsidRPr="005158D0">
        <w:t>Weller</w:t>
      </w:r>
      <w:r>
        <w:t>,</w:t>
      </w:r>
      <w:r w:rsidRPr="005158D0">
        <w:t xml:space="preserve"> ‘Legal capacity and access to justice: the right to participation in the CRPD,’ (2016) 5(1) </w:t>
      </w:r>
      <w:r w:rsidRPr="005158D0">
        <w:rPr>
          <w:i/>
          <w:iCs/>
        </w:rPr>
        <w:t xml:space="preserve">Laws </w:t>
      </w:r>
      <w:r w:rsidRPr="005158D0">
        <w:t>13; Eileen</w:t>
      </w:r>
      <w:r w:rsidRPr="00B40080">
        <w:t xml:space="preserve"> </w:t>
      </w:r>
      <w:r w:rsidRPr="005158D0">
        <w:t>Baldry</w:t>
      </w:r>
      <w:r>
        <w:t>,</w:t>
      </w:r>
      <w:r w:rsidRPr="005158D0">
        <w:t xml:space="preserve"> </w:t>
      </w:r>
      <w:r>
        <w:t>Ruth McCausland, Leanne Dowse, Elizabeth McEntyre and Peter MacGillivray</w:t>
      </w:r>
      <w:r w:rsidRPr="005158D0">
        <w:t xml:space="preserve">, ‘It’s just a big vicious cycle that swallows them up: Indigenous people with mental and cognitive disabilities in the </w:t>
      </w:r>
      <w:r>
        <w:t>criminal justice system’ (2016) </w:t>
      </w:r>
      <w:r w:rsidRPr="005158D0">
        <w:t xml:space="preserve">8(22) </w:t>
      </w:r>
      <w:r w:rsidRPr="005158D0">
        <w:rPr>
          <w:i/>
        </w:rPr>
        <w:t xml:space="preserve">Indigenous Law Bulletin </w:t>
      </w:r>
      <w:r w:rsidRPr="005158D0">
        <w:t>10.</w:t>
      </w:r>
    </w:p>
  </w:footnote>
  <w:footnote w:id="16">
    <w:p w14:paraId="6B4D20C1" w14:textId="77777777" w:rsidR="001D06AA" w:rsidRDefault="001D06AA" w:rsidP="00396190">
      <w:pPr>
        <w:pStyle w:val="FootnoteText"/>
      </w:pPr>
      <w:r w:rsidRPr="005158D0">
        <w:rPr>
          <w:rStyle w:val="FootnoteReference"/>
          <w:rFonts w:cs="Times New Roman"/>
        </w:rPr>
        <w:footnoteRef/>
      </w:r>
      <w:r w:rsidRPr="005158D0">
        <w:t xml:space="preserve"> </w:t>
      </w:r>
      <w:r>
        <w:tab/>
      </w:r>
      <w:r w:rsidRPr="005158D0">
        <w:t>The literature search included Google Scholar and University of Melbourne Discovery Portal as well as searches thr</w:t>
      </w:r>
      <w:r>
        <w:t>ough Australian Government and federal, state and territory p</w:t>
      </w:r>
      <w:r w:rsidRPr="005158D0">
        <w:t xml:space="preserve">arliamentary websites. </w:t>
      </w:r>
    </w:p>
    <w:p w14:paraId="4EA8E456" w14:textId="77777777" w:rsidR="001D06AA" w:rsidRDefault="001D06AA" w:rsidP="001C2933">
      <w:pPr>
        <w:pStyle w:val="FootnoteText"/>
        <w:ind w:firstLine="0"/>
      </w:pPr>
      <w:r w:rsidRPr="005158D0">
        <w:t>Google Scholar searches us</w:t>
      </w:r>
      <w:r>
        <w:t>ed the following search terms: ‘d</w:t>
      </w:r>
      <w:r w:rsidRPr="005158D0">
        <w:t>isability access to justice legal New Zealand</w:t>
      </w:r>
      <w:r>
        <w:t>’</w:t>
      </w:r>
      <w:r w:rsidRPr="005158D0">
        <w:t xml:space="preserve">, </w:t>
      </w:r>
      <w:r>
        <w:t>‘d</w:t>
      </w:r>
      <w:r w:rsidRPr="005158D0">
        <w:t>isability access to justice rural and regional New Zealand</w:t>
      </w:r>
      <w:r>
        <w:t>’</w:t>
      </w:r>
      <w:r w:rsidRPr="005158D0">
        <w:t xml:space="preserve">, </w:t>
      </w:r>
      <w:r>
        <w:t>‘access to justice for people with d</w:t>
      </w:r>
      <w:r w:rsidRPr="005158D0">
        <w:t>isability</w:t>
      </w:r>
      <w:r>
        <w:t>’</w:t>
      </w:r>
      <w:r w:rsidRPr="005158D0">
        <w:t xml:space="preserve">, </w:t>
      </w:r>
      <w:r>
        <w:t>‘access to justice for people with d</w:t>
      </w:r>
      <w:r w:rsidRPr="005158D0">
        <w:t>isability Australia</w:t>
      </w:r>
      <w:r>
        <w:t>’</w:t>
      </w:r>
      <w:r w:rsidRPr="005158D0">
        <w:t xml:space="preserve">, </w:t>
      </w:r>
      <w:r>
        <w:t>‘access to justice for people with d</w:t>
      </w:r>
      <w:r w:rsidRPr="005158D0">
        <w:t>isability New Zealand</w:t>
      </w:r>
      <w:r>
        <w:t>’, ‘r</w:t>
      </w:r>
      <w:r w:rsidRPr="005158D0">
        <w:t xml:space="preserve">ight to </w:t>
      </w:r>
      <w:r>
        <w:t>access to justice d</w:t>
      </w:r>
      <w:r w:rsidRPr="005158D0">
        <w:t>isability Australia</w:t>
      </w:r>
      <w:r>
        <w:t>’</w:t>
      </w:r>
      <w:r w:rsidRPr="005158D0">
        <w:t xml:space="preserve">, </w:t>
      </w:r>
      <w:r>
        <w:t>r</w:t>
      </w:r>
      <w:r w:rsidRPr="005158D0">
        <w:t xml:space="preserve">ight to </w:t>
      </w:r>
      <w:r>
        <w:t>access to justice d</w:t>
      </w:r>
      <w:r w:rsidRPr="005158D0">
        <w:t xml:space="preserve">isability </w:t>
      </w:r>
      <w:r>
        <w:t>New Zealand’</w:t>
      </w:r>
      <w:r w:rsidRPr="005158D0">
        <w:t xml:space="preserve">, </w:t>
      </w:r>
      <w:r>
        <w:t>‘a</w:t>
      </w:r>
      <w:r w:rsidRPr="005158D0">
        <w:t>ccess to justice for people with disability</w:t>
      </w:r>
      <w:r>
        <w:t>’</w:t>
      </w:r>
      <w:r w:rsidRPr="005158D0">
        <w:t xml:space="preserve">, </w:t>
      </w:r>
      <w:r>
        <w:t>‘d</w:t>
      </w:r>
      <w:r w:rsidRPr="005158D0">
        <w:t>isability access to justice</w:t>
      </w:r>
      <w:r>
        <w:t>’</w:t>
      </w:r>
      <w:r w:rsidRPr="005158D0">
        <w:t xml:space="preserve">, </w:t>
      </w:r>
      <w:r>
        <w:t>‘d</w:t>
      </w:r>
      <w:r w:rsidRPr="005158D0">
        <w:t>isability access to justice Australia</w:t>
      </w:r>
      <w:r>
        <w:t>’</w:t>
      </w:r>
      <w:r w:rsidRPr="005158D0">
        <w:t xml:space="preserve">, </w:t>
      </w:r>
      <w:r>
        <w:t>‘d</w:t>
      </w:r>
      <w:r w:rsidRPr="005158D0">
        <w:t>isability access to justice New Zealand</w:t>
      </w:r>
      <w:r>
        <w:t>’</w:t>
      </w:r>
      <w:r w:rsidRPr="005158D0">
        <w:t xml:space="preserve">, </w:t>
      </w:r>
      <w:r>
        <w:t>‘d</w:t>
      </w:r>
      <w:r w:rsidRPr="005158D0">
        <w:t>ispute resolution and people with disability</w:t>
      </w:r>
      <w:r>
        <w:t>’</w:t>
      </w:r>
      <w:r w:rsidRPr="005158D0">
        <w:t xml:space="preserve">, </w:t>
      </w:r>
      <w:r>
        <w:t>‘child protection and d</w:t>
      </w:r>
      <w:r w:rsidRPr="005158D0">
        <w:t>isability</w:t>
      </w:r>
      <w:r>
        <w:t>’, ‘civil remedies access to justice for people with d</w:t>
      </w:r>
      <w:r w:rsidRPr="005158D0">
        <w:t>isability</w:t>
      </w:r>
      <w:r>
        <w:t>’</w:t>
      </w:r>
      <w:r w:rsidRPr="005158D0">
        <w:t xml:space="preserve">, </w:t>
      </w:r>
      <w:r>
        <w:t>‘universal access to justice for people with d</w:t>
      </w:r>
      <w:r w:rsidRPr="005158D0">
        <w:t>isability Australia</w:t>
      </w:r>
      <w:r>
        <w:t>’</w:t>
      </w:r>
      <w:r w:rsidRPr="005158D0">
        <w:t xml:space="preserve">. </w:t>
      </w:r>
    </w:p>
    <w:p w14:paraId="053AA9CB" w14:textId="06897420" w:rsidR="001D06AA" w:rsidRPr="005158D0" w:rsidRDefault="001D06AA" w:rsidP="001C2933">
      <w:pPr>
        <w:pStyle w:val="FootnoteText"/>
        <w:ind w:firstLine="0"/>
      </w:pPr>
      <w:r w:rsidRPr="005158D0">
        <w:t xml:space="preserve">University of Melbourne Discovery Portal searches included: </w:t>
      </w:r>
      <w:r>
        <w:t>‘access to justice for people with d</w:t>
      </w:r>
      <w:r w:rsidRPr="005158D0">
        <w:t>isability</w:t>
      </w:r>
      <w:r>
        <w:t>’</w:t>
      </w:r>
      <w:r w:rsidRPr="005158D0">
        <w:t xml:space="preserve">, </w:t>
      </w:r>
      <w:r>
        <w:t>‘access to justice for people with d</w:t>
      </w:r>
      <w:r w:rsidRPr="005158D0">
        <w:t>isability</w:t>
      </w:r>
      <w:r>
        <w:t xml:space="preserve"> </w:t>
      </w:r>
      <w:r w:rsidRPr="005158D0">
        <w:t>Australia</w:t>
      </w:r>
      <w:r>
        <w:t>’</w:t>
      </w:r>
      <w:r w:rsidRPr="005158D0">
        <w:t xml:space="preserve">, </w:t>
      </w:r>
      <w:r>
        <w:t>‘access to justice for people with d</w:t>
      </w:r>
      <w:r w:rsidRPr="005158D0">
        <w:t>isability</w:t>
      </w:r>
      <w:r>
        <w:t xml:space="preserve"> </w:t>
      </w:r>
      <w:r w:rsidRPr="005158D0">
        <w:t>New Zealand</w:t>
      </w:r>
      <w:r>
        <w:t>’</w:t>
      </w:r>
      <w:r w:rsidRPr="005158D0">
        <w:t xml:space="preserve">, </w:t>
      </w:r>
      <w:r>
        <w:t>‘right to access to justice d</w:t>
      </w:r>
      <w:r w:rsidRPr="005158D0">
        <w:t>isability Australia</w:t>
      </w:r>
      <w:r>
        <w:t>’</w:t>
      </w:r>
      <w:r w:rsidRPr="005158D0">
        <w:t xml:space="preserve">, </w:t>
      </w:r>
      <w:r>
        <w:t>‘d</w:t>
      </w:r>
      <w:r w:rsidRPr="005158D0">
        <w:t>isability access to justice rural and regional Australia</w:t>
      </w:r>
      <w:r>
        <w:t>’</w:t>
      </w:r>
      <w:r w:rsidRPr="005158D0">
        <w:t xml:space="preserve">, </w:t>
      </w:r>
      <w:r>
        <w:t>‘d</w:t>
      </w:r>
      <w:r w:rsidRPr="005158D0">
        <w:t>isability access to justice rural and regional New Zealand</w:t>
      </w:r>
      <w:r>
        <w:t>’</w:t>
      </w:r>
      <w:r w:rsidRPr="005158D0">
        <w:t xml:space="preserve">. </w:t>
      </w:r>
    </w:p>
  </w:footnote>
  <w:footnote w:id="17">
    <w:p w14:paraId="36908845" w14:textId="3706E96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For a discussion of the right</w:t>
      </w:r>
      <w:r>
        <w:t>,</w:t>
      </w:r>
      <w:r w:rsidRPr="005158D0">
        <w:t xml:space="preserve"> see, </w:t>
      </w:r>
      <w:r>
        <w:t>eg</w:t>
      </w:r>
      <w:r w:rsidRPr="005158D0">
        <w:t xml:space="preserve">, </w:t>
      </w:r>
      <w:r>
        <w:t>Flynn,</w:t>
      </w:r>
      <w:r w:rsidRPr="005158D0">
        <w:t xml:space="preserve"> </w:t>
      </w:r>
      <w:r>
        <w:t>above n</w:t>
      </w:r>
      <w:r>
        <w:fldChar w:fldCharType="begin"/>
      </w:r>
      <w:r>
        <w:instrText xml:space="preserve"> NOTEREF _Ref514501841 \h </w:instrText>
      </w:r>
      <w:r>
        <w:fldChar w:fldCharType="separate"/>
      </w:r>
      <w:r w:rsidR="00DE614F">
        <w:t>15</w:t>
      </w:r>
      <w:r>
        <w:fldChar w:fldCharType="end"/>
      </w:r>
      <w:r w:rsidRPr="005158D0">
        <w:t>; Bernadette</w:t>
      </w:r>
      <w:r w:rsidRPr="00014372">
        <w:t xml:space="preserve"> </w:t>
      </w:r>
      <w:r>
        <w:t>McSherry,</w:t>
      </w:r>
      <w:r w:rsidRPr="005158D0">
        <w:t xml:space="preserve"> ‘Regulating seclusion and restraint in health care settings: The promise of the </w:t>
      </w:r>
      <w:r w:rsidRPr="00A32B34">
        <w:rPr>
          <w:i/>
        </w:rPr>
        <w:t>Convention on the Rights of Persons with Disabilities</w:t>
      </w:r>
      <w:r w:rsidRPr="005158D0">
        <w:t>’</w:t>
      </w:r>
      <w:r>
        <w:t xml:space="preserve"> (2017) </w:t>
      </w:r>
      <w:r w:rsidRPr="005158D0">
        <w:t>53</w:t>
      </w:r>
      <w:r w:rsidRPr="005158D0">
        <w:rPr>
          <w:i/>
          <w:iCs/>
        </w:rPr>
        <w:t xml:space="preserve"> International Journal of Law and Psychiatry </w:t>
      </w:r>
      <w:r w:rsidRPr="005158D0">
        <w:t>39; Gooding</w:t>
      </w:r>
      <w:r>
        <w:t xml:space="preserve"> et al</w:t>
      </w:r>
      <w:r w:rsidRPr="005158D0">
        <w:t xml:space="preserve">, </w:t>
      </w:r>
      <w:r>
        <w:t>above n</w:t>
      </w:r>
      <w:r>
        <w:fldChar w:fldCharType="begin"/>
      </w:r>
      <w:r>
        <w:instrText xml:space="preserve"> NOTEREF _Ref514435768 \h </w:instrText>
      </w:r>
      <w:r>
        <w:fldChar w:fldCharType="separate"/>
      </w:r>
      <w:r w:rsidR="00DE614F">
        <w:t>9</w:t>
      </w:r>
      <w:r>
        <w:fldChar w:fldCharType="end"/>
      </w:r>
      <w:r w:rsidRPr="005158D0">
        <w:t>; Arstein-Kerslake</w:t>
      </w:r>
      <w:r>
        <w:t xml:space="preserve"> </w:t>
      </w:r>
      <w:r w:rsidRPr="005158D0">
        <w:t xml:space="preserve">and Flynn, </w:t>
      </w:r>
      <w:r>
        <w:t>above n</w:t>
      </w:r>
      <w:r>
        <w:fldChar w:fldCharType="begin"/>
      </w:r>
      <w:r>
        <w:instrText xml:space="preserve"> NOTEREF _Ref514501841 \h </w:instrText>
      </w:r>
      <w:r>
        <w:fldChar w:fldCharType="separate"/>
      </w:r>
      <w:r w:rsidR="00DE614F">
        <w:t>15</w:t>
      </w:r>
      <w:r>
        <w:fldChar w:fldCharType="end"/>
      </w:r>
      <w:r w:rsidRPr="005158D0">
        <w:t>; Weller,</w:t>
      </w:r>
      <w:r>
        <w:t xml:space="preserve"> above n</w:t>
      </w:r>
      <w:r>
        <w:fldChar w:fldCharType="begin"/>
      </w:r>
      <w:r>
        <w:instrText xml:space="preserve"> NOTEREF _Ref514501841 \h </w:instrText>
      </w:r>
      <w:r>
        <w:fldChar w:fldCharType="separate"/>
      </w:r>
      <w:r w:rsidR="00DE614F">
        <w:t>15</w:t>
      </w:r>
      <w:r>
        <w:fldChar w:fldCharType="end"/>
      </w:r>
      <w:r>
        <w:t xml:space="preserve">; </w:t>
      </w:r>
      <w:r w:rsidRPr="005158D0">
        <w:t>Piers</w:t>
      </w:r>
      <w:r w:rsidRPr="009A62B7">
        <w:t xml:space="preserve"> </w:t>
      </w:r>
      <w:r w:rsidRPr="005158D0">
        <w:t xml:space="preserve">Gooding and Charles O’Mahoney, ‘Laws on unfitness to stand trial and the UN </w:t>
      </w:r>
      <w:r w:rsidRPr="00A32B34">
        <w:rPr>
          <w:i/>
        </w:rPr>
        <w:t>Convention on the Rights of Persons with Disabilities</w:t>
      </w:r>
      <w:r w:rsidRPr="005158D0">
        <w:t xml:space="preserve">: Comparing reform in England, Wales, Northern Ireland and Australia,’ (2016) 44 </w:t>
      </w:r>
      <w:r w:rsidRPr="005158D0">
        <w:rPr>
          <w:i/>
          <w:iCs/>
        </w:rPr>
        <w:t>International Journal of Law, Crime and Justice</w:t>
      </w:r>
      <w:r w:rsidRPr="005158D0">
        <w:t xml:space="preserve"> 122; Heather</w:t>
      </w:r>
      <w:r w:rsidRPr="009A62B7">
        <w:t xml:space="preserve"> </w:t>
      </w:r>
      <w:r w:rsidRPr="005158D0">
        <w:t xml:space="preserve">Douglas and Paul Harpur, ‘Intellectual disabilities, domestic violence and legal engagement’ (2016) 31(3) </w:t>
      </w:r>
      <w:r w:rsidRPr="005158D0">
        <w:rPr>
          <w:i/>
          <w:iCs/>
        </w:rPr>
        <w:t>Disability and Society</w:t>
      </w:r>
      <w:r w:rsidRPr="005158D0">
        <w:t xml:space="preserve"> 305.</w:t>
      </w:r>
    </w:p>
  </w:footnote>
  <w:footnote w:id="18">
    <w:p w14:paraId="61C88965" w14:textId="11DD68E3" w:rsidR="001D06AA" w:rsidRPr="005158D0" w:rsidRDefault="001D06AA" w:rsidP="00396190">
      <w:pPr>
        <w:pStyle w:val="FootnoteText"/>
      </w:pPr>
      <w:r w:rsidRPr="005158D0">
        <w:rPr>
          <w:rStyle w:val="FootnoteReference"/>
          <w:rFonts w:cs="Times New Roman"/>
        </w:rPr>
        <w:footnoteRef/>
      </w:r>
      <w:r w:rsidRPr="005158D0">
        <w:t xml:space="preserve"> </w:t>
      </w:r>
      <w:r>
        <w:tab/>
        <w:t>U</w:t>
      </w:r>
      <w:r w:rsidRPr="005158D0">
        <w:t xml:space="preserve">nited Nations Committee on the Rights of Persons with Disabilities, </w:t>
      </w:r>
      <w:r>
        <w:rPr>
          <w:i/>
        </w:rPr>
        <w:t>General Comment No</w:t>
      </w:r>
      <w:r w:rsidRPr="005158D0">
        <w:rPr>
          <w:i/>
        </w:rPr>
        <w:t xml:space="preserve"> 1</w:t>
      </w:r>
      <w:r w:rsidRPr="005158D0">
        <w:t xml:space="preserve">: </w:t>
      </w:r>
      <w:r w:rsidRPr="005158D0">
        <w:rPr>
          <w:i/>
        </w:rPr>
        <w:t>Article 12: Equal Recognition Before the Law</w:t>
      </w:r>
      <w:r w:rsidRPr="005158D0">
        <w:t>, 11</w:t>
      </w:r>
      <w:r w:rsidRPr="005158D0">
        <w:rPr>
          <w:vertAlign w:val="superscript"/>
        </w:rPr>
        <w:t>th</w:t>
      </w:r>
      <w:r w:rsidRPr="005158D0">
        <w:t xml:space="preserve"> sess</w:t>
      </w:r>
      <w:r w:rsidRPr="005158D0">
        <w:rPr>
          <w:i/>
        </w:rPr>
        <w:t>,</w:t>
      </w:r>
      <w:r w:rsidRPr="005158D0">
        <w:t xml:space="preserve"> UN Doc CRPD/C/GC/1 (19 May 2014).</w:t>
      </w:r>
    </w:p>
  </w:footnote>
  <w:footnote w:id="19">
    <w:p w14:paraId="654BC8B9" w14:textId="6476D5CA" w:rsidR="001D06AA" w:rsidRPr="005158D0" w:rsidRDefault="001D06AA" w:rsidP="00396190">
      <w:pPr>
        <w:pStyle w:val="FootnoteText"/>
      </w:pPr>
      <w:r w:rsidRPr="005158D0">
        <w:rPr>
          <w:rStyle w:val="FootnoteReference"/>
          <w:rFonts w:cs="Times New Roman"/>
        </w:rPr>
        <w:footnoteRef/>
      </w:r>
      <w:r w:rsidRPr="005158D0">
        <w:t xml:space="preserve"> </w:t>
      </w:r>
      <w:r>
        <w:tab/>
      </w:r>
      <w:r>
        <w:rPr>
          <w:i/>
        </w:rPr>
        <w:t>Convention on the Rights of Persons with Disabilities</w:t>
      </w:r>
      <w:r>
        <w:t>,</w:t>
      </w:r>
      <w:r w:rsidRPr="005158D0">
        <w:t xml:space="preserve"> </w:t>
      </w:r>
      <w:r>
        <w:t>above n</w:t>
      </w:r>
      <w:r>
        <w:fldChar w:fldCharType="begin"/>
      </w:r>
      <w:r>
        <w:instrText xml:space="preserve"> NOTEREF _Ref514668046 \h </w:instrText>
      </w:r>
      <w:r>
        <w:fldChar w:fldCharType="separate"/>
      </w:r>
      <w:r w:rsidR="00DE614F">
        <w:t>3</w:t>
      </w:r>
      <w:r>
        <w:fldChar w:fldCharType="end"/>
      </w:r>
      <w:r>
        <w:t xml:space="preserve">, </w:t>
      </w:r>
      <w:r w:rsidRPr="005158D0">
        <w:t xml:space="preserve">art 12(3). </w:t>
      </w:r>
    </w:p>
  </w:footnote>
  <w:footnote w:id="20">
    <w:p w14:paraId="276043AA" w14:textId="2BF399F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United Nations Committee on the Rights of Persons with Disabilities,</w:t>
      </w:r>
      <w:r w:rsidRPr="00B878EC">
        <w:t xml:space="preserve"> above n</w:t>
      </w:r>
      <w:r w:rsidRPr="00B878EC">
        <w:fldChar w:fldCharType="begin"/>
      </w:r>
      <w:r w:rsidRPr="00B878EC">
        <w:instrText xml:space="preserve"> NOTEREF _Ref514434385 \h </w:instrText>
      </w:r>
      <w:r>
        <w:instrText xml:space="preserve"> \* MERGEFORMAT </w:instrText>
      </w:r>
      <w:r w:rsidRPr="00B878EC">
        <w:fldChar w:fldCharType="separate"/>
      </w:r>
      <w:r w:rsidR="00DE614F">
        <w:t>18</w:t>
      </w:r>
      <w:r w:rsidRPr="00B878EC">
        <w:fldChar w:fldCharType="end"/>
      </w:r>
      <w:r w:rsidRPr="005158D0">
        <w:t>.</w:t>
      </w:r>
    </w:p>
  </w:footnote>
  <w:footnote w:id="21">
    <w:p w14:paraId="4980B41C" w14:textId="6A40DC8E" w:rsidR="001D06AA" w:rsidRDefault="001D06AA">
      <w:pPr>
        <w:pStyle w:val="FootnoteText"/>
      </w:pPr>
      <w:r>
        <w:rPr>
          <w:rStyle w:val="FootnoteReference"/>
        </w:rPr>
        <w:footnoteRef/>
      </w:r>
      <w:r>
        <w:t xml:space="preserve"> </w:t>
      </w:r>
      <w:r>
        <w:tab/>
      </w:r>
      <w:r w:rsidRPr="005158D0">
        <w:rPr>
          <w:lang w:val="en-US"/>
        </w:rPr>
        <w:t xml:space="preserve">See, </w:t>
      </w:r>
      <w:r>
        <w:rPr>
          <w:lang w:val="en-US"/>
        </w:rPr>
        <w:t>eg</w:t>
      </w:r>
      <w:r w:rsidRPr="005158D0">
        <w:rPr>
          <w:lang w:val="en-US"/>
        </w:rPr>
        <w:t xml:space="preserve">, </w:t>
      </w:r>
      <w:r w:rsidRPr="005158D0">
        <w:rPr>
          <w:lang w:eastAsia="en-US"/>
        </w:rPr>
        <w:t>Lucy</w:t>
      </w:r>
      <w:r w:rsidRPr="0091484D">
        <w:rPr>
          <w:lang w:eastAsia="en-US"/>
        </w:rPr>
        <w:t xml:space="preserve"> </w:t>
      </w:r>
      <w:r>
        <w:rPr>
          <w:lang w:eastAsia="en-US"/>
        </w:rPr>
        <w:t>Series,</w:t>
      </w:r>
      <w:r w:rsidRPr="005158D0">
        <w:rPr>
          <w:lang w:eastAsia="en-US"/>
        </w:rPr>
        <w:t xml:space="preserve"> ‘Relationships, autonomy and legal capacity: Mental capacity and support paradigms’ (2015) 40 </w:t>
      </w:r>
      <w:r w:rsidRPr="005158D0">
        <w:rPr>
          <w:i/>
          <w:iCs/>
          <w:lang w:eastAsia="en-US"/>
        </w:rPr>
        <w:t>International journal of law and psychiatry</w:t>
      </w:r>
      <w:r w:rsidRPr="005158D0">
        <w:rPr>
          <w:lang w:eastAsia="en-US"/>
        </w:rPr>
        <w:t> 80; Peter</w:t>
      </w:r>
      <w:r w:rsidRPr="0091484D">
        <w:rPr>
          <w:lang w:eastAsia="en-US"/>
        </w:rPr>
        <w:t xml:space="preserve"> </w:t>
      </w:r>
      <w:r>
        <w:rPr>
          <w:lang w:eastAsia="en-US"/>
        </w:rPr>
        <w:t>Bartlett,</w:t>
      </w:r>
      <w:r w:rsidRPr="005158D0">
        <w:rPr>
          <w:lang w:eastAsia="en-US"/>
        </w:rPr>
        <w:t xml:space="preserve"> ‘The United Nations </w:t>
      </w:r>
      <w:r w:rsidRPr="00B878EC">
        <w:rPr>
          <w:i/>
          <w:lang w:eastAsia="en-US"/>
        </w:rPr>
        <w:t>Convention on the Rights of Persons with Disabilities</w:t>
      </w:r>
      <w:r>
        <w:rPr>
          <w:lang w:eastAsia="en-US"/>
        </w:rPr>
        <w:t xml:space="preserve"> and mental health law’ (2012) </w:t>
      </w:r>
      <w:r w:rsidRPr="005158D0">
        <w:rPr>
          <w:lang w:eastAsia="en-US"/>
        </w:rPr>
        <w:t>75(5) </w:t>
      </w:r>
      <w:r w:rsidRPr="005158D0">
        <w:rPr>
          <w:i/>
          <w:iCs/>
          <w:lang w:eastAsia="en-US"/>
        </w:rPr>
        <w:t>The Modern Law Review</w:t>
      </w:r>
      <w:r w:rsidRPr="005158D0">
        <w:rPr>
          <w:lang w:eastAsia="en-US"/>
        </w:rPr>
        <w:t> 752; Geneva</w:t>
      </w:r>
      <w:r w:rsidRPr="001C5330">
        <w:rPr>
          <w:lang w:eastAsia="en-US"/>
        </w:rPr>
        <w:t xml:space="preserve"> </w:t>
      </w:r>
      <w:r>
        <w:rPr>
          <w:lang w:eastAsia="en-US"/>
        </w:rPr>
        <w:t>Richardson,</w:t>
      </w:r>
      <w:r w:rsidRPr="005158D0">
        <w:rPr>
          <w:lang w:eastAsia="en-US"/>
        </w:rPr>
        <w:t xml:space="preserve"> ‘Mental disabilities and the law: From substitute to supported decision-making?’ (2012) 65(1) </w:t>
      </w:r>
      <w:r w:rsidRPr="005158D0">
        <w:rPr>
          <w:i/>
          <w:iCs/>
          <w:lang w:eastAsia="en-US"/>
        </w:rPr>
        <w:t>Current Legal Problems</w:t>
      </w:r>
      <w:r w:rsidRPr="005158D0">
        <w:rPr>
          <w:lang w:eastAsia="en-US"/>
        </w:rPr>
        <w:t> 333; Jill</w:t>
      </w:r>
      <w:r w:rsidRPr="001C5330">
        <w:rPr>
          <w:lang w:eastAsia="en-US"/>
        </w:rPr>
        <w:t xml:space="preserve"> </w:t>
      </w:r>
      <w:r>
        <w:rPr>
          <w:lang w:eastAsia="en-US"/>
        </w:rPr>
        <w:t>Stavert,</w:t>
      </w:r>
      <w:r w:rsidRPr="005158D0">
        <w:rPr>
          <w:lang w:eastAsia="en-US"/>
        </w:rPr>
        <w:t xml:space="preserve"> ‘The exercise of legal capacity, supported decision-making and Scotland’s mental health and incapacity legislation: working with CRPD challenges’ (2015) 4(2) </w:t>
      </w:r>
      <w:r w:rsidRPr="005158D0">
        <w:rPr>
          <w:i/>
          <w:iCs/>
          <w:lang w:eastAsia="en-US"/>
        </w:rPr>
        <w:t>Laws</w:t>
      </w:r>
      <w:r w:rsidRPr="005158D0">
        <w:rPr>
          <w:lang w:eastAsia="en-US"/>
        </w:rPr>
        <w:t xml:space="preserve"> 296; Eilionóir</w:t>
      </w:r>
      <w:r w:rsidRPr="001C5330">
        <w:rPr>
          <w:lang w:eastAsia="en-US"/>
        </w:rPr>
        <w:t xml:space="preserve"> </w:t>
      </w:r>
      <w:r>
        <w:rPr>
          <w:lang w:eastAsia="en-US"/>
        </w:rPr>
        <w:t>Flynn,</w:t>
      </w:r>
      <w:r w:rsidRPr="005158D0">
        <w:rPr>
          <w:lang w:eastAsia="en-US"/>
        </w:rPr>
        <w:t xml:space="preserve"> ‘Mental (in) Capacity or Legal Capacity: A Human Rights Analysis of the Proposed Fusion of Mental Health and Mental Capacity Law in Northern Ireland’ (2013) 64 </w:t>
      </w:r>
      <w:r w:rsidRPr="005158D0">
        <w:rPr>
          <w:i/>
          <w:iCs/>
          <w:lang w:eastAsia="en-US"/>
        </w:rPr>
        <w:t>Northern Ireland Legal Quarterly</w:t>
      </w:r>
      <w:r w:rsidRPr="005158D0">
        <w:rPr>
          <w:lang w:eastAsia="en-US"/>
        </w:rPr>
        <w:t> 485; George</w:t>
      </w:r>
      <w:r w:rsidRPr="00A062E5">
        <w:rPr>
          <w:lang w:eastAsia="en-US"/>
        </w:rPr>
        <w:t xml:space="preserve"> </w:t>
      </w:r>
      <w:r>
        <w:rPr>
          <w:lang w:eastAsia="en-US"/>
        </w:rPr>
        <w:t>Szmukler,</w:t>
      </w:r>
      <w:r w:rsidRPr="005158D0" w:rsidDel="00311C29">
        <w:rPr>
          <w:lang w:eastAsia="en-US"/>
        </w:rPr>
        <w:t xml:space="preserve"> </w:t>
      </w:r>
      <w:r w:rsidRPr="005158D0">
        <w:rPr>
          <w:lang w:eastAsia="en-US"/>
        </w:rPr>
        <w:t xml:space="preserve">Rowena Daw and Felicity Callard, ‘Mental health law and the UN </w:t>
      </w:r>
      <w:r>
        <w:rPr>
          <w:i/>
          <w:lang w:eastAsia="en-US"/>
        </w:rPr>
        <w:t>Convention on the Rights of Persons with D</w:t>
      </w:r>
      <w:r w:rsidRPr="00B878EC">
        <w:rPr>
          <w:i/>
          <w:lang w:eastAsia="en-US"/>
        </w:rPr>
        <w:t>isabilities</w:t>
      </w:r>
      <w:r w:rsidRPr="005158D0">
        <w:rPr>
          <w:lang w:eastAsia="en-US"/>
        </w:rPr>
        <w:t>’ (2014) 37(3) </w:t>
      </w:r>
      <w:r w:rsidRPr="005158D0">
        <w:rPr>
          <w:i/>
          <w:iCs/>
          <w:lang w:eastAsia="en-US"/>
        </w:rPr>
        <w:t>International journal of law and psychiatry</w:t>
      </w:r>
      <w:r w:rsidRPr="005158D0">
        <w:rPr>
          <w:lang w:eastAsia="en-US"/>
        </w:rPr>
        <w:t> 24.</w:t>
      </w:r>
    </w:p>
  </w:footnote>
  <w:footnote w:id="22">
    <w:p w14:paraId="6FE63838" w14:textId="421B9EE9" w:rsidR="001D06AA" w:rsidRDefault="001D06AA">
      <w:pPr>
        <w:pStyle w:val="FootnoteText"/>
      </w:pPr>
      <w:r>
        <w:rPr>
          <w:rStyle w:val="FootnoteReference"/>
        </w:rPr>
        <w:footnoteRef/>
      </w:r>
      <w:r>
        <w:t xml:space="preserve"> </w:t>
      </w:r>
      <w:r>
        <w:tab/>
      </w:r>
      <w:r w:rsidRPr="005158D0">
        <w:t xml:space="preserve">See, </w:t>
      </w:r>
      <w:r>
        <w:t>eg</w:t>
      </w:r>
      <w:r w:rsidRPr="005158D0">
        <w:t xml:space="preserve">, </w:t>
      </w:r>
      <w:r w:rsidRPr="005158D0">
        <w:rPr>
          <w:lang w:eastAsia="en-US"/>
        </w:rPr>
        <w:t>Suzanne</w:t>
      </w:r>
      <w:r w:rsidRPr="000C0459">
        <w:rPr>
          <w:lang w:eastAsia="en-US"/>
        </w:rPr>
        <w:t xml:space="preserve"> </w:t>
      </w:r>
      <w:r w:rsidRPr="005158D0">
        <w:rPr>
          <w:lang w:eastAsia="en-US"/>
        </w:rPr>
        <w:t>Doyle and Eilionóir Flynn, ‘Ir</w:t>
      </w:r>
      <w:r>
        <w:rPr>
          <w:lang w:eastAsia="en-US"/>
        </w:rPr>
        <w:t xml:space="preserve">eland's ratification of the UN </w:t>
      </w:r>
      <w:r w:rsidRPr="00473481">
        <w:rPr>
          <w:i/>
          <w:lang w:eastAsia="en-US"/>
        </w:rPr>
        <w:t>Convention on the Rights of Persons with Disabilities</w:t>
      </w:r>
      <w:r w:rsidRPr="005158D0">
        <w:rPr>
          <w:lang w:eastAsia="en-US"/>
        </w:rPr>
        <w:t>: challenges and opportunities’ (2013) 41(3) </w:t>
      </w:r>
      <w:r w:rsidRPr="005158D0">
        <w:rPr>
          <w:i/>
          <w:iCs/>
          <w:lang w:eastAsia="en-US"/>
        </w:rPr>
        <w:t>British Journal of Learning Disabilities</w:t>
      </w:r>
      <w:r w:rsidRPr="005158D0">
        <w:rPr>
          <w:lang w:eastAsia="en-US"/>
        </w:rPr>
        <w:t xml:space="preserve"> 171; Anna</w:t>
      </w:r>
      <w:r w:rsidRPr="000C0459">
        <w:rPr>
          <w:lang w:eastAsia="en-US"/>
        </w:rPr>
        <w:t xml:space="preserve"> </w:t>
      </w:r>
      <w:r w:rsidRPr="005158D0">
        <w:rPr>
          <w:lang w:eastAsia="en-US"/>
        </w:rPr>
        <w:t>Arstein-Kerslake and Eilionóir Flynn, ‘Legislating consent: Creating an empowering definition of consent to sex that is inclusive of people with</w:t>
      </w:r>
      <w:r>
        <w:rPr>
          <w:lang w:eastAsia="en-US"/>
        </w:rPr>
        <w:t xml:space="preserve"> cognitive disabilities’ (2016) </w:t>
      </w:r>
      <w:r w:rsidRPr="005158D0">
        <w:rPr>
          <w:lang w:eastAsia="en-US"/>
        </w:rPr>
        <w:t>25(2) </w:t>
      </w:r>
      <w:r w:rsidRPr="005158D0">
        <w:rPr>
          <w:i/>
          <w:iCs/>
          <w:lang w:eastAsia="en-US"/>
        </w:rPr>
        <w:t>Social &amp; Legal Studies</w:t>
      </w:r>
      <w:r>
        <w:rPr>
          <w:lang w:eastAsia="en-US"/>
        </w:rPr>
        <w:t> 225</w:t>
      </w:r>
      <w:r w:rsidRPr="005158D0">
        <w:rPr>
          <w:lang w:eastAsia="en-US"/>
        </w:rPr>
        <w:t>; Kevin</w:t>
      </w:r>
      <w:r w:rsidRPr="000C0459">
        <w:rPr>
          <w:lang w:eastAsia="en-US"/>
        </w:rPr>
        <w:t xml:space="preserve"> </w:t>
      </w:r>
      <w:r>
        <w:rPr>
          <w:lang w:eastAsia="en-US"/>
        </w:rPr>
        <w:t>Healy,</w:t>
      </w:r>
      <w:r w:rsidRPr="005158D0">
        <w:rPr>
          <w:lang w:eastAsia="en-US"/>
        </w:rPr>
        <w:t xml:space="preserve"> ‘ The Assisted Decision-Making (Capacity) Bill 2013: A Step in the right direction but does it go far enough?’ (2014) 1 </w:t>
      </w:r>
      <w:r w:rsidRPr="005158D0">
        <w:rPr>
          <w:i/>
          <w:lang w:eastAsia="en-US"/>
        </w:rPr>
        <w:t>Irish Journal of Medical Science</w:t>
      </w:r>
      <w:r>
        <w:rPr>
          <w:lang w:eastAsia="en-US"/>
        </w:rPr>
        <w:t> </w:t>
      </w:r>
      <w:r w:rsidRPr="005158D0">
        <w:rPr>
          <w:lang w:eastAsia="en-US"/>
        </w:rPr>
        <w:t>2.</w:t>
      </w:r>
    </w:p>
  </w:footnote>
  <w:footnote w:id="23">
    <w:p w14:paraId="7F5BCA26" w14:textId="1DF76FCF" w:rsidR="001D06AA" w:rsidRPr="005158D0" w:rsidRDefault="001D06AA" w:rsidP="00396190">
      <w:pPr>
        <w:pStyle w:val="FootnoteText"/>
      </w:pPr>
      <w:r w:rsidRPr="00687482">
        <w:rPr>
          <w:rStyle w:val="FootnoteReference"/>
          <w:rFonts w:cs="Times New Roman"/>
        </w:rPr>
        <w:footnoteRef/>
      </w:r>
      <w:r w:rsidRPr="00687482">
        <w:t xml:space="preserve"> </w:t>
      </w:r>
      <w:r w:rsidRPr="00687482">
        <w:tab/>
        <w:t xml:space="preserve">See, eg, the </w:t>
      </w:r>
      <w:hyperlink r:id="rId3" w:history="1">
        <w:r w:rsidRPr="00687482">
          <w:rPr>
            <w:rStyle w:val="Hyperlink"/>
          </w:rPr>
          <w:t xml:space="preserve">European Union funded </w:t>
        </w:r>
        <w:r w:rsidRPr="00687482">
          <w:rPr>
            <w:rStyle w:val="Hyperlink"/>
            <w:i/>
          </w:rPr>
          <w:t>Person Project</w:t>
        </w:r>
      </w:hyperlink>
      <w:r w:rsidRPr="00687482">
        <w:t>:  &lt;</w:t>
      </w:r>
      <w:hyperlink r:id="rId4" w:history="1">
        <w:r w:rsidRPr="00687482">
          <w:rPr>
            <w:rStyle w:val="Hyperlink"/>
            <w:rFonts w:cs="Times New Roman"/>
            <w:color w:val="auto"/>
            <w:u w:val="none"/>
            <w:lang w:val="en-US"/>
          </w:rPr>
          <w:t>http://www.eu-person.com/</w:t>
        </w:r>
      </w:hyperlink>
      <w:r w:rsidRPr="00687482">
        <w:t xml:space="preserve">&gt;; the </w:t>
      </w:r>
      <w:hyperlink r:id="rId5" w:history="1">
        <w:r w:rsidRPr="00687482">
          <w:rPr>
            <w:rStyle w:val="Hyperlink"/>
          </w:rPr>
          <w:t>Bulgarian supported decision-making project</w:t>
        </w:r>
      </w:hyperlink>
      <w:r w:rsidRPr="00687482">
        <w:t>: &lt;</w:t>
      </w:r>
      <w:hyperlink r:id="rId6" w:history="1">
        <w:r w:rsidRPr="00687482">
          <w:rPr>
            <w:rStyle w:val="Hyperlink"/>
            <w:rFonts w:cs="Times New Roman"/>
            <w:color w:val="auto"/>
            <w:u w:val="none"/>
            <w:lang w:val="en-US"/>
          </w:rPr>
          <w:t>http://zelda.org.lv/en/news/supported-decision-making-bringing-change-to-lives-of-people-with-mental-disabilities-2427</w:t>
        </w:r>
      </w:hyperlink>
      <w:r w:rsidRPr="00687482">
        <w:t>&gt;.</w:t>
      </w:r>
    </w:p>
  </w:footnote>
  <w:footnote w:id="24">
    <w:p w14:paraId="7F6716ED" w14:textId="1E666F5D" w:rsidR="001D06AA" w:rsidRPr="005158D0" w:rsidRDefault="001D06AA" w:rsidP="00396190">
      <w:pPr>
        <w:pStyle w:val="FootnoteText"/>
        <w:rPr>
          <w:lang w:val="en-US"/>
        </w:rPr>
      </w:pPr>
      <w:r w:rsidRPr="0083141A">
        <w:rPr>
          <w:rStyle w:val="FootnoteReference"/>
          <w:rFonts w:cs="Times New Roman"/>
        </w:rPr>
        <w:footnoteRef/>
      </w:r>
      <w:r w:rsidRPr="0083141A">
        <w:t xml:space="preserve"> </w:t>
      </w:r>
      <w:r w:rsidRPr="0083141A">
        <w:tab/>
        <w:t xml:space="preserve">Office of the Public Advocate (South Australia), </w:t>
      </w:r>
      <w:hyperlink r:id="rId7" w:history="1">
        <w:r w:rsidRPr="0083141A">
          <w:rPr>
            <w:rStyle w:val="Hyperlink"/>
            <w:i/>
          </w:rPr>
          <w:t>Supported Decision Making</w:t>
        </w:r>
      </w:hyperlink>
      <w:r w:rsidRPr="0083141A">
        <w:rPr>
          <w:i/>
        </w:rPr>
        <w:t xml:space="preserve"> </w:t>
      </w:r>
      <w:r w:rsidRPr="0083141A">
        <w:t>&lt;</w:t>
      </w:r>
      <w:hyperlink r:id="rId8" w:history="1">
        <w:r w:rsidRPr="0083141A">
          <w:rPr>
            <w:rStyle w:val="Hyperlink"/>
            <w:rFonts w:cs="Times New Roman"/>
            <w:color w:val="auto"/>
            <w:u w:val="none"/>
          </w:rPr>
          <w:t>http://www.opa.sa.gov.au/resources/supported_decision_making</w:t>
        </w:r>
      </w:hyperlink>
      <w:r w:rsidRPr="0083141A">
        <w:rPr>
          <w:rStyle w:val="Hyperlink"/>
          <w:rFonts w:cs="Times New Roman"/>
          <w:color w:val="auto"/>
          <w:u w:val="none"/>
        </w:rPr>
        <w:t>&gt;</w:t>
      </w:r>
      <w:r w:rsidRPr="0083141A">
        <w:t>.</w:t>
      </w:r>
    </w:p>
  </w:footnote>
  <w:footnote w:id="25">
    <w:p w14:paraId="30E77D81" w14:textId="37D5EDB8" w:rsidR="001D06AA" w:rsidRPr="005158D0" w:rsidRDefault="001D06AA" w:rsidP="00396190">
      <w:pPr>
        <w:pStyle w:val="FootnoteText"/>
        <w:rPr>
          <w:lang w:val="en-US"/>
        </w:rPr>
      </w:pPr>
      <w:r w:rsidRPr="0083141A">
        <w:rPr>
          <w:rStyle w:val="FootnoteReference"/>
          <w:rFonts w:cs="Times New Roman"/>
        </w:rPr>
        <w:footnoteRef/>
      </w:r>
      <w:r w:rsidRPr="0083141A">
        <w:t xml:space="preserve"> </w:t>
      </w:r>
      <w:r w:rsidRPr="0083141A">
        <w:tab/>
        <w:t xml:space="preserve">Office of the Public Advocate (Victoria), </w:t>
      </w:r>
      <w:hyperlink r:id="rId9" w:history="1">
        <w:r w:rsidRPr="0083141A">
          <w:rPr>
            <w:rStyle w:val="Hyperlink"/>
            <w:i/>
          </w:rPr>
          <w:t>Supported Decision Making</w:t>
        </w:r>
      </w:hyperlink>
      <w:r w:rsidRPr="0083141A">
        <w:rPr>
          <w:i/>
        </w:rPr>
        <w:t xml:space="preserve"> </w:t>
      </w:r>
      <w:r w:rsidRPr="0083141A">
        <w:t>&lt;</w:t>
      </w:r>
      <w:hyperlink r:id="rId10" w:history="1">
        <w:r w:rsidRPr="0083141A">
          <w:rPr>
            <w:rStyle w:val="Hyperlink"/>
            <w:rFonts w:cs="Times New Roman"/>
            <w:color w:val="auto"/>
            <w:u w:val="none"/>
          </w:rPr>
          <w:t>http://www.publicadvocate.vic.gov.au/advocacy-research/supported-decision-making</w:t>
        </w:r>
      </w:hyperlink>
      <w:r w:rsidRPr="0083141A">
        <w:rPr>
          <w:rStyle w:val="Hyperlink"/>
          <w:rFonts w:cs="Times New Roman"/>
          <w:color w:val="auto"/>
          <w:u w:val="none"/>
        </w:rPr>
        <w:t>&gt;</w:t>
      </w:r>
      <w:r w:rsidRPr="0083141A">
        <w:t>.</w:t>
      </w:r>
    </w:p>
  </w:footnote>
  <w:footnote w:id="26">
    <w:p w14:paraId="3BC69DFF" w14:textId="728C259A" w:rsidR="001D06AA" w:rsidRPr="005158D0" w:rsidRDefault="001D06AA" w:rsidP="00396190">
      <w:pPr>
        <w:pStyle w:val="FootnoteText"/>
        <w:rPr>
          <w:lang w:val="en-US"/>
        </w:rPr>
      </w:pPr>
      <w:r w:rsidRPr="006F03BE">
        <w:rPr>
          <w:rStyle w:val="FootnoteReference"/>
          <w:rFonts w:cs="Times New Roman"/>
        </w:rPr>
        <w:footnoteRef/>
      </w:r>
      <w:r w:rsidRPr="006F03BE">
        <w:t xml:space="preserve"> </w:t>
      </w:r>
      <w:r w:rsidRPr="006F03BE">
        <w:tab/>
        <w:t xml:space="preserve">The ACT Disability, Aged and Carer Advocacy Service (ADACAS), </w:t>
      </w:r>
      <w:hyperlink r:id="rId11" w:history="1">
        <w:r w:rsidRPr="006F03BE">
          <w:rPr>
            <w:rStyle w:val="Hyperlink"/>
            <w:i/>
          </w:rPr>
          <w:t>Supported Decision Making</w:t>
        </w:r>
      </w:hyperlink>
      <w:r w:rsidRPr="006F03BE">
        <w:rPr>
          <w:i/>
        </w:rPr>
        <w:t xml:space="preserve"> </w:t>
      </w:r>
      <w:r w:rsidRPr="006F03BE">
        <w:t>&lt;</w:t>
      </w:r>
      <w:hyperlink r:id="rId12" w:history="1">
        <w:r w:rsidRPr="006F03BE">
          <w:rPr>
            <w:rStyle w:val="Hyperlink"/>
            <w:rFonts w:cs="Times New Roman"/>
            <w:color w:val="auto"/>
            <w:u w:val="none"/>
          </w:rPr>
          <w:t>http://www.adacas.org.au/supported-decision-making/supported-decision-making/</w:t>
        </w:r>
      </w:hyperlink>
      <w:r w:rsidRPr="006F03BE">
        <w:rPr>
          <w:rStyle w:val="Hyperlink"/>
          <w:rFonts w:cs="Times New Roman"/>
          <w:color w:val="auto"/>
          <w:u w:val="none"/>
        </w:rPr>
        <w:t>&gt;</w:t>
      </w:r>
      <w:r w:rsidRPr="006F03BE">
        <w:t>.</w:t>
      </w:r>
    </w:p>
  </w:footnote>
  <w:footnote w:id="27">
    <w:p w14:paraId="4DA81B33" w14:textId="5C8F1A81" w:rsidR="001D06AA" w:rsidRPr="005158D0" w:rsidRDefault="001D06AA" w:rsidP="00396190">
      <w:pPr>
        <w:pStyle w:val="FootnoteText"/>
        <w:rPr>
          <w:lang w:val="en-US"/>
        </w:rPr>
      </w:pPr>
      <w:r w:rsidRPr="006F03BE">
        <w:rPr>
          <w:rStyle w:val="FootnoteReference"/>
          <w:rFonts w:cs="Times New Roman"/>
        </w:rPr>
        <w:footnoteRef/>
      </w:r>
      <w:r w:rsidRPr="006F03BE">
        <w:t xml:space="preserve"> </w:t>
      </w:r>
      <w:r w:rsidRPr="006F03BE">
        <w:tab/>
        <w:t xml:space="preserve">Ageing, Disability and Home Care, NSW Government, </w:t>
      </w:r>
      <w:hyperlink r:id="rId13" w:history="1">
        <w:r w:rsidRPr="006F03BE">
          <w:rPr>
            <w:rStyle w:val="Hyperlink"/>
            <w:i/>
          </w:rPr>
          <w:t>Supported Decision Making</w:t>
        </w:r>
      </w:hyperlink>
      <w:r w:rsidRPr="006F03BE">
        <w:rPr>
          <w:i/>
        </w:rPr>
        <w:t xml:space="preserve"> </w:t>
      </w:r>
      <w:r w:rsidRPr="006F03BE">
        <w:t>&lt;</w:t>
      </w:r>
      <w:hyperlink r:id="rId14" w:history="1">
        <w:r w:rsidRPr="006F03BE">
          <w:rPr>
            <w:rStyle w:val="Hyperlink"/>
            <w:rFonts w:cs="Times New Roman"/>
            <w:color w:val="auto"/>
            <w:u w:val="none"/>
          </w:rPr>
          <w:t>https://www.adhc.nsw.gov.au/individuals/inclusion_and_participation/supported-decision-making</w:t>
        </w:r>
      </w:hyperlink>
      <w:r w:rsidRPr="006F03BE">
        <w:rPr>
          <w:rStyle w:val="Hyperlink"/>
          <w:rFonts w:cs="Times New Roman"/>
          <w:color w:val="auto"/>
          <w:u w:val="none"/>
        </w:rPr>
        <w:t>&gt;</w:t>
      </w:r>
      <w:r w:rsidRPr="006F03BE">
        <w:t>.</w:t>
      </w:r>
    </w:p>
  </w:footnote>
  <w:footnote w:id="28">
    <w:p w14:paraId="45284C05" w14:textId="5C76E46B"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South Australia and New South Wales have completed independent evaluations of their projects. They are available in the links </w:t>
      </w:r>
      <w:r>
        <w:t xml:space="preserve">in notes </w:t>
      </w:r>
      <w:r>
        <w:fldChar w:fldCharType="begin"/>
      </w:r>
      <w:r>
        <w:instrText xml:space="preserve"> NOTEREF _Ref514434902 \h </w:instrText>
      </w:r>
      <w:r>
        <w:fldChar w:fldCharType="separate"/>
      </w:r>
      <w:r w:rsidR="00DE614F">
        <w:t>24</w:t>
      </w:r>
      <w:r>
        <w:fldChar w:fldCharType="end"/>
      </w:r>
      <w:r>
        <w:t xml:space="preserve"> and </w:t>
      </w:r>
      <w:r>
        <w:fldChar w:fldCharType="begin"/>
      </w:r>
      <w:r>
        <w:instrText xml:space="preserve"> NOTEREF _Ref514434905 \h </w:instrText>
      </w:r>
      <w:r>
        <w:fldChar w:fldCharType="separate"/>
      </w:r>
      <w:r w:rsidR="00DE614F">
        <w:t>27</w:t>
      </w:r>
      <w:r>
        <w:fldChar w:fldCharType="end"/>
      </w:r>
      <w:r>
        <w:t xml:space="preserve"> above</w:t>
      </w:r>
      <w:r w:rsidRPr="005158D0">
        <w:t xml:space="preserve">. </w:t>
      </w:r>
    </w:p>
  </w:footnote>
  <w:footnote w:id="29">
    <w:p w14:paraId="1E181917" w14:textId="4FD451DC" w:rsidR="001D06AA" w:rsidRDefault="001D06AA">
      <w:pPr>
        <w:pStyle w:val="FootnoteText"/>
      </w:pPr>
      <w:r>
        <w:rPr>
          <w:rStyle w:val="FootnoteReference"/>
        </w:rPr>
        <w:footnoteRef/>
      </w:r>
      <w:r>
        <w:t xml:space="preserve"> </w:t>
      </w:r>
      <w:r>
        <w:tab/>
      </w:r>
      <w:r w:rsidRPr="005158D0">
        <w:rPr>
          <w:lang w:val="en-US"/>
        </w:rPr>
        <w:t xml:space="preserve">See, </w:t>
      </w:r>
      <w:r>
        <w:rPr>
          <w:lang w:val="en-US"/>
        </w:rPr>
        <w:t>eg</w:t>
      </w:r>
      <w:r w:rsidRPr="005158D0">
        <w:rPr>
          <w:lang w:val="en-US"/>
        </w:rPr>
        <w:t xml:space="preserve">, </w:t>
      </w:r>
      <w:r w:rsidRPr="005158D0">
        <w:rPr>
          <w:lang w:eastAsia="en-US"/>
        </w:rPr>
        <w:t>Michelle</w:t>
      </w:r>
      <w:r>
        <w:rPr>
          <w:lang w:eastAsia="en-US"/>
        </w:rPr>
        <w:t xml:space="preserve"> Browning, Christine Bigby</w:t>
      </w:r>
      <w:r w:rsidRPr="005158D0">
        <w:rPr>
          <w:lang w:eastAsia="en-US"/>
        </w:rPr>
        <w:t xml:space="preserve"> and Jacinta Douglas, ‘Supported decision making: Understanding how its conceptual link to legal capacity is influencing the development of practice’ (2014) 1(1) </w:t>
      </w:r>
      <w:r w:rsidRPr="005158D0">
        <w:rPr>
          <w:i/>
          <w:iCs/>
          <w:lang w:eastAsia="en-US"/>
        </w:rPr>
        <w:t>Research and Practice in Intellectual and Developmental Disabilities</w:t>
      </w:r>
      <w:r w:rsidRPr="005158D0">
        <w:rPr>
          <w:lang w:eastAsia="en-US"/>
        </w:rPr>
        <w:t> 34; Yvette</w:t>
      </w:r>
      <w:r w:rsidRPr="006F03BE">
        <w:rPr>
          <w:lang w:eastAsia="en-US"/>
        </w:rPr>
        <w:t xml:space="preserve"> </w:t>
      </w:r>
      <w:r w:rsidRPr="005158D0">
        <w:rPr>
          <w:lang w:eastAsia="en-US"/>
        </w:rPr>
        <w:t>Maker</w:t>
      </w:r>
      <w:r>
        <w:rPr>
          <w:lang w:eastAsia="en-US"/>
        </w:rPr>
        <w:t>, Bernadette McSherry, Lisa Brophy, Jeannie Paterson and Anna Arstein-Kerslake</w:t>
      </w:r>
      <w:r w:rsidRPr="005158D0">
        <w:rPr>
          <w:lang w:eastAsia="en-US"/>
        </w:rPr>
        <w:t xml:space="preserve">, ‘Supporting people with decision-making impairments: Choice, control and consumer transactions’ (2017) 24(4) </w:t>
      </w:r>
      <w:r w:rsidRPr="005158D0">
        <w:rPr>
          <w:i/>
          <w:lang w:eastAsia="en-US"/>
        </w:rPr>
        <w:t xml:space="preserve">Journal of Law and Medicine </w:t>
      </w:r>
      <w:r w:rsidRPr="005158D0">
        <w:rPr>
          <w:lang w:eastAsia="en-US"/>
        </w:rPr>
        <w:t>756.</w:t>
      </w:r>
    </w:p>
  </w:footnote>
  <w:footnote w:id="30">
    <w:p w14:paraId="4226AE44" w14:textId="0E5D5CA3" w:rsidR="001D06AA" w:rsidRDefault="001D06AA">
      <w:pPr>
        <w:pStyle w:val="FootnoteText"/>
      </w:pPr>
      <w:r>
        <w:rPr>
          <w:rStyle w:val="FootnoteReference"/>
        </w:rPr>
        <w:footnoteRef/>
      </w:r>
      <w:r>
        <w:t xml:space="preserve"> </w:t>
      </w:r>
      <w:r>
        <w:tab/>
      </w:r>
      <w:r w:rsidRPr="005158D0">
        <w:rPr>
          <w:lang w:eastAsia="en-US"/>
        </w:rPr>
        <w:t>Joanne</w:t>
      </w:r>
      <w:r w:rsidRPr="006F03BE">
        <w:rPr>
          <w:lang w:eastAsia="en-US"/>
        </w:rPr>
        <w:t xml:space="preserve"> </w:t>
      </w:r>
      <w:r>
        <w:rPr>
          <w:lang w:eastAsia="en-US"/>
        </w:rPr>
        <w:t>Watson,</w:t>
      </w:r>
      <w:r w:rsidRPr="005158D0">
        <w:rPr>
          <w:lang w:eastAsia="en-US"/>
        </w:rPr>
        <w:t xml:space="preserve"> </w:t>
      </w:r>
      <w:r>
        <w:rPr>
          <w:lang w:eastAsia="en-US"/>
        </w:rPr>
        <w:t>‘Assumptions of decision-making capacity: the role supporter attitudes play in the realisation of Article 12 for people with severe or profound intellectual d</w:t>
      </w:r>
      <w:r w:rsidRPr="005158D0">
        <w:rPr>
          <w:lang w:eastAsia="en-US"/>
        </w:rPr>
        <w:t>isability’ (2016) 5(1) </w:t>
      </w:r>
      <w:r w:rsidRPr="005158D0">
        <w:rPr>
          <w:i/>
          <w:iCs/>
          <w:lang w:eastAsia="en-US"/>
        </w:rPr>
        <w:t>Laws</w:t>
      </w:r>
      <w:r w:rsidRPr="005158D0">
        <w:rPr>
          <w:lang w:eastAsia="en-US"/>
        </w:rPr>
        <w:t> 6; Joanne</w:t>
      </w:r>
      <w:r w:rsidRPr="006F03BE">
        <w:rPr>
          <w:lang w:eastAsia="en-US"/>
        </w:rPr>
        <w:t xml:space="preserve"> </w:t>
      </w:r>
      <w:r>
        <w:rPr>
          <w:lang w:eastAsia="en-US"/>
        </w:rPr>
        <w:t>Watson,</w:t>
      </w:r>
      <w:r w:rsidRPr="005158D0">
        <w:rPr>
          <w:lang w:eastAsia="en-US"/>
        </w:rPr>
        <w:t> </w:t>
      </w:r>
      <w:r w:rsidRPr="005158D0">
        <w:rPr>
          <w:i/>
          <w:iCs/>
          <w:lang w:eastAsia="en-US"/>
        </w:rPr>
        <w:t>The right to supported decision-making for people rarely heard</w:t>
      </w:r>
      <w:r w:rsidRPr="005158D0">
        <w:rPr>
          <w:lang w:eastAsia="en-US"/>
        </w:rPr>
        <w:t xml:space="preserve"> (</w:t>
      </w:r>
      <w:r>
        <w:rPr>
          <w:lang w:eastAsia="en-US"/>
        </w:rPr>
        <w:t>PhD</w:t>
      </w:r>
      <w:r w:rsidRPr="005158D0">
        <w:rPr>
          <w:lang w:eastAsia="en-US"/>
        </w:rPr>
        <w:t xml:space="preserve"> thesis, Deakin University, 2016).</w:t>
      </w:r>
    </w:p>
  </w:footnote>
  <w:footnote w:id="31">
    <w:p w14:paraId="018E7295" w14:textId="1B4848AB" w:rsidR="001D06AA" w:rsidRDefault="001D06AA">
      <w:pPr>
        <w:pStyle w:val="FootnoteText"/>
      </w:pPr>
      <w:r>
        <w:rPr>
          <w:rStyle w:val="FootnoteReference"/>
        </w:rPr>
        <w:footnoteRef/>
      </w:r>
      <w:r>
        <w:t xml:space="preserve"> </w:t>
      </w:r>
      <w:r>
        <w:tab/>
      </w:r>
      <w:r w:rsidRPr="005158D0">
        <w:t xml:space="preserve">See, </w:t>
      </w:r>
      <w:r>
        <w:t>eg</w:t>
      </w:r>
      <w:r w:rsidRPr="005158D0">
        <w:t xml:space="preserve">, </w:t>
      </w:r>
      <w:r w:rsidRPr="005158D0">
        <w:rPr>
          <w:lang w:eastAsia="en-US"/>
        </w:rPr>
        <w:t>Penny</w:t>
      </w:r>
      <w:r w:rsidRPr="006F03BE">
        <w:rPr>
          <w:lang w:eastAsia="en-US"/>
        </w:rPr>
        <w:t xml:space="preserve"> </w:t>
      </w:r>
      <w:r>
        <w:rPr>
          <w:lang w:eastAsia="en-US"/>
        </w:rPr>
        <w:t>Weller,</w:t>
      </w:r>
      <w:r w:rsidRPr="005158D0">
        <w:rPr>
          <w:lang w:eastAsia="en-US"/>
        </w:rPr>
        <w:t xml:space="preserve"> </w:t>
      </w:r>
      <w:r>
        <w:rPr>
          <w:lang w:eastAsia="en-US"/>
        </w:rPr>
        <w:t>‘Supported Decision-making and the Achievement of Non-discrimination: The Promise and Paradox of the Disabilities C</w:t>
      </w:r>
      <w:r w:rsidRPr="005158D0">
        <w:rPr>
          <w:lang w:eastAsia="en-US"/>
        </w:rPr>
        <w:t>onvention’ (2008) 26 </w:t>
      </w:r>
      <w:r w:rsidRPr="005158D0">
        <w:rPr>
          <w:i/>
          <w:iCs/>
          <w:lang w:eastAsia="en-US"/>
        </w:rPr>
        <w:t>Law Context: A Socio-Legal Journal</w:t>
      </w:r>
      <w:r w:rsidRPr="005158D0">
        <w:rPr>
          <w:lang w:eastAsia="en-US"/>
        </w:rPr>
        <w:t> 85; Penny</w:t>
      </w:r>
      <w:r w:rsidRPr="006F03BE">
        <w:rPr>
          <w:lang w:eastAsia="en-US"/>
        </w:rPr>
        <w:t xml:space="preserve"> </w:t>
      </w:r>
      <w:r>
        <w:rPr>
          <w:lang w:eastAsia="en-US"/>
        </w:rPr>
        <w:t>Weller,</w:t>
      </w:r>
      <w:r w:rsidRPr="005158D0">
        <w:rPr>
          <w:lang w:eastAsia="en-US"/>
        </w:rPr>
        <w:t xml:space="preserve"> ‘Psychiatric advance dire</w:t>
      </w:r>
      <w:r>
        <w:rPr>
          <w:lang w:eastAsia="en-US"/>
        </w:rPr>
        <w:t>ctives and human rights’ (2010) </w:t>
      </w:r>
      <w:r w:rsidRPr="005158D0">
        <w:rPr>
          <w:lang w:eastAsia="en-US"/>
        </w:rPr>
        <w:t>17(2) </w:t>
      </w:r>
      <w:r w:rsidRPr="005158D0">
        <w:rPr>
          <w:i/>
          <w:iCs/>
          <w:lang w:eastAsia="en-US"/>
        </w:rPr>
        <w:t>Psychiatry, Psychology and Law</w:t>
      </w:r>
      <w:r w:rsidRPr="005158D0">
        <w:rPr>
          <w:lang w:eastAsia="en-US"/>
        </w:rPr>
        <w:t> 218; Bernadette</w:t>
      </w:r>
      <w:r w:rsidRPr="006F03BE">
        <w:rPr>
          <w:lang w:eastAsia="en-US"/>
        </w:rPr>
        <w:t xml:space="preserve"> </w:t>
      </w:r>
      <w:r w:rsidRPr="005158D0">
        <w:rPr>
          <w:lang w:eastAsia="en-US"/>
        </w:rPr>
        <w:t xml:space="preserve">McSherry and Kay Wilson, ‘The concept of capacity in Australian mental health law reform: Going in the wrong direction?’ (2015) </w:t>
      </w:r>
      <w:r w:rsidRPr="005158D0">
        <w:rPr>
          <w:i/>
          <w:iCs/>
          <w:lang w:eastAsia="en-US"/>
        </w:rPr>
        <w:t>International journal of law and psychiatry</w:t>
      </w:r>
      <w:r w:rsidRPr="005158D0">
        <w:rPr>
          <w:lang w:eastAsia="en-US"/>
        </w:rPr>
        <w:t> 60; Annegret</w:t>
      </w:r>
      <w:r w:rsidRPr="00BF776F">
        <w:rPr>
          <w:lang w:eastAsia="en-US"/>
        </w:rPr>
        <w:t xml:space="preserve"> </w:t>
      </w:r>
      <w:r>
        <w:rPr>
          <w:lang w:eastAsia="en-US"/>
        </w:rPr>
        <w:t>Kampf,</w:t>
      </w:r>
      <w:r w:rsidRPr="005158D0">
        <w:rPr>
          <w:lang w:eastAsia="en-US"/>
        </w:rPr>
        <w:t xml:space="preserve"> ‘The Disabilities Convention and its consequences for mental health laws in Australia’ (2008) 26 </w:t>
      </w:r>
      <w:r w:rsidRPr="005158D0">
        <w:rPr>
          <w:i/>
          <w:iCs/>
          <w:lang w:eastAsia="en-US"/>
        </w:rPr>
        <w:t>Law Context: A Socio-Legal J</w:t>
      </w:r>
      <w:r w:rsidRPr="005158D0">
        <w:rPr>
          <w:i/>
          <w:lang w:eastAsia="en-US"/>
        </w:rPr>
        <w:t xml:space="preserve">ournal </w:t>
      </w:r>
      <w:r w:rsidRPr="005158D0">
        <w:rPr>
          <w:lang w:eastAsia="en-US"/>
        </w:rPr>
        <w:t>10; Piers</w:t>
      </w:r>
      <w:r w:rsidRPr="004D4F2D">
        <w:rPr>
          <w:lang w:eastAsia="en-US"/>
        </w:rPr>
        <w:t xml:space="preserve"> </w:t>
      </w:r>
      <w:r>
        <w:rPr>
          <w:lang w:eastAsia="en-US"/>
        </w:rPr>
        <w:t>Gooding,</w:t>
      </w:r>
      <w:r w:rsidRPr="005158D0">
        <w:rPr>
          <w:lang w:eastAsia="en-US"/>
        </w:rPr>
        <w:t xml:space="preserve"> ‘Psychiatrists’ perceptions of supported decision-making: a Vi</w:t>
      </w:r>
      <w:r>
        <w:rPr>
          <w:lang w:eastAsia="en-US"/>
        </w:rPr>
        <w:t>ctorian empirical study’ (2015) </w:t>
      </w:r>
      <w:r w:rsidRPr="005158D0">
        <w:rPr>
          <w:lang w:eastAsia="en-US"/>
        </w:rPr>
        <w:t>22(5) </w:t>
      </w:r>
      <w:r w:rsidRPr="005158D0">
        <w:rPr>
          <w:i/>
          <w:iCs/>
          <w:lang w:eastAsia="en-US"/>
        </w:rPr>
        <w:t>Psychiatry, Psychology and Law</w:t>
      </w:r>
      <w:r w:rsidRPr="005158D0">
        <w:rPr>
          <w:lang w:eastAsia="en-US"/>
        </w:rPr>
        <w:t> 701.</w:t>
      </w:r>
    </w:p>
  </w:footnote>
  <w:footnote w:id="32">
    <w:p w14:paraId="390DBD5B" w14:textId="54D2D7DD" w:rsidR="001D06AA" w:rsidRDefault="001D06AA">
      <w:pPr>
        <w:pStyle w:val="FootnoteText"/>
      </w:pPr>
      <w:r>
        <w:rPr>
          <w:rStyle w:val="FootnoteReference"/>
        </w:rPr>
        <w:footnoteRef/>
      </w:r>
      <w:r>
        <w:t xml:space="preserve"> </w:t>
      </w:r>
      <w:r>
        <w:tab/>
      </w:r>
      <w:r w:rsidRPr="0017591F">
        <w:rPr>
          <w:lang w:eastAsia="en-US"/>
        </w:rPr>
        <w:t>Anna</w:t>
      </w:r>
      <w:r w:rsidRPr="00276603">
        <w:rPr>
          <w:lang w:eastAsia="en-US"/>
        </w:rPr>
        <w:t xml:space="preserve"> </w:t>
      </w:r>
      <w:r w:rsidRPr="005158D0">
        <w:rPr>
          <w:lang w:eastAsia="en-US"/>
        </w:rPr>
        <w:t>Arstein-Kerslake</w:t>
      </w:r>
      <w:r>
        <w:rPr>
          <w:i/>
          <w:lang w:eastAsia="en-US"/>
        </w:rPr>
        <w:t>,</w:t>
      </w:r>
      <w:r w:rsidRPr="005158D0">
        <w:rPr>
          <w:lang w:eastAsia="en-US"/>
        </w:rPr>
        <w:t xml:space="preserve"> </w:t>
      </w:r>
      <w:r>
        <w:rPr>
          <w:lang w:eastAsia="en-US"/>
        </w:rPr>
        <w:t xml:space="preserve">Piers Gooding, Louis Andrews and Bernadette McSherry, </w:t>
      </w:r>
      <w:r w:rsidRPr="005158D0">
        <w:rPr>
          <w:lang w:eastAsia="en-US"/>
        </w:rPr>
        <w:t xml:space="preserve">‘Human Rights and Unfitness to Plead: The Demands of the </w:t>
      </w:r>
      <w:r w:rsidRPr="007F14FE">
        <w:rPr>
          <w:i/>
          <w:lang w:eastAsia="en-US"/>
        </w:rPr>
        <w:t>Convention on the Rights of Persons with Disabilities</w:t>
      </w:r>
      <w:r>
        <w:rPr>
          <w:lang w:eastAsia="en-US"/>
        </w:rPr>
        <w:t>’ (2017) </w:t>
      </w:r>
      <w:r w:rsidRPr="005158D0">
        <w:rPr>
          <w:lang w:eastAsia="en-US"/>
        </w:rPr>
        <w:t>17(3) </w:t>
      </w:r>
      <w:r w:rsidRPr="005158D0">
        <w:rPr>
          <w:i/>
          <w:iCs/>
          <w:lang w:eastAsia="en-US"/>
        </w:rPr>
        <w:t>Human Rights Law Review</w:t>
      </w:r>
      <w:r w:rsidRPr="005158D0">
        <w:rPr>
          <w:lang w:eastAsia="en-US"/>
        </w:rPr>
        <w:t> 399; Gooding</w:t>
      </w:r>
      <w:r>
        <w:rPr>
          <w:lang w:eastAsia="en-US"/>
        </w:rPr>
        <w:t>,</w:t>
      </w:r>
      <w:r w:rsidRPr="005158D0">
        <w:rPr>
          <w:lang w:eastAsia="en-US"/>
        </w:rPr>
        <w:t xml:space="preserve"> and O'Mahony,</w:t>
      </w:r>
      <w:r>
        <w:rPr>
          <w:lang w:eastAsia="en-US"/>
        </w:rPr>
        <w:t xml:space="preserve"> above n</w:t>
      </w:r>
      <w:r>
        <w:rPr>
          <w:lang w:eastAsia="en-US"/>
        </w:rPr>
        <w:fldChar w:fldCharType="begin"/>
      </w:r>
      <w:r>
        <w:rPr>
          <w:lang w:eastAsia="en-US"/>
        </w:rPr>
        <w:instrText xml:space="preserve"> NOTEREF _Ref514435697 \h </w:instrText>
      </w:r>
      <w:r>
        <w:rPr>
          <w:lang w:eastAsia="en-US"/>
        </w:rPr>
      </w:r>
      <w:r>
        <w:rPr>
          <w:lang w:eastAsia="en-US"/>
        </w:rPr>
        <w:fldChar w:fldCharType="separate"/>
      </w:r>
      <w:r w:rsidR="00DE614F">
        <w:rPr>
          <w:lang w:eastAsia="en-US"/>
        </w:rPr>
        <w:t>17</w:t>
      </w:r>
      <w:r>
        <w:rPr>
          <w:lang w:eastAsia="en-US"/>
        </w:rPr>
        <w:fldChar w:fldCharType="end"/>
      </w:r>
      <w:r w:rsidRPr="005158D0">
        <w:rPr>
          <w:lang w:eastAsia="en-US"/>
        </w:rPr>
        <w:t xml:space="preserve">; Gooding et al, </w:t>
      </w:r>
      <w:r>
        <w:rPr>
          <w:lang w:eastAsia="en-US"/>
        </w:rPr>
        <w:t>above n</w:t>
      </w:r>
      <w:r>
        <w:rPr>
          <w:lang w:eastAsia="en-US"/>
        </w:rPr>
        <w:fldChar w:fldCharType="begin"/>
      </w:r>
      <w:r>
        <w:rPr>
          <w:lang w:eastAsia="en-US"/>
        </w:rPr>
        <w:instrText xml:space="preserve"> NOTEREF _Ref514435768 \h </w:instrText>
      </w:r>
      <w:r>
        <w:rPr>
          <w:lang w:eastAsia="en-US"/>
        </w:rPr>
      </w:r>
      <w:r>
        <w:rPr>
          <w:lang w:eastAsia="en-US"/>
        </w:rPr>
        <w:fldChar w:fldCharType="separate"/>
      </w:r>
      <w:r w:rsidR="00DE614F">
        <w:rPr>
          <w:lang w:eastAsia="en-US"/>
        </w:rPr>
        <w:t>9</w:t>
      </w:r>
      <w:r>
        <w:rPr>
          <w:lang w:eastAsia="en-US"/>
        </w:rPr>
        <w:fldChar w:fldCharType="end"/>
      </w:r>
      <w:r>
        <w:rPr>
          <w:lang w:eastAsia="en-US"/>
        </w:rPr>
        <w:t>.</w:t>
      </w:r>
    </w:p>
  </w:footnote>
  <w:footnote w:id="33">
    <w:p w14:paraId="1DFF73A6" w14:textId="40957684" w:rsidR="001D06AA" w:rsidRPr="005158D0" w:rsidRDefault="001D06AA" w:rsidP="00396190">
      <w:pPr>
        <w:pStyle w:val="FootnoteText"/>
      </w:pPr>
      <w:r w:rsidRPr="00276603">
        <w:rPr>
          <w:rStyle w:val="FootnoteReference"/>
          <w:rFonts w:cs="Times New Roman"/>
        </w:rPr>
        <w:footnoteRef/>
      </w:r>
      <w:r w:rsidRPr="00276603">
        <w:t xml:space="preserve"> </w:t>
      </w:r>
      <w:r w:rsidRPr="00276603">
        <w:tab/>
        <w:t xml:space="preserve">Victorian Law Reform Commission, </w:t>
      </w:r>
      <w:r w:rsidRPr="00276603">
        <w:rPr>
          <w:i/>
        </w:rPr>
        <w:t>Review of the Crimes (Mental Impairment and Unfitness to be Tried) Act 1997, Report</w:t>
      </w:r>
      <w:r w:rsidRPr="00276603">
        <w:t xml:space="preserve"> (Victorian Law Reform Commission, 2014) recommendation 16 [3.71]–[3.84].</w:t>
      </w:r>
    </w:p>
  </w:footnote>
  <w:footnote w:id="34">
    <w:p w14:paraId="39A8D4BF" w14:textId="5908A42E" w:rsidR="001D06AA" w:rsidRDefault="001D06AA">
      <w:pPr>
        <w:pStyle w:val="FootnoteText"/>
      </w:pPr>
      <w:r>
        <w:rPr>
          <w:rStyle w:val="FootnoteReference"/>
        </w:rPr>
        <w:footnoteRef/>
      </w:r>
      <w:r>
        <w:t xml:space="preserve"> </w:t>
      </w:r>
      <w:r>
        <w:tab/>
      </w:r>
      <w:r w:rsidRPr="005158D0">
        <w:t xml:space="preserve">See, </w:t>
      </w:r>
      <w:r>
        <w:t>eg</w:t>
      </w:r>
      <w:r w:rsidRPr="005158D0">
        <w:t>, Warren</w:t>
      </w:r>
      <w:r w:rsidRPr="00D76B70">
        <w:t xml:space="preserve"> </w:t>
      </w:r>
      <w:r>
        <w:t>Brookbanks,</w:t>
      </w:r>
      <w:r w:rsidRPr="005158D0">
        <w:t xml:space="preserve"> </w:t>
      </w:r>
      <w:r w:rsidRPr="005158D0">
        <w:rPr>
          <w:i/>
        </w:rPr>
        <w:t>Competencies of Trial: Fitness to Plead in New Zealand</w:t>
      </w:r>
      <w:r>
        <w:t xml:space="preserve"> (LexisNexis,</w:t>
      </w:r>
      <w:r w:rsidRPr="005158D0">
        <w:t xml:space="preserve"> 2011); Warren</w:t>
      </w:r>
      <w:r w:rsidRPr="00D76B70">
        <w:t xml:space="preserve"> </w:t>
      </w:r>
      <w:r>
        <w:t>Brookbanks,</w:t>
      </w:r>
      <w:r w:rsidRPr="005158D0">
        <w:t xml:space="preserve"> ‘Reconsider</w:t>
      </w:r>
      <w:r>
        <w:t>ing fitness to plead’ [2014]</w:t>
      </w:r>
      <w:r w:rsidRPr="005158D0">
        <w:t xml:space="preserve"> </w:t>
      </w:r>
      <w:r w:rsidRPr="009E6ECC">
        <w:rPr>
          <w:i/>
        </w:rPr>
        <w:t>New Zealand Law Journal</w:t>
      </w:r>
      <w:r w:rsidRPr="005158D0">
        <w:t xml:space="preserve"> 8; Warren</w:t>
      </w:r>
      <w:r w:rsidRPr="00D76B70">
        <w:t xml:space="preserve"> </w:t>
      </w:r>
      <w:r>
        <w:t>Brookbanks,</w:t>
      </w:r>
      <w:r w:rsidRPr="005158D0">
        <w:t xml:space="preserve"> ‘Unfitness to stand</w:t>
      </w:r>
      <w:r>
        <w:t xml:space="preserve"> trial raised post-conviction’ [2014]</w:t>
      </w:r>
      <w:r w:rsidRPr="005158D0">
        <w:t xml:space="preserve"> </w:t>
      </w:r>
      <w:r w:rsidRPr="005158D0">
        <w:rPr>
          <w:i/>
        </w:rPr>
        <w:t>New Zealand Law Journal</w:t>
      </w:r>
      <w:r w:rsidRPr="005158D0">
        <w:t xml:space="preserve"> 350; Caleb</w:t>
      </w:r>
      <w:r w:rsidRPr="00D76B70">
        <w:t xml:space="preserve"> </w:t>
      </w:r>
      <w:r>
        <w:t>Armstrong,</w:t>
      </w:r>
      <w:r w:rsidRPr="005158D0">
        <w:t xml:space="preserve"> ‘Fitness to Stand Trial in the New Zealand Youth Court: Characterising Court-Ordered Competence Assessments’ (2016) 23(4) </w:t>
      </w:r>
      <w:r w:rsidRPr="005158D0">
        <w:rPr>
          <w:i/>
        </w:rPr>
        <w:t>Psychiatry, Psychology and Law</w:t>
      </w:r>
      <w:r>
        <w:t xml:space="preserve"> 538; Joseph A </w:t>
      </w:r>
      <w:r w:rsidRPr="005158D0">
        <w:t>Sakdalan</w:t>
      </w:r>
      <w:r>
        <w:t xml:space="preserve"> and</w:t>
      </w:r>
      <w:r w:rsidRPr="005158D0">
        <w:t xml:space="preserve"> Vincent</w:t>
      </w:r>
      <w:r>
        <w:t xml:space="preserve"> Egan</w:t>
      </w:r>
      <w:r w:rsidRPr="005158D0">
        <w:t xml:space="preserve">, ‘Fitness to Stand Trial in New Zealand: Different Factors Associated with Fitness to Stand Trial Between Mentally Disordered and Intellectual Disabled Defendants in the New Zealand Criminal Justice System’ (2014) 21(5) </w:t>
      </w:r>
      <w:r w:rsidRPr="005158D0">
        <w:rPr>
          <w:i/>
        </w:rPr>
        <w:t xml:space="preserve">Psychiatry, Psychology and Law </w:t>
      </w:r>
      <w:r w:rsidRPr="005158D0">
        <w:t>658.</w:t>
      </w:r>
    </w:p>
  </w:footnote>
  <w:footnote w:id="35">
    <w:p w14:paraId="00886066" w14:textId="59DFEC13"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Warren</w:t>
      </w:r>
      <w:r w:rsidRPr="00D76B70">
        <w:t xml:space="preserve"> </w:t>
      </w:r>
      <w:r>
        <w:t>Brookbanks,</w:t>
      </w:r>
      <w:r w:rsidRPr="005158D0">
        <w:t xml:space="preserve"> </w:t>
      </w:r>
      <w:r w:rsidRPr="00FC758A">
        <w:rPr>
          <w:i/>
        </w:rPr>
        <w:t>Competencies of Trial: Fitness to Plead in New Zealand</w:t>
      </w:r>
      <w:r>
        <w:t>, above n</w:t>
      </w:r>
      <w:r>
        <w:fldChar w:fldCharType="begin"/>
      </w:r>
      <w:r>
        <w:instrText xml:space="preserve"> NOTEREF _Ref514485881 \h </w:instrText>
      </w:r>
      <w:r>
        <w:fldChar w:fldCharType="separate"/>
      </w:r>
      <w:r w:rsidR="00DE614F">
        <w:t>34</w:t>
      </w:r>
      <w:r>
        <w:fldChar w:fldCharType="end"/>
      </w:r>
      <w:r>
        <w:t>.</w:t>
      </w:r>
    </w:p>
  </w:footnote>
  <w:footnote w:id="36">
    <w:p w14:paraId="48C18F19" w14:textId="03EEA1F1" w:rsidR="001D06AA" w:rsidRDefault="001D06AA">
      <w:pPr>
        <w:pStyle w:val="FootnoteText"/>
      </w:pPr>
      <w:r>
        <w:rPr>
          <w:rStyle w:val="FootnoteReference"/>
        </w:rPr>
        <w:footnoteRef/>
      </w:r>
      <w:r>
        <w:t xml:space="preserve"> </w:t>
      </w:r>
      <w:r>
        <w:tab/>
      </w:r>
      <w:r w:rsidRPr="005158D0">
        <w:t xml:space="preserve">See, </w:t>
      </w:r>
      <w:r>
        <w:t>eg</w:t>
      </w:r>
      <w:r w:rsidRPr="005158D0">
        <w:t xml:space="preserve">, </w:t>
      </w:r>
      <w:r w:rsidRPr="005158D0">
        <w:rPr>
          <w:lang w:eastAsia="en-US"/>
        </w:rPr>
        <w:t>Anna</w:t>
      </w:r>
      <w:r w:rsidRPr="00D76B70">
        <w:rPr>
          <w:lang w:eastAsia="en-US"/>
        </w:rPr>
        <w:t xml:space="preserve"> </w:t>
      </w:r>
      <w:r w:rsidRPr="005158D0">
        <w:rPr>
          <w:lang w:eastAsia="en-US"/>
        </w:rPr>
        <w:t>Arstein-Kerslak</w:t>
      </w:r>
      <w:r>
        <w:rPr>
          <w:lang w:eastAsia="en-US"/>
        </w:rPr>
        <w:t>e,</w:t>
      </w:r>
      <w:r w:rsidRPr="005158D0">
        <w:rPr>
          <w:lang w:eastAsia="en-US"/>
        </w:rPr>
        <w:t xml:space="preserve"> </w:t>
      </w:r>
      <w:r w:rsidRPr="005158D0">
        <w:rPr>
          <w:i/>
          <w:iCs/>
          <w:lang w:eastAsia="en-US"/>
        </w:rPr>
        <w:t>Restoring Voice to People with Cognitive Disabilities</w:t>
      </w:r>
      <w:r>
        <w:rPr>
          <w:lang w:eastAsia="en-US"/>
        </w:rPr>
        <w:t xml:space="preserve"> (Cambridge University Press,</w:t>
      </w:r>
      <w:r w:rsidRPr="005158D0">
        <w:rPr>
          <w:lang w:eastAsia="en-US"/>
        </w:rPr>
        <w:t xml:space="preserve"> 2017); Terry</w:t>
      </w:r>
      <w:r w:rsidRPr="00D76B70">
        <w:rPr>
          <w:lang w:eastAsia="en-US"/>
        </w:rPr>
        <w:t xml:space="preserve"> </w:t>
      </w:r>
      <w:r w:rsidRPr="005158D0">
        <w:rPr>
          <w:lang w:eastAsia="en-US"/>
        </w:rPr>
        <w:t>Carney</w:t>
      </w:r>
      <w:r>
        <w:rPr>
          <w:lang w:eastAsia="en-US"/>
        </w:rPr>
        <w:t>,</w:t>
      </w:r>
      <w:r w:rsidRPr="005158D0">
        <w:rPr>
          <w:lang w:eastAsia="en-US"/>
        </w:rPr>
        <w:t xml:space="preserve"> and Fleur Aileen Beaupert, ‘Public and private bricolage-challenges balancing law, services &amp; civil society in advancing CRPD supported decision making’ (2013) 36(1) </w:t>
      </w:r>
      <w:r w:rsidRPr="005158D0">
        <w:rPr>
          <w:i/>
          <w:lang w:eastAsia="en-US"/>
        </w:rPr>
        <w:t xml:space="preserve">UNSW Law Journal </w:t>
      </w:r>
      <w:r w:rsidRPr="005158D0">
        <w:rPr>
          <w:lang w:eastAsia="en-US"/>
        </w:rPr>
        <w:t>175.</w:t>
      </w:r>
    </w:p>
  </w:footnote>
  <w:footnote w:id="37">
    <w:p w14:paraId="5470AD0C" w14:textId="3BECF6A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Jean</w:t>
      </w:r>
      <w:r w:rsidRPr="00D76B70">
        <w:t xml:space="preserve"> </w:t>
      </w:r>
      <w:r>
        <w:t>Drage,</w:t>
      </w:r>
      <w:r w:rsidRPr="005158D0">
        <w:t xml:space="preserve"> ‘New Zealand’s National Health and Disability Advocacy Service: A Successful Model of Advocacy’ (2012) 14(1) </w:t>
      </w:r>
      <w:r w:rsidRPr="005158D0">
        <w:rPr>
          <w:i/>
        </w:rPr>
        <w:t xml:space="preserve">Health and Human Rights </w:t>
      </w:r>
      <w:r w:rsidRPr="005158D0">
        <w:t>1.</w:t>
      </w:r>
    </w:p>
  </w:footnote>
  <w:footnote w:id="38">
    <w:p w14:paraId="01AB7AF8" w14:textId="52CAC707" w:rsidR="001D06AA" w:rsidRPr="005158D0" w:rsidRDefault="001D06AA" w:rsidP="00396190">
      <w:pPr>
        <w:pStyle w:val="FootnoteText"/>
      </w:pPr>
      <w:r w:rsidRPr="004532E8">
        <w:rPr>
          <w:rStyle w:val="FootnoteReference"/>
          <w:rFonts w:cs="Times New Roman"/>
        </w:rPr>
        <w:footnoteRef/>
      </w:r>
      <w:r w:rsidRPr="004532E8">
        <w:t xml:space="preserve"> </w:t>
      </w:r>
      <w:r w:rsidRPr="004532E8">
        <w:tab/>
        <w:t xml:space="preserve">Both the </w:t>
      </w:r>
      <w:hyperlink r:id="rId15" w:history="1">
        <w:r w:rsidRPr="004532E8">
          <w:rPr>
            <w:rStyle w:val="Hyperlink"/>
          </w:rPr>
          <w:t>Unfitness to Plead Project</w:t>
        </w:r>
      </w:hyperlink>
      <w:r w:rsidRPr="004532E8">
        <w:t xml:space="preserve"> and the </w:t>
      </w:r>
      <w:hyperlink r:id="rId16" w:history="1">
        <w:r w:rsidRPr="004532E8">
          <w:rPr>
            <w:rStyle w:val="Hyperlink"/>
          </w:rPr>
          <w:t>Choice, Control, and the NDIS Project</w:t>
        </w:r>
      </w:hyperlink>
      <w:r w:rsidRPr="004532E8">
        <w:t xml:space="preserve"> at the University of Melbourne used participatory research methods and were focused on issues of legal capacity and/or supported decision-making. Information is available here: &lt;</w:t>
      </w:r>
      <w:hyperlink r:id="rId17" w:history="1">
        <w:r w:rsidRPr="004532E8">
          <w:rPr>
            <w:rStyle w:val="Hyperlink"/>
            <w:rFonts w:cs="Times New Roman"/>
            <w:color w:val="auto"/>
            <w:u w:val="none"/>
            <w:lang w:val="en-US"/>
          </w:rPr>
          <w:t>http://socialequity.unimelb.edu.au/research/projects/disability-and-mental-health/choice,-control-and-the-ndis</w:t>
        </w:r>
      </w:hyperlink>
      <w:r w:rsidRPr="004532E8">
        <w:rPr>
          <w:rStyle w:val="Hyperlink"/>
          <w:rFonts w:cs="Times New Roman"/>
          <w:color w:val="auto"/>
          <w:u w:val="none"/>
          <w:lang w:val="en-US"/>
        </w:rPr>
        <w:t>&gt;</w:t>
      </w:r>
      <w:r w:rsidRPr="004532E8">
        <w:t xml:space="preserve"> and &lt;</w:t>
      </w:r>
      <w:hyperlink r:id="rId18" w:history="1">
        <w:r w:rsidRPr="004532E8">
          <w:rPr>
            <w:rStyle w:val="Hyperlink"/>
            <w:rFonts w:cs="Times New Roman"/>
            <w:color w:val="auto"/>
            <w:u w:val="none"/>
            <w:lang w:val="en-US"/>
          </w:rPr>
          <w:t>http://socialequity.unimelb.edu.au/research/projects/disability-and-mental-health/unfitness-to-plead</w:t>
        </w:r>
      </w:hyperlink>
      <w:r w:rsidRPr="004532E8">
        <w:rPr>
          <w:rStyle w:val="Hyperlink"/>
          <w:rFonts w:cs="Times New Roman"/>
          <w:color w:val="auto"/>
          <w:u w:val="none"/>
          <w:lang w:val="en-US"/>
        </w:rPr>
        <w:t>&gt;</w:t>
      </w:r>
      <w:r w:rsidRPr="004532E8">
        <w:t>.</w:t>
      </w:r>
      <w:r w:rsidRPr="005158D0">
        <w:t xml:space="preserve"> </w:t>
      </w:r>
    </w:p>
  </w:footnote>
  <w:footnote w:id="39">
    <w:p w14:paraId="3005335C" w14:textId="1A7309CF" w:rsidR="001D06AA" w:rsidRDefault="001D06AA">
      <w:pPr>
        <w:pStyle w:val="FootnoteText"/>
      </w:pPr>
      <w:r>
        <w:rPr>
          <w:rStyle w:val="FootnoteReference"/>
        </w:rPr>
        <w:footnoteRef/>
      </w:r>
      <w:r>
        <w:t xml:space="preserve"> </w:t>
      </w:r>
      <w:r>
        <w:tab/>
      </w:r>
      <w:r w:rsidRPr="005158D0">
        <w:t xml:space="preserve">See, eg, </w:t>
      </w:r>
      <w:r>
        <w:t>Segrave et al, above n</w:t>
      </w:r>
      <w:r>
        <w:fldChar w:fldCharType="begin"/>
      </w:r>
      <w:r>
        <w:instrText xml:space="preserve"> NOTEREF _Ref514435768 \h </w:instrText>
      </w:r>
      <w:r>
        <w:fldChar w:fldCharType="separate"/>
      </w:r>
      <w:r w:rsidR="00DE614F">
        <w:t>9</w:t>
      </w:r>
      <w:r>
        <w:fldChar w:fldCharType="end"/>
      </w:r>
      <w:r w:rsidRPr="005158D0">
        <w:t>; Gooding et al,</w:t>
      </w:r>
      <w:r>
        <w:t xml:space="preserve"> above n</w:t>
      </w:r>
      <w:r>
        <w:fldChar w:fldCharType="begin"/>
      </w:r>
      <w:r>
        <w:instrText xml:space="preserve"> NOTEREF _Ref514435768 \h </w:instrText>
      </w:r>
      <w:r>
        <w:fldChar w:fldCharType="separate"/>
      </w:r>
      <w:r w:rsidR="00DE614F">
        <w:t>9</w:t>
      </w:r>
      <w:r>
        <w:fldChar w:fldCharType="end"/>
      </w:r>
      <w:r w:rsidRPr="005158D0">
        <w:t>; Steele</w:t>
      </w:r>
      <w:r>
        <w:t>, above n</w:t>
      </w:r>
      <w:r>
        <w:fldChar w:fldCharType="begin"/>
      </w:r>
      <w:r>
        <w:instrText xml:space="preserve"> NOTEREF _Ref514483539 \h </w:instrText>
      </w:r>
      <w:r>
        <w:fldChar w:fldCharType="separate"/>
      </w:r>
      <w:r w:rsidR="00DE614F">
        <w:t>14</w:t>
      </w:r>
      <w:r>
        <w:fldChar w:fldCharType="end"/>
      </w:r>
      <w:r w:rsidRPr="005158D0">
        <w:rPr>
          <w:iCs/>
        </w:rPr>
        <w:t>;</w:t>
      </w:r>
      <w:r w:rsidRPr="005158D0">
        <w:t xml:space="preserve"> Emma</w:t>
      </w:r>
      <w:r w:rsidRPr="00074F62">
        <w:t xml:space="preserve"> </w:t>
      </w:r>
      <w:r w:rsidRPr="005158D0">
        <w:t xml:space="preserve">Cashman and Stuart Thomas, ‘Does mental illness impact the incidence of crime and victimisation among young people?’ (2017) 24 (1) </w:t>
      </w:r>
      <w:r w:rsidRPr="005158D0">
        <w:rPr>
          <w:i/>
        </w:rPr>
        <w:t xml:space="preserve">Psychology and Law </w:t>
      </w:r>
      <w:r>
        <w:t>33</w:t>
      </w:r>
      <w:r>
        <w:softHyphen/>
      </w:r>
      <w:r w:rsidRPr="005158D0">
        <w:t xml:space="preserve">46; Spivakovsky and Seear, </w:t>
      </w:r>
      <w:r>
        <w:t>above n</w:t>
      </w:r>
      <w:r>
        <w:fldChar w:fldCharType="begin"/>
      </w:r>
      <w:r>
        <w:instrText xml:space="preserve"> NOTEREF _Ref514483539 \h </w:instrText>
      </w:r>
      <w:r>
        <w:fldChar w:fldCharType="separate"/>
      </w:r>
      <w:r w:rsidR="00DE614F">
        <w:t>14</w:t>
      </w:r>
      <w:r>
        <w:fldChar w:fldCharType="end"/>
      </w:r>
      <w:r>
        <w:t xml:space="preserve">; </w:t>
      </w:r>
      <w:r w:rsidRPr="005158D0">
        <w:t>Ilana</w:t>
      </w:r>
      <w:r w:rsidRPr="00074F62">
        <w:t xml:space="preserve"> </w:t>
      </w:r>
      <w:r>
        <w:t>Hepner,</w:t>
      </w:r>
      <w:r w:rsidRPr="005158D0">
        <w:t xml:space="preserve"> Mary Woodward and Jeanette Stewart, ‘Giving the Vulnerable a Voice in the Criminal Justice System: The Use of Intermediaries with Individuals with Intellectual Disability’ (2015) 22(3) </w:t>
      </w:r>
      <w:r w:rsidRPr="005158D0">
        <w:rPr>
          <w:i/>
          <w:iCs/>
        </w:rPr>
        <w:t>Psychiatry, Psychology and Law</w:t>
      </w:r>
      <w:r w:rsidRPr="005158D0">
        <w:t xml:space="preserve"> 453; Isabelle</w:t>
      </w:r>
      <w:r w:rsidRPr="00074F62">
        <w:t xml:space="preserve"> </w:t>
      </w:r>
      <w:r>
        <w:t>Bartkowiak-Théron,</w:t>
      </w:r>
      <w:r w:rsidRPr="005158D0">
        <w:t xml:space="preserve"> Nicole Asquith and Karl Roberts, ‘Vulnerability as a contemporary challenge for policing’ in</w:t>
      </w:r>
      <w:r>
        <w:t xml:space="preserve"> </w:t>
      </w:r>
      <w:r w:rsidRPr="005158D0">
        <w:t>Nicole Asquith</w:t>
      </w:r>
      <w:r>
        <w:t xml:space="preserve">, </w:t>
      </w:r>
      <w:r w:rsidRPr="005158D0">
        <w:t>Isabelle</w:t>
      </w:r>
      <w:r w:rsidRPr="00074F62">
        <w:t xml:space="preserve"> </w:t>
      </w:r>
      <w:r>
        <w:t>Bartkowiak-Théron</w:t>
      </w:r>
      <w:r w:rsidRPr="005158D0">
        <w:t xml:space="preserve"> and Karl Roberts </w:t>
      </w:r>
      <w:r w:rsidRPr="005158D0">
        <w:rPr>
          <w:i/>
          <w:iCs/>
        </w:rPr>
        <w:t>Policing Encounters with Vulnerability</w:t>
      </w:r>
      <w:r w:rsidRPr="005158D0">
        <w:t xml:space="preserve"> (Sp</w:t>
      </w:r>
      <w:r>
        <w:t>ringer International Publishing</w:t>
      </w:r>
      <w:r w:rsidRPr="005158D0">
        <w:t xml:space="preserve">, 2017) 1; </w:t>
      </w:r>
      <w:r w:rsidRPr="00ED43F6">
        <w:t>Margaret</w:t>
      </w:r>
      <w:r w:rsidRPr="00074F62">
        <w:t xml:space="preserve"> </w:t>
      </w:r>
      <w:r>
        <w:t>Nixon</w:t>
      </w:r>
      <w:r w:rsidRPr="00ED43F6">
        <w:t>, Stuart </w:t>
      </w:r>
      <w:r>
        <w:t>D M Thomas, Michael Daffern</w:t>
      </w:r>
      <w:r w:rsidRPr="00ED43F6">
        <w:t xml:space="preserve"> and James R P Ogloff, ‘Estimating the risk of crime and victimisation in people with intellectual disability: a data-linkage study’ (2017) 52 (5) </w:t>
      </w:r>
      <w:r w:rsidRPr="00ED43F6">
        <w:rPr>
          <w:i/>
          <w:iCs/>
        </w:rPr>
        <w:t xml:space="preserve">Social Psychiatry and Psychiatric Epidemiology </w:t>
      </w:r>
      <w:r w:rsidRPr="00074F62">
        <w:t xml:space="preserve">617; Victorian Equal Opportunity and Human Rights Commission, </w:t>
      </w:r>
      <w:r w:rsidRPr="00074F62">
        <w:rPr>
          <w:i/>
        </w:rPr>
        <w:t xml:space="preserve">Beyond Doubt: The experiences of people with disabilities reporting crime – research findings </w:t>
      </w:r>
      <w:r w:rsidRPr="00074F62">
        <w:t>(Victorian Equal Opportunity and Human Rights Commission, 2014).</w:t>
      </w:r>
    </w:p>
  </w:footnote>
  <w:footnote w:id="40">
    <w:p w14:paraId="51E82408" w14:textId="569CA5C4"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xml:space="preserve">, Nixon et al, </w:t>
      </w:r>
      <w:r>
        <w:t>above n</w:t>
      </w:r>
      <w:r>
        <w:fldChar w:fldCharType="begin"/>
      </w:r>
      <w:r>
        <w:instrText xml:space="preserve"> NOTEREF _Ref514484223 \h </w:instrText>
      </w:r>
      <w:r>
        <w:fldChar w:fldCharType="separate"/>
      </w:r>
      <w:r w:rsidR="00DE614F">
        <w:t>39</w:t>
      </w:r>
      <w:r>
        <w:fldChar w:fldCharType="end"/>
      </w:r>
      <w:r w:rsidRPr="005158D0">
        <w:t>; Ruth</w:t>
      </w:r>
      <w:r w:rsidRPr="0074739F">
        <w:t xml:space="preserve"> </w:t>
      </w:r>
      <w:r w:rsidRPr="005158D0">
        <w:t xml:space="preserve">McCausland and Eileen Baldry, ‘I feel like I failed him by ringing the police: Criminalising disability in Australia’ (2017) 19 (3) </w:t>
      </w:r>
      <w:r w:rsidRPr="005158D0">
        <w:rPr>
          <w:i/>
          <w:iCs/>
        </w:rPr>
        <w:t xml:space="preserve">Punishment &amp; Society </w:t>
      </w:r>
      <w:r w:rsidRPr="005158D0">
        <w:t xml:space="preserve">290; Gooding and O’Mahoney, </w:t>
      </w:r>
      <w:r>
        <w:t>above n</w:t>
      </w:r>
      <w:r>
        <w:fldChar w:fldCharType="begin"/>
      </w:r>
      <w:r>
        <w:instrText xml:space="preserve"> NOTEREF _Ref514435697 \h </w:instrText>
      </w:r>
      <w:r>
        <w:fldChar w:fldCharType="separate"/>
      </w:r>
      <w:r w:rsidR="00DE614F">
        <w:t>17</w:t>
      </w:r>
      <w:r>
        <w:fldChar w:fldCharType="end"/>
      </w:r>
      <w:r>
        <w:t>.</w:t>
      </w:r>
    </w:p>
  </w:footnote>
  <w:footnote w:id="41">
    <w:p w14:paraId="51BB2816" w14:textId="49DF3130"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especially Spivakovsky and Seear, </w:t>
      </w:r>
      <w:r>
        <w:t>above n</w:t>
      </w:r>
      <w:r>
        <w:fldChar w:fldCharType="begin"/>
      </w:r>
      <w:r>
        <w:instrText xml:space="preserve"> NOTEREF _Ref514484223 \h </w:instrText>
      </w:r>
      <w:r>
        <w:fldChar w:fldCharType="separate"/>
      </w:r>
      <w:r w:rsidR="00DE614F">
        <w:t>39</w:t>
      </w:r>
      <w:r>
        <w:fldChar w:fldCharType="end"/>
      </w:r>
      <w:r w:rsidRPr="005158D0">
        <w:rPr>
          <w:iCs/>
        </w:rPr>
        <w:t>;</w:t>
      </w:r>
      <w:r w:rsidRPr="005158D0">
        <w:t xml:space="preserve"> Harry</w:t>
      </w:r>
      <w:r w:rsidRPr="0074739F">
        <w:t xml:space="preserve"> </w:t>
      </w:r>
      <w:r>
        <w:t>Blagg,</w:t>
      </w:r>
      <w:r w:rsidRPr="005158D0">
        <w:t xml:space="preserve"> Tamara Tulich and Zoe Bush, ‘Diversionary pathways for Indigenous youth with FASD in Western Australia: decolonising alternatives’ </w:t>
      </w:r>
      <w:r w:rsidRPr="005158D0">
        <w:rPr>
          <w:iCs/>
        </w:rPr>
        <w:t>(2015) 40(4)</w:t>
      </w:r>
      <w:r w:rsidRPr="005158D0">
        <w:rPr>
          <w:i/>
          <w:iCs/>
        </w:rPr>
        <w:t xml:space="preserve"> Alternative Law Journal</w:t>
      </w:r>
      <w:r w:rsidRPr="005158D0">
        <w:t xml:space="preserve"> 257; Brigit</w:t>
      </w:r>
      <w:r w:rsidRPr="0074739F">
        <w:t xml:space="preserve"> </w:t>
      </w:r>
      <w:r w:rsidRPr="005158D0">
        <w:t>Mirfin-Veitch</w:t>
      </w:r>
      <w:r>
        <w:t>, Sue Gates, Kate Diesfeld and Mark Henaghan</w:t>
      </w:r>
      <w:r w:rsidRPr="005158D0">
        <w:t xml:space="preserve">, </w:t>
      </w:r>
      <w:r w:rsidRPr="005158D0">
        <w:rPr>
          <w:i/>
        </w:rPr>
        <w:t>Developing a more responsive legal system for people with intellectual disability in New</w:t>
      </w:r>
      <w:r w:rsidRPr="005158D0">
        <w:t xml:space="preserve"> </w:t>
      </w:r>
      <w:r w:rsidRPr="00E07EF3">
        <w:rPr>
          <w:i/>
        </w:rPr>
        <w:t>Zealand</w:t>
      </w:r>
      <w:r w:rsidRPr="005158D0">
        <w:t xml:space="preserve"> (</w:t>
      </w:r>
      <w:r w:rsidRPr="005158D0">
        <w:rPr>
          <w:iCs/>
        </w:rPr>
        <w:t>Donald Beasley Institute</w:t>
      </w:r>
      <w:r>
        <w:t xml:space="preserve">, </w:t>
      </w:r>
      <w:r w:rsidRPr="005158D0">
        <w:t>2014)</w:t>
      </w:r>
      <w:r w:rsidRPr="005158D0">
        <w:rPr>
          <w:i/>
          <w:iCs/>
        </w:rPr>
        <w:t>.</w:t>
      </w:r>
    </w:p>
  </w:footnote>
  <w:footnote w:id="42">
    <w:p w14:paraId="099B52B5" w14:textId="34E16316" w:rsidR="001D06AA" w:rsidRDefault="001D06AA" w:rsidP="00396190">
      <w:pPr>
        <w:pStyle w:val="FootnoteText"/>
        <w:rPr>
          <w:highlight w:val="yellow"/>
        </w:rPr>
      </w:pPr>
      <w:r w:rsidRPr="005158D0">
        <w:rPr>
          <w:rStyle w:val="FootnoteReference"/>
          <w:rFonts w:cs="Times New Roman"/>
        </w:rPr>
        <w:footnoteRef/>
      </w:r>
      <w:r w:rsidRPr="005158D0">
        <w:t xml:space="preserve"> </w:t>
      </w:r>
      <w:r>
        <w:tab/>
      </w:r>
      <w:r w:rsidRPr="005158D0">
        <w:t xml:space="preserve">In relation to </w:t>
      </w:r>
      <w:r>
        <w:t>Aboriginal</w:t>
      </w:r>
      <w:r w:rsidRPr="005158D0">
        <w:t xml:space="preserve"> people</w:t>
      </w:r>
      <w:r>
        <w:t xml:space="preserve"> and Torres Strait Islanders</w:t>
      </w:r>
      <w:r w:rsidRPr="005158D0">
        <w:t xml:space="preserve">, see, </w:t>
      </w:r>
      <w:r>
        <w:t>eg</w:t>
      </w:r>
      <w:r w:rsidRPr="005158D0">
        <w:t>, Jane</w:t>
      </w:r>
      <w:r>
        <w:t xml:space="preserve"> E</w:t>
      </w:r>
      <w:r w:rsidRPr="001B55FA">
        <w:t xml:space="preserve"> </w:t>
      </w:r>
      <w:r w:rsidRPr="005158D0">
        <w:t>Lloyd</w:t>
      </w:r>
      <w:r>
        <w:t>, Dea Delaney-Thiele, Penny Abbott, Eileen Baldry, Elizabeth McEntyre, Jennifer Reath, Devon Indig, Juanita Sherwood and Mark F Harris</w:t>
      </w:r>
      <w:r w:rsidRPr="005158D0">
        <w:t xml:space="preserve">, ‘The role of primary health care services to better meet the needs of Aboriginal Australians transitioning from prison to the community’ (2015) 16(1) </w:t>
      </w:r>
      <w:r w:rsidRPr="005158D0">
        <w:rPr>
          <w:i/>
          <w:iCs/>
        </w:rPr>
        <w:t>BMC Family Practice</w:t>
      </w:r>
      <w:r w:rsidRPr="005158D0">
        <w:t xml:space="preserve"> 86; </w:t>
      </w:r>
      <w:r w:rsidRPr="0033095D">
        <w:t>Leigh</w:t>
      </w:r>
      <w:r w:rsidRPr="001B55FA">
        <w:t xml:space="preserve"> </w:t>
      </w:r>
      <w:r>
        <w:t>Haysom, Devon Indig, Elizabeth Moore</w:t>
      </w:r>
      <w:r w:rsidRPr="0033095D">
        <w:t xml:space="preserve"> and Claire Gaskin, ‘Intellectual disability in young people in custody in New South Wales, Australia – prevalence and markers’ (2014) 58(11) </w:t>
      </w:r>
      <w:r w:rsidRPr="0033095D">
        <w:rPr>
          <w:i/>
          <w:iCs/>
        </w:rPr>
        <w:t>Journal of intellectual Disability Research</w:t>
      </w:r>
      <w:r w:rsidRPr="0033095D">
        <w:t xml:space="preserve"> 1004; Julian</w:t>
      </w:r>
      <w:r w:rsidRPr="001B55FA">
        <w:t xml:space="preserve"> </w:t>
      </w:r>
      <w:r>
        <w:t>Trofimovs</w:t>
      </w:r>
      <w:r w:rsidRPr="0033095D">
        <w:t xml:space="preserve"> and Leanne Dowse, ‘Mental health at the intersections: The impact of complex needs on police contact and custody for Indigenous Australian men’ (2014) 37(4) </w:t>
      </w:r>
      <w:r w:rsidRPr="0033095D">
        <w:rPr>
          <w:i/>
          <w:iCs/>
        </w:rPr>
        <w:t>International Journal of Law and Psychiatry</w:t>
      </w:r>
      <w:r w:rsidRPr="0033095D">
        <w:t xml:space="preserve"> 390; Blagg et al, above n</w:t>
      </w:r>
      <w:r w:rsidRPr="0033095D">
        <w:fldChar w:fldCharType="begin"/>
      </w:r>
      <w:r w:rsidRPr="0033095D">
        <w:instrText xml:space="preserve"> NOTEREF _Ref514484914 \h </w:instrText>
      </w:r>
      <w:r>
        <w:instrText xml:space="preserve"> \* MERGEFORMAT </w:instrText>
      </w:r>
      <w:r w:rsidRPr="0033095D">
        <w:fldChar w:fldCharType="separate"/>
      </w:r>
      <w:r w:rsidR="00DE614F">
        <w:t>41</w:t>
      </w:r>
      <w:r w:rsidRPr="0033095D">
        <w:fldChar w:fldCharType="end"/>
      </w:r>
      <w:r w:rsidRPr="0033095D">
        <w:t xml:space="preserve">, </w:t>
      </w:r>
    </w:p>
    <w:p w14:paraId="13FDC463" w14:textId="068044F2" w:rsidR="001D06AA" w:rsidRPr="005158D0" w:rsidRDefault="001D06AA" w:rsidP="0033095D">
      <w:pPr>
        <w:pStyle w:val="FootnoteText"/>
        <w:ind w:firstLine="0"/>
      </w:pPr>
      <w:r w:rsidRPr="0033095D">
        <w:t xml:space="preserve">In relation to women with disability, see, </w:t>
      </w:r>
      <w:r>
        <w:t>eg</w:t>
      </w:r>
      <w:r w:rsidRPr="0033095D">
        <w:t>, Steele, above n</w:t>
      </w:r>
      <w:r w:rsidRPr="0033095D">
        <w:fldChar w:fldCharType="begin"/>
      </w:r>
      <w:r w:rsidRPr="0033095D">
        <w:instrText xml:space="preserve"> NOTEREF _Ref514483539 \h </w:instrText>
      </w:r>
      <w:r>
        <w:instrText xml:space="preserve"> \* MERGEFORMAT </w:instrText>
      </w:r>
      <w:r w:rsidRPr="0033095D">
        <w:fldChar w:fldCharType="separate"/>
      </w:r>
      <w:r w:rsidR="00DE614F">
        <w:t>14</w:t>
      </w:r>
      <w:r w:rsidRPr="0033095D">
        <w:fldChar w:fldCharType="end"/>
      </w:r>
      <w:r w:rsidRPr="0033095D">
        <w:t>; Katherine</w:t>
      </w:r>
      <w:r w:rsidRPr="001B55FA">
        <w:t xml:space="preserve"> </w:t>
      </w:r>
      <w:r>
        <w:t>Hafekost</w:t>
      </w:r>
      <w:r w:rsidRPr="0033095D">
        <w:t>, David Lawrence, Colleen O’Leary, Carol Bower, James Semme</w:t>
      </w:r>
      <w:r>
        <w:t>ns</w:t>
      </w:r>
      <w:r w:rsidRPr="0033095D">
        <w:t xml:space="preserve"> and Stephen R Zubrick, ‘Maternal alcohol use disorder and risk of child contact with the justice system in Western Australia: a population cohort record linkage study’ (2017) 41(8) </w:t>
      </w:r>
      <w:r w:rsidRPr="0033095D">
        <w:rPr>
          <w:i/>
          <w:iCs/>
        </w:rPr>
        <w:t xml:space="preserve">Alcoholism: clinical and experimental research </w:t>
      </w:r>
      <w:r w:rsidRPr="0033095D">
        <w:t xml:space="preserve">1542; </w:t>
      </w:r>
      <w:r w:rsidRPr="00272F79">
        <w:t>Leanne</w:t>
      </w:r>
      <w:r w:rsidRPr="001B55FA">
        <w:t xml:space="preserve"> </w:t>
      </w:r>
      <w:r>
        <w:t>Dowse</w:t>
      </w:r>
      <w:r w:rsidRPr="00272F79">
        <w:t>, Kar</w:t>
      </w:r>
      <w:r>
        <w:t>en Soldatic, Jo Spangaro</w:t>
      </w:r>
      <w:r w:rsidRPr="00272F79">
        <w:t xml:space="preserve"> and Georgia Toorn,‘Mind the gap: the extent of violence against women with disabilities in Australia’ (2016) 51(3) </w:t>
      </w:r>
      <w:r w:rsidRPr="00272F79">
        <w:rPr>
          <w:i/>
          <w:iCs/>
        </w:rPr>
        <w:t>Australian Journal of Social Issues</w:t>
      </w:r>
      <w:r w:rsidRPr="00272F79">
        <w:t xml:space="preserve"> 341; Leanne</w:t>
      </w:r>
      <w:r w:rsidRPr="001B55FA">
        <w:t xml:space="preserve"> </w:t>
      </w:r>
      <w:r>
        <w:t>Dowse</w:t>
      </w:r>
      <w:r w:rsidRPr="00272F79">
        <w:t>, Carolyn Frohmader and Aminath Didi, ‘Violence against disabled women in the global South: working locally, acting globally’ in Shaun</w:t>
      </w:r>
      <w:r w:rsidRPr="001B55FA">
        <w:t xml:space="preserve"> </w:t>
      </w:r>
      <w:r>
        <w:t>Grech</w:t>
      </w:r>
      <w:r w:rsidRPr="00272F79">
        <w:t xml:space="preserve"> and Karen Soldatic (eds) </w:t>
      </w:r>
      <w:r w:rsidRPr="00272F79">
        <w:rPr>
          <w:i/>
          <w:iCs/>
        </w:rPr>
        <w:t xml:space="preserve">Disability in the Global South </w:t>
      </w:r>
      <w:r w:rsidRPr="00272F79">
        <w:rPr>
          <w:iCs/>
        </w:rPr>
        <w:t>(</w:t>
      </w:r>
      <w:r w:rsidRPr="00272F79">
        <w:t>Sp</w:t>
      </w:r>
      <w:r>
        <w:t>ringer International Publishing,</w:t>
      </w:r>
      <w:r w:rsidRPr="00272F79">
        <w:t xml:space="preserve"> 2016) 323.</w:t>
      </w:r>
    </w:p>
  </w:footnote>
  <w:footnote w:id="43">
    <w:p w14:paraId="0963CF21" w14:textId="7DDAD353"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xml:space="preserve">, Gooding et al, </w:t>
      </w:r>
      <w:r>
        <w:t>above n</w:t>
      </w:r>
      <w:r>
        <w:fldChar w:fldCharType="begin"/>
      </w:r>
      <w:r>
        <w:instrText xml:space="preserve"> NOTEREF _Ref514435768 \h </w:instrText>
      </w:r>
      <w:r>
        <w:fldChar w:fldCharType="separate"/>
      </w:r>
      <w:r w:rsidR="00DE614F">
        <w:t>9</w:t>
      </w:r>
      <w:r>
        <w:fldChar w:fldCharType="end"/>
      </w:r>
      <w:r>
        <w:t xml:space="preserve">; </w:t>
      </w:r>
      <w:r w:rsidRPr="005158D0">
        <w:t>Segrave</w:t>
      </w:r>
      <w:r>
        <w:t xml:space="preserve"> et al, above n</w:t>
      </w:r>
      <w:r>
        <w:fldChar w:fldCharType="begin"/>
      </w:r>
      <w:r>
        <w:instrText xml:space="preserve"> NOTEREF _Ref514435768 \h </w:instrText>
      </w:r>
      <w:r>
        <w:fldChar w:fldCharType="separate"/>
      </w:r>
      <w:r w:rsidR="00DE614F">
        <w:t>9</w:t>
      </w:r>
      <w:r>
        <w:fldChar w:fldCharType="end"/>
      </w:r>
      <w:r w:rsidRPr="005158D0">
        <w:t>.</w:t>
      </w:r>
    </w:p>
  </w:footnote>
  <w:footnote w:id="44">
    <w:p w14:paraId="550DCB33" w14:textId="2A4EC9C0"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Steele, </w:t>
      </w:r>
      <w:r>
        <w:t>above n</w:t>
      </w:r>
      <w:r>
        <w:fldChar w:fldCharType="begin"/>
      </w:r>
      <w:r>
        <w:instrText xml:space="preserve"> NOTEREF _Ref514483539 \h </w:instrText>
      </w:r>
      <w:r>
        <w:fldChar w:fldCharType="separate"/>
      </w:r>
      <w:r w:rsidR="00DE614F">
        <w:t>14</w:t>
      </w:r>
      <w:r>
        <w:fldChar w:fldCharType="end"/>
      </w:r>
      <w:r w:rsidRPr="005158D0">
        <w:t xml:space="preserve">; Cashman and Thomas, </w:t>
      </w:r>
      <w:r>
        <w:t>above n</w:t>
      </w:r>
      <w:r>
        <w:fldChar w:fldCharType="begin"/>
      </w:r>
      <w:r>
        <w:instrText xml:space="preserve"> NOTEREF _Ref514484223 \h </w:instrText>
      </w:r>
      <w:r>
        <w:fldChar w:fldCharType="separate"/>
      </w:r>
      <w:r w:rsidR="00DE614F">
        <w:t>39</w:t>
      </w:r>
      <w:r>
        <w:fldChar w:fldCharType="end"/>
      </w:r>
      <w:r w:rsidRPr="005158D0">
        <w:t>.</w:t>
      </w:r>
    </w:p>
  </w:footnote>
  <w:footnote w:id="45">
    <w:p w14:paraId="7CADD3D0" w14:textId="5EAB7B51" w:rsidR="001D06AA" w:rsidRDefault="001D06AA">
      <w:pPr>
        <w:pStyle w:val="FootnoteText"/>
      </w:pPr>
      <w:r>
        <w:rPr>
          <w:rStyle w:val="FootnoteReference"/>
        </w:rPr>
        <w:footnoteRef/>
      </w:r>
      <w:r>
        <w:t xml:space="preserve"> </w:t>
      </w:r>
      <w:r>
        <w:tab/>
      </w:r>
      <w:r w:rsidRPr="005158D0">
        <w:t>See Karen</w:t>
      </w:r>
      <w:r w:rsidRPr="001B55FA">
        <w:t xml:space="preserve"> </w:t>
      </w:r>
      <w:r w:rsidRPr="005158D0">
        <w:t>Soldatic</w:t>
      </w:r>
      <w:r>
        <w:t>, Georgia van Toorn, Leanne Dowse and Kristy Muir</w:t>
      </w:r>
      <w:r w:rsidRPr="005158D0">
        <w:t xml:space="preserve">, ‘Intellectual disability and complex intersections: Marginalisation under the National Disability Insurance Scheme’ (2014) 1(1) </w:t>
      </w:r>
      <w:r w:rsidRPr="005158D0">
        <w:rPr>
          <w:i/>
          <w:iCs/>
        </w:rPr>
        <w:t xml:space="preserve">Research and Practice in Intellectual and Developmental Disabilities </w:t>
      </w:r>
      <w:r w:rsidRPr="005158D0">
        <w:t>6.</w:t>
      </w:r>
    </w:p>
  </w:footnote>
  <w:footnote w:id="46">
    <w:p w14:paraId="6B9D26A8" w14:textId="1B37F033"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eg, Brookbanks, </w:t>
      </w:r>
      <w:r>
        <w:t>‘Reconsidering fitness to plead, above n</w:t>
      </w:r>
      <w:r>
        <w:fldChar w:fldCharType="begin"/>
      </w:r>
      <w:r>
        <w:instrText xml:space="preserve"> NOTEREF _Ref514485881 \h </w:instrText>
      </w:r>
      <w:r>
        <w:fldChar w:fldCharType="separate"/>
      </w:r>
      <w:r w:rsidR="00DE614F">
        <w:t>34</w:t>
      </w:r>
      <w:r>
        <w:fldChar w:fldCharType="end"/>
      </w:r>
      <w:r w:rsidRPr="005158D0">
        <w:t xml:space="preserve">; Armstrong, </w:t>
      </w:r>
      <w:r>
        <w:t>above n</w:t>
      </w:r>
      <w:r>
        <w:fldChar w:fldCharType="begin"/>
      </w:r>
      <w:r>
        <w:instrText xml:space="preserve"> NOTEREF _Ref514485881 \h </w:instrText>
      </w:r>
      <w:r>
        <w:fldChar w:fldCharType="separate"/>
      </w:r>
      <w:r w:rsidR="00DE614F">
        <w:t>34</w:t>
      </w:r>
      <w:r>
        <w:fldChar w:fldCharType="end"/>
      </w:r>
      <w:r w:rsidRPr="005158D0">
        <w:t xml:space="preserve">; Brookbanks, </w:t>
      </w:r>
      <w:r w:rsidRPr="005158D0">
        <w:rPr>
          <w:i/>
        </w:rPr>
        <w:t>Competencies of Trial: Fitness to Plead in New Zealand</w:t>
      </w:r>
      <w:r w:rsidRPr="001608FD">
        <w:t>, above n</w:t>
      </w:r>
      <w:r>
        <w:fldChar w:fldCharType="begin"/>
      </w:r>
      <w:r>
        <w:instrText xml:space="preserve"> NOTEREF _Ref514485881 \h </w:instrText>
      </w:r>
      <w:r>
        <w:fldChar w:fldCharType="separate"/>
      </w:r>
      <w:r w:rsidR="00DE614F">
        <w:t>34</w:t>
      </w:r>
      <w:r>
        <w:fldChar w:fldCharType="end"/>
      </w:r>
      <w:r>
        <w:t>.</w:t>
      </w:r>
    </w:p>
  </w:footnote>
  <w:footnote w:id="47">
    <w:p w14:paraId="2FAF5BB8" w14:textId="3F274D98" w:rsidR="001D06AA" w:rsidRDefault="001D06AA">
      <w:pPr>
        <w:pStyle w:val="FootnoteText"/>
      </w:pPr>
      <w:r>
        <w:rPr>
          <w:rStyle w:val="FootnoteReference"/>
        </w:rPr>
        <w:footnoteRef/>
      </w:r>
      <w:r>
        <w:t xml:space="preserve"> </w:t>
      </w:r>
      <w:r>
        <w:tab/>
      </w:r>
      <w:r w:rsidRPr="005158D0">
        <w:t xml:space="preserve">Armstrong, </w:t>
      </w:r>
      <w:r>
        <w:t>above n</w:t>
      </w:r>
      <w:r>
        <w:fldChar w:fldCharType="begin"/>
      </w:r>
      <w:r>
        <w:instrText xml:space="preserve"> NOTEREF _Ref514485881 \h </w:instrText>
      </w:r>
      <w:r>
        <w:fldChar w:fldCharType="separate"/>
      </w:r>
      <w:r w:rsidR="00DE614F">
        <w:t>34</w:t>
      </w:r>
      <w:r>
        <w:fldChar w:fldCharType="end"/>
      </w:r>
      <w:r>
        <w:t xml:space="preserve">, </w:t>
      </w:r>
      <w:r w:rsidRPr="005158D0">
        <w:t>546.</w:t>
      </w:r>
    </w:p>
  </w:footnote>
  <w:footnote w:id="48">
    <w:p w14:paraId="3FF12F89" w14:textId="2C16474E" w:rsidR="001D06AA" w:rsidRDefault="001D06AA">
      <w:pPr>
        <w:pStyle w:val="FootnoteText"/>
      </w:pPr>
      <w:r>
        <w:rPr>
          <w:rStyle w:val="FootnoteReference"/>
        </w:rPr>
        <w:footnoteRef/>
      </w:r>
      <w:r>
        <w:t xml:space="preserve"> </w:t>
      </w:r>
      <w:r>
        <w:tab/>
      </w:r>
      <w:r w:rsidRPr="005158D0">
        <w:t>Kat</w:t>
      </w:r>
      <w:r>
        <w:t>e</w:t>
      </w:r>
      <w:r w:rsidRPr="001B55FA">
        <w:t xml:space="preserve"> </w:t>
      </w:r>
      <w:r>
        <w:t>Prebble,</w:t>
      </w:r>
      <w:r w:rsidRPr="005158D0">
        <w:t xml:space="preserve"> </w:t>
      </w:r>
      <w:r>
        <w:t>Kate Diesfeld, Rosemary Frey, Daniel Sutton, Michelle Honey, Russell Vickery and Brian McKenna,</w:t>
      </w:r>
      <w:r w:rsidRPr="005158D0">
        <w:t xml:space="preserve"> ‘The care manager’s dilemma: balancing human rights with risk management under the </w:t>
      </w:r>
      <w:r w:rsidRPr="004F7AA2">
        <w:rPr>
          <w:i/>
        </w:rPr>
        <w:t>Intellectual Disability (Compulsory Care and Rehabilitation) Act 2003</w:t>
      </w:r>
      <w:r w:rsidRPr="005158D0">
        <w:t xml:space="preserve">’ (2013) 28(1) </w:t>
      </w:r>
      <w:r w:rsidRPr="005158D0">
        <w:rPr>
          <w:i/>
        </w:rPr>
        <w:t xml:space="preserve">Disability &amp; Society </w:t>
      </w:r>
      <w:r w:rsidRPr="005158D0">
        <w:t>110.</w:t>
      </w:r>
    </w:p>
  </w:footnote>
  <w:footnote w:id="49">
    <w:p w14:paraId="0F555C9B" w14:textId="7878C63E" w:rsidR="001D06AA" w:rsidRPr="005158D0" w:rsidRDefault="001D06AA" w:rsidP="00396190">
      <w:pPr>
        <w:pStyle w:val="FootnoteText"/>
      </w:pPr>
      <w:r w:rsidRPr="005158D0">
        <w:rPr>
          <w:rStyle w:val="FootnoteReference"/>
          <w:rFonts w:cs="Times New Roman"/>
        </w:rPr>
        <w:footnoteRef/>
      </w:r>
      <w:r w:rsidRPr="005158D0">
        <w:t xml:space="preserve"> </w:t>
      </w:r>
      <w:r>
        <w:tab/>
        <w:t>Ibid.</w:t>
      </w:r>
    </w:p>
  </w:footnote>
  <w:footnote w:id="50">
    <w:p w14:paraId="66841EB2" w14:textId="074D15D2" w:rsidR="001D06AA" w:rsidRDefault="001D06AA">
      <w:pPr>
        <w:pStyle w:val="FootnoteText"/>
      </w:pPr>
      <w:r>
        <w:rPr>
          <w:rStyle w:val="FootnoteReference"/>
        </w:rPr>
        <w:footnoteRef/>
      </w:r>
      <w:r>
        <w:t xml:space="preserve"> </w:t>
      </w:r>
      <w:r>
        <w:tab/>
      </w:r>
      <w:r w:rsidRPr="005158D0">
        <w:t>Anthony</w:t>
      </w:r>
      <w:r w:rsidRPr="001B55FA">
        <w:t xml:space="preserve"> </w:t>
      </w:r>
      <w:r w:rsidRPr="005158D0">
        <w:t xml:space="preserve">O’Brien and Katey Thom, ‘Police use of TASER devices in mental health emergencies: A review’ (2014) 37 </w:t>
      </w:r>
      <w:r w:rsidRPr="005158D0">
        <w:rPr>
          <w:i/>
        </w:rPr>
        <w:t xml:space="preserve">International Journal of Law and Psychiatry </w:t>
      </w:r>
      <w:r w:rsidRPr="005158D0">
        <w:t>420.</w:t>
      </w:r>
    </w:p>
  </w:footnote>
  <w:footnote w:id="51">
    <w:p w14:paraId="01DB28BA" w14:textId="7D169892"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 424.</w:t>
      </w:r>
    </w:p>
  </w:footnote>
  <w:footnote w:id="52">
    <w:p w14:paraId="4FB61833" w14:textId="25A807D8" w:rsidR="001D06AA" w:rsidRPr="005158D0" w:rsidRDefault="001D06AA" w:rsidP="00396190">
      <w:pPr>
        <w:pStyle w:val="FootnoteText"/>
      </w:pPr>
      <w:r w:rsidRPr="005158D0">
        <w:rPr>
          <w:rStyle w:val="FootnoteReference"/>
          <w:rFonts w:cs="Times New Roman"/>
        </w:rPr>
        <w:footnoteRef/>
      </w:r>
      <w:r w:rsidRPr="005158D0">
        <w:t xml:space="preserve"> </w:t>
      </w:r>
      <w:r>
        <w:tab/>
        <w:t>Ibid</w:t>
      </w:r>
      <w:r w:rsidRPr="005158D0">
        <w:t>.</w:t>
      </w:r>
    </w:p>
  </w:footnote>
  <w:footnote w:id="53">
    <w:p w14:paraId="17CB31F3" w14:textId="31842F8F"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Australian Cross Disability Alliance</w:t>
      </w:r>
      <w:r w:rsidRPr="005158D0">
        <w:t>,</w:t>
      </w:r>
      <w:r>
        <w:t xml:space="preserve"> above n</w:t>
      </w:r>
      <w:r>
        <w:fldChar w:fldCharType="begin"/>
      </w:r>
      <w:r>
        <w:instrText xml:space="preserve"> NOTEREF _Ref514501841 \h </w:instrText>
      </w:r>
      <w:r>
        <w:fldChar w:fldCharType="separate"/>
      </w:r>
      <w:r w:rsidR="00DE614F">
        <w:t>15</w:t>
      </w:r>
      <w:r>
        <w:fldChar w:fldCharType="end"/>
      </w:r>
      <w:r w:rsidRPr="005158D0">
        <w:t>.</w:t>
      </w:r>
    </w:p>
  </w:footnote>
  <w:footnote w:id="54">
    <w:p w14:paraId="69480474" w14:textId="0E7F71D3"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Dowse</w:t>
      </w:r>
      <w:r>
        <w:t xml:space="preserve"> et al</w:t>
      </w:r>
      <w:r w:rsidRPr="005158D0">
        <w:t>,</w:t>
      </w:r>
      <w:r>
        <w:t xml:space="preserve"> above n</w:t>
      </w:r>
      <w:r>
        <w:fldChar w:fldCharType="begin"/>
      </w:r>
      <w:r>
        <w:instrText xml:space="preserve"> NOTEREF _Ref514486331 \h </w:instrText>
      </w:r>
      <w:r>
        <w:fldChar w:fldCharType="separate"/>
      </w:r>
      <w:r w:rsidR="00DE614F">
        <w:t>42</w:t>
      </w:r>
      <w:r>
        <w:fldChar w:fldCharType="end"/>
      </w:r>
      <w:r w:rsidRPr="005158D0">
        <w:t>.</w:t>
      </w:r>
    </w:p>
  </w:footnote>
  <w:footnote w:id="55">
    <w:p w14:paraId="0ADFB36E" w14:textId="504D3BE1"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Tasmania Law Reform Institute, </w:t>
      </w:r>
      <w:r w:rsidRPr="005158D0">
        <w:rPr>
          <w:i/>
          <w:iCs/>
        </w:rPr>
        <w:t xml:space="preserve">Facilitating Equal Access to Justice: An Intermediary/Communication Assistant Scheme for Tasmania, </w:t>
      </w:r>
      <w:r w:rsidRPr="00F55CAB">
        <w:rPr>
          <w:i/>
        </w:rPr>
        <w:t>Issues Paper No 22</w:t>
      </w:r>
      <w:r w:rsidRPr="005158D0">
        <w:t xml:space="preserve"> (</w:t>
      </w:r>
      <w:r>
        <w:t>Tasmanian Law Reform Institute,</w:t>
      </w:r>
      <w:r w:rsidRPr="005158D0">
        <w:t xml:space="preserve"> 2016). See also</w:t>
      </w:r>
      <w:r>
        <w:t>,</w:t>
      </w:r>
      <w:r w:rsidRPr="005158D0">
        <w:t xml:space="preserve"> </w:t>
      </w:r>
      <w:r>
        <w:t>Eileen</w:t>
      </w:r>
      <w:r w:rsidRPr="00F55CAB">
        <w:t xml:space="preserve"> </w:t>
      </w:r>
      <w:r w:rsidRPr="005158D0">
        <w:t>Baldry</w:t>
      </w:r>
      <w:r>
        <w:t>, Melissa Clarence, Leanne Dowse, and Julian Troller,</w:t>
      </w:r>
      <w:r w:rsidRPr="005158D0">
        <w:t xml:space="preserve"> ‘Reducing vulnerability to harm in adults with cognitive disabilities in the Australian criminal justice system.’ (2013) 10(3) </w:t>
      </w:r>
      <w:r w:rsidRPr="005158D0">
        <w:rPr>
          <w:i/>
          <w:iCs/>
        </w:rPr>
        <w:t>Journal of Policy and Practice in Intellectual Disabilities</w:t>
      </w:r>
      <w:r w:rsidRPr="005158D0">
        <w:t xml:space="preserve"> 222; Hepner</w:t>
      </w:r>
      <w:r>
        <w:t xml:space="preserve"> et al, above n</w:t>
      </w:r>
      <w:r>
        <w:fldChar w:fldCharType="begin"/>
      </w:r>
      <w:r>
        <w:instrText xml:space="preserve"> NOTEREF _Ref514484223 \h </w:instrText>
      </w:r>
      <w:r>
        <w:fldChar w:fldCharType="separate"/>
      </w:r>
      <w:r w:rsidR="00DE614F">
        <w:t>39</w:t>
      </w:r>
      <w:r>
        <w:fldChar w:fldCharType="end"/>
      </w:r>
      <w:r w:rsidRPr="005158D0">
        <w:t>.</w:t>
      </w:r>
    </w:p>
  </w:footnote>
  <w:footnote w:id="56">
    <w:p w14:paraId="42F33BE8" w14:textId="7FFFF06B"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 xml:space="preserve">Tasmania Law Reform Institute, </w:t>
      </w:r>
      <w:r>
        <w:t>above n</w:t>
      </w:r>
      <w:r>
        <w:fldChar w:fldCharType="begin"/>
      </w:r>
      <w:r>
        <w:instrText xml:space="preserve"> NOTEREF _Ref514486449 \h </w:instrText>
      </w:r>
      <w:r>
        <w:fldChar w:fldCharType="separate"/>
      </w:r>
      <w:r w:rsidR="00DE614F">
        <w:t>55</w:t>
      </w:r>
      <w:r>
        <w:fldChar w:fldCharType="end"/>
      </w:r>
      <w:r>
        <w:t xml:space="preserve">; </w:t>
      </w:r>
      <w:r w:rsidRPr="005158D0">
        <w:t xml:space="preserve">Baldry et al, </w:t>
      </w:r>
      <w:r>
        <w:t>above n</w:t>
      </w:r>
      <w:r>
        <w:fldChar w:fldCharType="begin"/>
      </w:r>
      <w:r>
        <w:instrText xml:space="preserve"> NOTEREF _Ref514486449 \h </w:instrText>
      </w:r>
      <w:r>
        <w:fldChar w:fldCharType="separate"/>
      </w:r>
      <w:r w:rsidR="00DE614F">
        <w:t>55</w:t>
      </w:r>
      <w:r>
        <w:fldChar w:fldCharType="end"/>
      </w:r>
      <w:r w:rsidRPr="005158D0">
        <w:rPr>
          <w:lang w:val="en-US"/>
        </w:rPr>
        <w:t>; Eileen</w:t>
      </w:r>
      <w:r w:rsidRPr="002B31E3">
        <w:rPr>
          <w:lang w:val="en-US"/>
        </w:rPr>
        <w:t xml:space="preserve"> </w:t>
      </w:r>
      <w:r>
        <w:rPr>
          <w:lang w:val="en-US"/>
        </w:rPr>
        <w:t>Baldry,</w:t>
      </w:r>
      <w:r w:rsidRPr="005158D0">
        <w:rPr>
          <w:lang w:val="en-US"/>
        </w:rPr>
        <w:t xml:space="preserve"> ‘Disability at the margins: Limits of the Law’ (2014) 23(3) </w:t>
      </w:r>
      <w:r w:rsidRPr="005158D0">
        <w:rPr>
          <w:i/>
          <w:iCs/>
          <w:lang w:val="en-US"/>
        </w:rPr>
        <w:t>Griffith Law Review</w:t>
      </w:r>
      <w:r w:rsidRPr="005158D0">
        <w:rPr>
          <w:lang w:val="en-US"/>
        </w:rPr>
        <w:t xml:space="preserve"> 370; </w:t>
      </w:r>
      <w:r w:rsidRPr="005158D0">
        <w:t xml:space="preserve">Gooding et al, </w:t>
      </w:r>
      <w:r>
        <w:t>above n</w:t>
      </w:r>
      <w:r>
        <w:fldChar w:fldCharType="begin"/>
      </w:r>
      <w:r>
        <w:instrText xml:space="preserve"> NOTEREF _Ref514435768 \h </w:instrText>
      </w:r>
      <w:r>
        <w:fldChar w:fldCharType="separate"/>
      </w:r>
      <w:r w:rsidR="00DE614F">
        <w:t>9</w:t>
      </w:r>
      <w:r>
        <w:fldChar w:fldCharType="end"/>
      </w:r>
      <w:r w:rsidRPr="005158D0">
        <w:t>.</w:t>
      </w:r>
    </w:p>
  </w:footnote>
  <w:footnote w:id="57">
    <w:p w14:paraId="084E0EEC" w14:textId="73D3B3CF" w:rsidR="001D06AA" w:rsidRPr="005158D0" w:rsidRDefault="001D06AA" w:rsidP="00396190">
      <w:pPr>
        <w:pStyle w:val="FootnoteText"/>
      </w:pPr>
      <w:r w:rsidRPr="005158D0">
        <w:rPr>
          <w:rStyle w:val="FootnoteReference"/>
          <w:rFonts w:cs="Times New Roman"/>
        </w:rPr>
        <w:footnoteRef/>
      </w:r>
      <w:r w:rsidRPr="005158D0">
        <w:t xml:space="preserve"> </w:t>
      </w:r>
      <w:r>
        <w:tab/>
        <w:t>See, eg</w:t>
      </w:r>
      <w:r w:rsidRPr="005158D0">
        <w:t xml:space="preserve">, the Children’s Champions Pilot in NSW and the use of Communication Partners in SA discussed in the Tasmania Law Reform Institute Issues Paper; Tasmania Law Reform Institute, </w:t>
      </w:r>
      <w:r>
        <w:t>above n</w:t>
      </w:r>
      <w:r>
        <w:fldChar w:fldCharType="begin"/>
      </w:r>
      <w:r>
        <w:instrText xml:space="preserve"> NOTEREF _Ref514486449 \h </w:instrText>
      </w:r>
      <w:r>
        <w:fldChar w:fldCharType="separate"/>
      </w:r>
      <w:r w:rsidR="00DE614F">
        <w:t>55</w:t>
      </w:r>
      <w:r>
        <w:fldChar w:fldCharType="end"/>
      </w:r>
      <w:r w:rsidRPr="005158D0">
        <w:t xml:space="preserve">. At the time of writing this paper the </w:t>
      </w:r>
      <w:hyperlink r:id="rId19" w:history="1">
        <w:r w:rsidRPr="002B31E3">
          <w:rPr>
            <w:rStyle w:val="Hyperlink"/>
          </w:rPr>
          <w:t>Victorian Government had announced funding</w:t>
        </w:r>
      </w:hyperlink>
      <w:r w:rsidRPr="005158D0">
        <w:t xml:space="preserve"> for an Intermediary Pilot scheme in the Victorian County and Supreme Courts but further details regarding th</w:t>
      </w:r>
      <w:r>
        <w:t xml:space="preserve">e pilot are yet to </w:t>
      </w:r>
      <w:r w:rsidRPr="002B31E3">
        <w:t>be released &lt;</w:t>
      </w:r>
      <w:hyperlink r:id="rId20" w:history="1">
        <w:r w:rsidRPr="002B31E3">
          <w:rPr>
            <w:rStyle w:val="Hyperlink"/>
            <w:rFonts w:cs="Times New Roman"/>
            <w:color w:val="auto"/>
            <w:u w:val="none"/>
            <w:lang w:val="en-US"/>
          </w:rPr>
          <w:t>http://www.premier.vic.gov.au/supporting-victims-of-crime-in-the-justice-system/</w:t>
        </w:r>
      </w:hyperlink>
      <w:r w:rsidRPr="002B31E3">
        <w:rPr>
          <w:rStyle w:val="Hyperlink"/>
          <w:rFonts w:cs="Times New Roman"/>
          <w:color w:val="auto"/>
          <w:u w:val="none"/>
          <w:lang w:val="en-US"/>
        </w:rPr>
        <w:t>&gt;</w:t>
      </w:r>
      <w:r w:rsidRPr="002B31E3">
        <w:t>.</w:t>
      </w:r>
    </w:p>
  </w:footnote>
  <w:footnote w:id="58">
    <w:p w14:paraId="359F2CD5" w14:textId="58D0D881"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Victorian Law Reform Commission, </w:t>
      </w:r>
      <w:r w:rsidRPr="00F904FA">
        <w:t>above n</w:t>
      </w:r>
      <w:r w:rsidRPr="00F904FA">
        <w:fldChar w:fldCharType="begin"/>
      </w:r>
      <w:r w:rsidRPr="00F904FA">
        <w:instrText xml:space="preserve"> NOTEREF _Ref514486785 \h </w:instrText>
      </w:r>
      <w:r>
        <w:instrText xml:space="preserve"> \* MERGEFORMAT </w:instrText>
      </w:r>
      <w:r w:rsidRPr="00F904FA">
        <w:fldChar w:fldCharType="separate"/>
      </w:r>
      <w:r w:rsidR="00DE614F">
        <w:t>33</w:t>
      </w:r>
      <w:r w:rsidRPr="00F904FA">
        <w:fldChar w:fldCharType="end"/>
      </w:r>
      <w:r>
        <w:t>,</w:t>
      </w:r>
      <w:r w:rsidRPr="005158D0">
        <w:t xml:space="preserve"> [3.14]</w:t>
      </w:r>
      <w:r>
        <w:t>–</w:t>
      </w:r>
      <w:r w:rsidRPr="005158D0">
        <w:t>[3.126].</w:t>
      </w:r>
    </w:p>
  </w:footnote>
  <w:footnote w:id="59">
    <w:p w14:paraId="3687AA97" w14:textId="24B004D6"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See Rebecca</w:t>
      </w:r>
      <w:r w:rsidRPr="005512CC">
        <w:t xml:space="preserve"> </w:t>
      </w:r>
      <w:r w:rsidRPr="005158D0">
        <w:t>Milne</w:t>
      </w:r>
      <w:r>
        <w:t>, Stefanie J Sharman, Martine B Powell and Sarah Mead,</w:t>
      </w:r>
      <w:r w:rsidRPr="005158D0">
        <w:t xml:space="preserve"> ‘Assessing the effectiveness of cognitive interview for children with severe intellectual disabilities’ (2013) 60 </w:t>
      </w:r>
      <w:r w:rsidRPr="005158D0">
        <w:rPr>
          <w:i/>
        </w:rPr>
        <w:t>International Journal of Disability, Development and Education</w:t>
      </w:r>
      <w:r w:rsidRPr="005158D0">
        <w:t xml:space="preserve"> 18.</w:t>
      </w:r>
    </w:p>
  </w:footnote>
  <w:footnote w:id="60">
    <w:p w14:paraId="0DA83A13" w14:textId="2B727192"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Such as in South Australia, New South Wales and the upcoming Victorian Intermediaries Pilot.</w:t>
      </w:r>
    </w:p>
  </w:footnote>
  <w:footnote w:id="61">
    <w:p w14:paraId="09C8AEDE" w14:textId="052A0D75" w:rsidR="001D06AA" w:rsidRPr="005158D0" w:rsidRDefault="001D06AA" w:rsidP="00396190">
      <w:pPr>
        <w:pStyle w:val="FootnoteText"/>
      </w:pPr>
      <w:r w:rsidRPr="00483A47">
        <w:rPr>
          <w:rStyle w:val="FootnoteReference"/>
          <w:rFonts w:cs="Times New Roman"/>
        </w:rPr>
        <w:footnoteRef/>
      </w:r>
      <w:r w:rsidRPr="00483A47">
        <w:t xml:space="preserve"> </w:t>
      </w:r>
      <w:r w:rsidRPr="00483A47">
        <w:tab/>
        <w:t xml:space="preserve">See, eg, but not limited to the findings and recommendations of the Royal Commission into Institutional Responses to Child Sexual Abuse, </w:t>
      </w:r>
      <w:r w:rsidRPr="00483A47">
        <w:rPr>
          <w:i/>
        </w:rPr>
        <w:t>Final Report:</w:t>
      </w:r>
      <w:r w:rsidRPr="00483A47">
        <w:t xml:space="preserve"> </w:t>
      </w:r>
      <w:r w:rsidRPr="00483A47">
        <w:rPr>
          <w:i/>
        </w:rPr>
        <w:t>Our Inquiry</w:t>
      </w:r>
      <w:r w:rsidRPr="00483A47">
        <w:t xml:space="preserve"> (Royal</w:t>
      </w:r>
      <w:r w:rsidRPr="00483A47">
        <w:rPr>
          <w:i/>
        </w:rPr>
        <w:t xml:space="preserve"> </w:t>
      </w:r>
      <w:r w:rsidRPr="00483A47">
        <w:t xml:space="preserve">Commission into Institutional Responses to Child Sexual Abuse, 2017); Australian Human Rights Commission, </w:t>
      </w:r>
      <w:r w:rsidRPr="00483A47">
        <w:rPr>
          <w:i/>
        </w:rPr>
        <w:t xml:space="preserve">Equal Before the Law Report </w:t>
      </w:r>
      <w:r w:rsidRPr="00483A47">
        <w:t xml:space="preserve">(Australian Human Rights Commission, 2014); Australian Law Reform Commission, </w:t>
      </w:r>
      <w:r w:rsidRPr="00483A47">
        <w:rPr>
          <w:i/>
        </w:rPr>
        <w:t>Report</w:t>
      </w:r>
      <w:r w:rsidRPr="005B3542">
        <w:rPr>
          <w:i/>
        </w:rPr>
        <w:t xml:space="preserve"> into Equality, Capacity and Disability in Commonwealth Laws</w:t>
      </w:r>
      <w:r w:rsidRPr="005B3542">
        <w:t xml:space="preserve"> (Australian Law Reform Commission, 2014)</w:t>
      </w:r>
      <w:r>
        <w:t xml:space="preserve">; </w:t>
      </w:r>
      <w:r w:rsidRPr="005B3542">
        <w:t xml:space="preserve">Victorian Law Reform Commission, </w:t>
      </w:r>
      <w:r w:rsidRPr="005B3542">
        <w:rPr>
          <w:i/>
        </w:rPr>
        <w:t>Report on the Role of Crime in the Criminal Trial Process</w:t>
      </w:r>
      <w:r w:rsidRPr="005B3542">
        <w:t xml:space="preserve"> (Victorian Law Reform Commission, 2014)</w:t>
      </w:r>
      <w:r>
        <w:t xml:space="preserve">; </w:t>
      </w:r>
      <w:r w:rsidRPr="00074F62">
        <w:t xml:space="preserve">Victorian Equal Opportunity and Human Rights Commission, </w:t>
      </w:r>
      <w:r w:rsidRPr="00074F62">
        <w:rPr>
          <w:i/>
        </w:rPr>
        <w:t xml:space="preserve">Beyond Doubt: The experiences of people with disabilities reporting crime – research findings </w:t>
      </w:r>
      <w:r w:rsidRPr="00074F62">
        <w:t>(Victorian Equal Opportunity and Human Rights Commission, 2014)</w:t>
      </w:r>
      <w:r>
        <w:t xml:space="preserve">; </w:t>
      </w:r>
      <w:r w:rsidRPr="00696C66">
        <w:t xml:space="preserve">Family and Community Development Committee, Parliament of Victoria, </w:t>
      </w:r>
      <w:r w:rsidRPr="00696C66">
        <w:rPr>
          <w:i/>
        </w:rPr>
        <w:t xml:space="preserve">Inquiry into abuse in disability services Final Report </w:t>
      </w:r>
      <w:r>
        <w:t xml:space="preserve">(2014); </w:t>
      </w:r>
      <w:r w:rsidRPr="00DF38AF">
        <w:t xml:space="preserve">Senate Community Affairs Reference Committee, Parliament of Australia, </w:t>
      </w:r>
      <w:r w:rsidRPr="00DF38AF">
        <w:rPr>
          <w:i/>
        </w:rPr>
        <w:t>Indefinite Detention of People with Cognitive and Psychiatric Impairment in Australia: Final Report</w:t>
      </w:r>
      <w:r w:rsidRPr="00DF38AF">
        <w:t xml:space="preserve"> (2016)</w:t>
      </w:r>
      <w:r>
        <w:t xml:space="preserve">; </w:t>
      </w:r>
      <w:r w:rsidRPr="00F31802">
        <w:t xml:space="preserve">Australian Law Reform Commission </w:t>
      </w:r>
      <w:r w:rsidRPr="00F31802">
        <w:rPr>
          <w:i/>
        </w:rPr>
        <w:t>Equality, Capacity and Disability in Commonwealth Laws, Final Report</w:t>
      </w:r>
      <w:r w:rsidRPr="00F31802">
        <w:t xml:space="preserve"> (Australian Law Reform Commission, 2016)</w:t>
      </w:r>
      <w:r>
        <w:t xml:space="preserve">; </w:t>
      </w:r>
      <w:r w:rsidRPr="00BE0DD9">
        <w:t xml:space="preserve">Senate Community Affairs References Committee, Parliament of Australia, </w:t>
      </w:r>
      <w:r w:rsidRPr="00BE0DD9">
        <w:rPr>
          <w:i/>
        </w:rPr>
        <w:t>Violence, abuse and neglect against people with disability in institutional and residential settings, including the gender and age related dimensions, and the particular situation of Aboriginal and Torres Strait Islander people with disability, and culturally and</w:t>
      </w:r>
      <w:r>
        <w:rPr>
          <w:i/>
        </w:rPr>
        <w:t xml:space="preserve"> </w:t>
      </w:r>
      <w:r w:rsidRPr="00BE0DD9">
        <w:rPr>
          <w:i/>
        </w:rPr>
        <w:t>linguistically diverse people with disability</w:t>
      </w:r>
      <w:r w:rsidRPr="00BE0DD9">
        <w:t xml:space="preserve"> (2015</w:t>
      </w:r>
      <w:r w:rsidRPr="007413F6">
        <w:t>).</w:t>
      </w:r>
      <w:r w:rsidRPr="005158D0">
        <w:t xml:space="preserve"> </w:t>
      </w:r>
    </w:p>
  </w:footnote>
  <w:footnote w:id="62">
    <w:p w14:paraId="72E92475" w14:textId="62DB2CC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Leanne</w:t>
      </w:r>
      <w:r w:rsidRPr="00AA0AC2">
        <w:t xml:space="preserve"> </w:t>
      </w:r>
      <w:r w:rsidRPr="005158D0">
        <w:t>Dowse</w:t>
      </w:r>
      <w:r>
        <w:t>, Karen Soldatic, Carolyn Frohmader and Georgia van Toorn</w:t>
      </w:r>
      <w:r w:rsidRPr="005158D0">
        <w:t xml:space="preserve">, </w:t>
      </w:r>
      <w:r w:rsidRPr="005158D0">
        <w:rPr>
          <w:i/>
        </w:rPr>
        <w:t>Stop the Violence: Addressing Violence Against Women and Girls with Disabilities in Australia</w:t>
      </w:r>
      <w:r w:rsidRPr="005158D0">
        <w:t xml:space="preserve">, </w:t>
      </w:r>
      <w:r w:rsidRPr="00310756">
        <w:rPr>
          <w:i/>
        </w:rPr>
        <w:t>Background Paper</w:t>
      </w:r>
      <w:r w:rsidRPr="005158D0">
        <w:t xml:space="preserve"> </w:t>
      </w:r>
      <w:r>
        <w:t>(</w:t>
      </w:r>
      <w:r w:rsidRPr="005158D0">
        <w:t>Women with Disabilities Australia</w:t>
      </w:r>
      <w:r>
        <w:t xml:space="preserve">, </w:t>
      </w:r>
      <w:r w:rsidRPr="005158D0">
        <w:t xml:space="preserve">2013); </w:t>
      </w:r>
      <w:r w:rsidRPr="00F83BBB">
        <w:t>Dowse et al, above n</w:t>
      </w:r>
      <w:r w:rsidRPr="00F83BBB">
        <w:fldChar w:fldCharType="begin"/>
      </w:r>
      <w:r w:rsidRPr="00F83BBB">
        <w:instrText xml:space="preserve"> NOTEREF _Ref514486331 \h  \* MERGEFORMAT </w:instrText>
      </w:r>
      <w:r w:rsidRPr="00F83BBB">
        <w:fldChar w:fldCharType="separate"/>
      </w:r>
      <w:r w:rsidR="00DE614F">
        <w:t>42</w:t>
      </w:r>
      <w:r w:rsidRPr="00F83BBB">
        <w:fldChar w:fldCharType="end"/>
      </w:r>
      <w:r w:rsidRPr="00F83BBB">
        <w:t>;</w:t>
      </w:r>
      <w:r w:rsidRPr="005158D0">
        <w:t xml:space="preserve"> Lucy</w:t>
      </w:r>
      <w:r w:rsidRPr="004E5522">
        <w:t xml:space="preserve"> </w:t>
      </w:r>
      <w:r>
        <w:t>Healey,</w:t>
      </w:r>
      <w:r w:rsidRPr="005158D0">
        <w:t xml:space="preserve"> </w:t>
      </w:r>
      <w:r w:rsidRPr="00310756">
        <w:rPr>
          <w:i/>
        </w:rPr>
        <w:t>Voices Against violence: Paper 2: Current issues in understanding and responding to violence against women with disabilitie</w:t>
      </w:r>
      <w:r>
        <w:rPr>
          <w:i/>
        </w:rPr>
        <w:t>s</w:t>
      </w:r>
      <w:r w:rsidRPr="005158D0">
        <w:t> </w:t>
      </w:r>
      <w:r w:rsidRPr="00310756">
        <w:t>(</w:t>
      </w:r>
      <w:r w:rsidRPr="00310756">
        <w:rPr>
          <w:iCs/>
        </w:rPr>
        <w:t>Women with Disabilities Victoria, Office of the Public Advocate and</w:t>
      </w:r>
      <w:r>
        <w:rPr>
          <w:iCs/>
        </w:rPr>
        <w:t xml:space="preserve"> </w:t>
      </w:r>
      <w:r w:rsidRPr="005158D0">
        <w:rPr>
          <w:iCs/>
        </w:rPr>
        <w:t>Domestic Violence Resource Centre Victoria</w:t>
      </w:r>
      <w:r>
        <w:rPr>
          <w:iCs/>
        </w:rPr>
        <w:t>,</w:t>
      </w:r>
      <w:r w:rsidRPr="005158D0">
        <w:t xml:space="preserve"> 2013).</w:t>
      </w:r>
    </w:p>
  </w:footnote>
  <w:footnote w:id="63">
    <w:p w14:paraId="752883FA" w14:textId="5558EF89" w:rsidR="001D06AA" w:rsidRPr="005158D0" w:rsidRDefault="001D06AA" w:rsidP="00396190">
      <w:pPr>
        <w:pStyle w:val="FootnoteText"/>
      </w:pPr>
      <w:r w:rsidRPr="004E5522">
        <w:rPr>
          <w:rStyle w:val="FootnoteReference"/>
          <w:rFonts w:cs="Times New Roman"/>
        </w:rPr>
        <w:footnoteRef/>
      </w:r>
      <w:r w:rsidRPr="004E5522">
        <w:t xml:space="preserve"> </w:t>
      </w:r>
      <w:r w:rsidRPr="004E5522">
        <w:tab/>
        <w:t xml:space="preserve">At the time of writing this paper the reports on the RMIT Centre for Innovative Justice project on Acquired Brain Injury in the Justice System, and the Unfitness to Plead project led by the University of Melbourne and the University of New South Wales were not yet released. Both of these projects will provide additional examples of participatory research. </w:t>
      </w:r>
      <w:hyperlink r:id="rId21" w:history="1">
        <w:r w:rsidRPr="004E5522">
          <w:rPr>
            <w:rStyle w:val="Hyperlink"/>
          </w:rPr>
          <w:t>See further the RMIT Consultation paper on the project</w:t>
        </w:r>
      </w:hyperlink>
      <w:r w:rsidRPr="004E5522">
        <w:t xml:space="preserve"> at &lt;</w:t>
      </w:r>
      <w:hyperlink r:id="rId22" w:history="1">
        <w:r w:rsidRPr="004E5522">
          <w:rPr>
            <w:rStyle w:val="Hyperlink"/>
            <w:rFonts w:cs="Times New Roman"/>
            <w:color w:val="auto"/>
            <w:u w:val="none"/>
            <w:lang w:val="en-US"/>
          </w:rPr>
          <w:t>http://mams.rmit.edu.au/1079myx32meyz.pdf</w:t>
        </w:r>
      </w:hyperlink>
      <w:r w:rsidRPr="004E5522">
        <w:rPr>
          <w:rStyle w:val="Hyperlink"/>
          <w:rFonts w:cs="Times New Roman"/>
          <w:color w:val="auto"/>
          <w:u w:val="none"/>
          <w:lang w:val="en-US"/>
        </w:rPr>
        <w:t>&gt;</w:t>
      </w:r>
      <w:r w:rsidRPr="004E5522">
        <w:t xml:space="preserve"> and </w:t>
      </w:r>
      <w:hyperlink r:id="rId23" w:history="1">
        <w:r w:rsidRPr="004E5522">
          <w:rPr>
            <w:rStyle w:val="Hyperlink"/>
          </w:rPr>
          <w:t>a description of the Unfitness Project</w:t>
        </w:r>
      </w:hyperlink>
      <w:r w:rsidRPr="004E5522">
        <w:t xml:space="preserve"> at &lt;</w:t>
      </w:r>
      <w:hyperlink r:id="rId24" w:history="1">
        <w:r w:rsidRPr="004E5522">
          <w:rPr>
            <w:rStyle w:val="Hyperlink"/>
            <w:rFonts w:cs="Times New Roman"/>
            <w:color w:val="auto"/>
            <w:u w:val="none"/>
            <w:lang w:val="en-US"/>
          </w:rPr>
          <w:t>http://socialequity.unimelb.edu.au/research/projects/disability-and-mental-health/unfitness-to-plead</w:t>
        </w:r>
      </w:hyperlink>
      <w:r w:rsidRPr="004E5522">
        <w:rPr>
          <w:rStyle w:val="Hyperlink"/>
          <w:rFonts w:cs="Times New Roman"/>
          <w:color w:val="auto"/>
          <w:u w:val="none"/>
          <w:lang w:val="en-US"/>
        </w:rPr>
        <w:t>&gt;</w:t>
      </w:r>
      <w:r w:rsidRPr="004E5522">
        <w:t>.</w:t>
      </w:r>
      <w:r w:rsidRPr="005158D0">
        <w:t xml:space="preserve"> </w:t>
      </w:r>
    </w:p>
  </w:footnote>
  <w:footnote w:id="64">
    <w:p w14:paraId="2E5C082E" w14:textId="6C5D89A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Tiho</w:t>
      </w:r>
      <w:r w:rsidRPr="00026400">
        <w:t xml:space="preserve"> </w:t>
      </w:r>
      <w:r>
        <w:t>Mijatov,</w:t>
      </w:r>
      <w:r w:rsidRPr="005158D0">
        <w:t xml:space="preserve"> Tom Barraclough and Warren Forster, ‘The Idea of Access to Justice: Reflections on New Zealand’s Motor Vehicle Accident Compensation (Or Personal Injury) System, (2016) 33 </w:t>
      </w:r>
      <w:r w:rsidRPr="005158D0">
        <w:rPr>
          <w:i/>
        </w:rPr>
        <w:t xml:space="preserve">Windsor Yearbook of Access to Justice </w:t>
      </w:r>
      <w:r w:rsidRPr="005158D0">
        <w:t>197.</w:t>
      </w:r>
    </w:p>
  </w:footnote>
  <w:footnote w:id="65">
    <w:p w14:paraId="1BB29804" w14:textId="46FD0060"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w:t>
      </w:r>
    </w:p>
  </w:footnote>
  <w:footnote w:id="66">
    <w:p w14:paraId="279177D0" w14:textId="13FA5CD7" w:rsidR="001D06AA" w:rsidRDefault="001D06AA">
      <w:pPr>
        <w:pStyle w:val="FootnoteText"/>
      </w:pPr>
      <w:r>
        <w:rPr>
          <w:rStyle w:val="FootnoteReference"/>
        </w:rPr>
        <w:footnoteRef/>
      </w:r>
      <w:r>
        <w:t xml:space="preserve"> </w:t>
      </w:r>
      <w:r>
        <w:tab/>
      </w:r>
      <w:r w:rsidRPr="005158D0">
        <w:t>Jennifer</w:t>
      </w:r>
      <w:r w:rsidRPr="00026400">
        <w:t xml:space="preserve"> </w:t>
      </w:r>
      <w:r>
        <w:t>Moore,</w:t>
      </w:r>
      <w:r w:rsidRPr="005158D0">
        <w:t xml:space="preserve"> Donna Buckingham and Kate Diesfeld, ‘Disciplinary Tribunal Cases Involving New Zealand Lawyers with Physical or Mental Impairment, 2009-2013’ (2015) 22(5)</w:t>
      </w:r>
      <w:r w:rsidRPr="005158D0">
        <w:rPr>
          <w:i/>
        </w:rPr>
        <w:t xml:space="preserve"> Psychiatry, Psychology and Law </w:t>
      </w:r>
      <w:r w:rsidRPr="005158D0">
        <w:t>649, 667.</w:t>
      </w:r>
    </w:p>
  </w:footnote>
  <w:footnote w:id="67">
    <w:p w14:paraId="6CE62BCA" w14:textId="4F151479"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Douglas and Harpur, </w:t>
      </w:r>
      <w:r>
        <w:t>above n</w:t>
      </w:r>
      <w:r>
        <w:fldChar w:fldCharType="begin"/>
      </w:r>
      <w:r>
        <w:instrText xml:space="preserve"> NOTEREF _Ref514435697 \h </w:instrText>
      </w:r>
      <w:r>
        <w:fldChar w:fldCharType="separate"/>
      </w:r>
      <w:r w:rsidR="00DE614F">
        <w:t>17</w:t>
      </w:r>
      <w:r>
        <w:fldChar w:fldCharType="end"/>
      </w:r>
      <w:r>
        <w:t>.</w:t>
      </w:r>
    </w:p>
  </w:footnote>
  <w:footnote w:id="68">
    <w:p w14:paraId="5D199F34" w14:textId="6F6DD55D" w:rsidR="001D06AA" w:rsidRDefault="001D06AA">
      <w:pPr>
        <w:pStyle w:val="FootnoteText"/>
      </w:pPr>
      <w:r>
        <w:rPr>
          <w:rStyle w:val="FootnoteReference"/>
        </w:rPr>
        <w:footnoteRef/>
      </w:r>
      <w:r>
        <w:t xml:space="preserve"> </w:t>
      </w:r>
      <w:r>
        <w:tab/>
      </w:r>
      <w:r w:rsidRPr="005158D0">
        <w:t>Rachel</w:t>
      </w:r>
      <w:r w:rsidRPr="00026400">
        <w:t xml:space="preserve"> </w:t>
      </w:r>
      <w:r w:rsidRPr="005158D0">
        <w:t>Hale</w:t>
      </w:r>
      <w:r>
        <w:t>, Bernadette McSherry, Jeannie Paterson, Lisa Brophy and Anna Arstein-Kerslake</w:t>
      </w:r>
      <w:r w:rsidRPr="005158D0">
        <w:t xml:space="preserve">, </w:t>
      </w:r>
      <w:hyperlink r:id="rId25" w:history="1">
        <w:r w:rsidRPr="00026400">
          <w:rPr>
            <w:rStyle w:val="Hyperlink"/>
            <w:i/>
          </w:rPr>
          <w:t>Consumer Transactions: Equitable Support Models for Individuals with Decision-making Impairments: A pilot study</w:t>
        </w:r>
      </w:hyperlink>
      <w:r>
        <w:t xml:space="preserve"> (University of Melbourne,</w:t>
      </w:r>
      <w:r w:rsidRPr="005158D0">
        <w:t xml:space="preserve"> 2017) </w:t>
      </w:r>
      <w:r w:rsidRPr="00026400">
        <w:t>&lt;</w:t>
      </w:r>
      <w:hyperlink r:id="rId26" w:history="1">
        <w:r w:rsidRPr="00026400">
          <w:rPr>
            <w:rStyle w:val="Hyperlink"/>
            <w:color w:val="auto"/>
            <w:u w:val="none"/>
          </w:rPr>
          <w:t>http://socialequity.unimelb.edu.au/__data/assets/pdf_file/0007/2277520/Consumer-Transactions-Pilot-Study.pdf</w:t>
        </w:r>
      </w:hyperlink>
      <w:r w:rsidRPr="00026400">
        <w:rPr>
          <w:rStyle w:val="Hyperlink"/>
          <w:color w:val="auto"/>
          <w:u w:val="none"/>
        </w:rPr>
        <w:t>&gt;</w:t>
      </w:r>
      <w:r w:rsidRPr="00026400">
        <w:t>; Maker et al, above n</w:t>
      </w:r>
      <w:r w:rsidRPr="00026400">
        <w:fldChar w:fldCharType="begin"/>
      </w:r>
      <w:r w:rsidRPr="00026400">
        <w:instrText xml:space="preserve"> NOTEREF _Ref514487700 \h </w:instrText>
      </w:r>
      <w:r>
        <w:instrText xml:space="preserve"> \* MERGEFORMAT </w:instrText>
      </w:r>
      <w:r w:rsidRPr="00026400">
        <w:fldChar w:fldCharType="separate"/>
      </w:r>
      <w:r w:rsidR="00DE614F">
        <w:t>29</w:t>
      </w:r>
      <w:r w:rsidRPr="00026400">
        <w:fldChar w:fldCharType="end"/>
      </w:r>
      <w:r w:rsidRPr="00026400">
        <w:t>.</w:t>
      </w:r>
    </w:p>
  </w:footnote>
  <w:footnote w:id="69">
    <w:p w14:paraId="55173F15" w14:textId="4898E063" w:rsidR="001D06AA" w:rsidRDefault="001D06AA">
      <w:pPr>
        <w:pStyle w:val="FootnoteText"/>
      </w:pPr>
      <w:r>
        <w:rPr>
          <w:rStyle w:val="FootnoteReference"/>
        </w:rPr>
        <w:footnoteRef/>
      </w:r>
      <w:r>
        <w:t xml:space="preserve"> </w:t>
      </w:r>
      <w:r>
        <w:tab/>
        <w:t>Ibid.</w:t>
      </w:r>
    </w:p>
  </w:footnote>
  <w:footnote w:id="70">
    <w:p w14:paraId="73ED49A1" w14:textId="34F07C10" w:rsidR="001D06AA" w:rsidRDefault="001D06AA">
      <w:pPr>
        <w:pStyle w:val="FootnoteText"/>
      </w:pPr>
      <w:r>
        <w:rPr>
          <w:rStyle w:val="FootnoteReference"/>
        </w:rPr>
        <w:footnoteRef/>
      </w:r>
      <w:r>
        <w:t xml:space="preserve"> </w:t>
      </w:r>
      <w:r>
        <w:tab/>
      </w:r>
      <w:r w:rsidRPr="005158D0">
        <w:t xml:space="preserve">See, </w:t>
      </w:r>
      <w:r>
        <w:t>eg</w:t>
      </w:r>
      <w:r w:rsidRPr="005158D0">
        <w:t xml:space="preserve">, Cashman and Thomas, </w:t>
      </w:r>
      <w:r>
        <w:t>above n</w:t>
      </w:r>
      <w:r>
        <w:fldChar w:fldCharType="begin"/>
      </w:r>
      <w:r>
        <w:instrText xml:space="preserve"> NOTEREF _Ref514484223 \h </w:instrText>
      </w:r>
      <w:r>
        <w:fldChar w:fldCharType="separate"/>
      </w:r>
      <w:r w:rsidR="00DE614F">
        <w:t>39</w:t>
      </w:r>
      <w:r>
        <w:fldChar w:fldCharType="end"/>
      </w:r>
      <w:r w:rsidRPr="005158D0">
        <w:t>; Spivakovsky and Seear,</w:t>
      </w:r>
      <w:r>
        <w:t xml:space="preserve"> above n</w:t>
      </w:r>
      <w:r>
        <w:fldChar w:fldCharType="begin"/>
      </w:r>
      <w:r>
        <w:instrText xml:space="preserve"> NOTEREF _Ref514484223 \h </w:instrText>
      </w:r>
      <w:r>
        <w:fldChar w:fldCharType="separate"/>
      </w:r>
      <w:r w:rsidR="00DE614F">
        <w:t>39</w:t>
      </w:r>
      <w:r>
        <w:fldChar w:fldCharType="end"/>
      </w:r>
      <w:r w:rsidRPr="005158D0">
        <w:rPr>
          <w:iCs/>
        </w:rPr>
        <w:t xml:space="preserve">; </w:t>
      </w:r>
      <w:r w:rsidRPr="005158D0">
        <w:t xml:space="preserve">Baldry et al, </w:t>
      </w:r>
      <w:r>
        <w:t>above n</w:t>
      </w:r>
      <w:r>
        <w:fldChar w:fldCharType="begin"/>
      </w:r>
      <w:r>
        <w:instrText xml:space="preserve"> NOTEREF _Ref514486449 \h </w:instrText>
      </w:r>
      <w:r>
        <w:fldChar w:fldCharType="separate"/>
      </w:r>
      <w:r w:rsidR="00DE614F">
        <w:t>55</w:t>
      </w:r>
      <w:r>
        <w:fldChar w:fldCharType="end"/>
      </w:r>
      <w:r w:rsidRPr="005158D0">
        <w:t xml:space="preserve">; </w:t>
      </w:r>
      <w:r w:rsidRPr="005158D0">
        <w:rPr>
          <w:lang w:val="en-US"/>
        </w:rPr>
        <w:t>Steele</w:t>
      </w:r>
      <w:r>
        <w:rPr>
          <w:lang w:val="en-US"/>
        </w:rPr>
        <w:t xml:space="preserve"> et al</w:t>
      </w:r>
      <w:r w:rsidRPr="005158D0">
        <w:rPr>
          <w:lang w:val="en-US"/>
        </w:rPr>
        <w:t>,</w:t>
      </w:r>
      <w:r>
        <w:rPr>
          <w:lang w:val="en-US"/>
        </w:rPr>
        <w:t xml:space="preserve"> above n</w:t>
      </w:r>
      <w:r>
        <w:rPr>
          <w:lang w:val="en-US"/>
        </w:rPr>
        <w:fldChar w:fldCharType="begin"/>
      </w:r>
      <w:r>
        <w:rPr>
          <w:lang w:val="en-US"/>
        </w:rPr>
        <w:instrText xml:space="preserve"> NOTEREF _Ref514488012 \h </w:instrText>
      </w:r>
      <w:r>
        <w:rPr>
          <w:lang w:val="en-US"/>
        </w:rPr>
      </w:r>
      <w:r>
        <w:rPr>
          <w:lang w:val="en-US"/>
        </w:rPr>
        <w:fldChar w:fldCharType="separate"/>
      </w:r>
      <w:r w:rsidR="00DE614F">
        <w:rPr>
          <w:lang w:val="en-US"/>
        </w:rPr>
        <w:t>13</w:t>
      </w:r>
      <w:r>
        <w:rPr>
          <w:lang w:val="en-US"/>
        </w:rPr>
        <w:fldChar w:fldCharType="end"/>
      </w:r>
      <w:r w:rsidRPr="005158D0">
        <w:rPr>
          <w:lang w:val="en-US"/>
        </w:rPr>
        <w:t>.</w:t>
      </w:r>
    </w:p>
  </w:footnote>
  <w:footnote w:id="71">
    <w:p w14:paraId="01AC11D6" w14:textId="7C71096B" w:rsidR="001D06AA" w:rsidRPr="005158D0" w:rsidRDefault="001D06AA" w:rsidP="00396190">
      <w:pPr>
        <w:pStyle w:val="FootnoteText"/>
      </w:pPr>
      <w:r w:rsidRPr="005158D0">
        <w:rPr>
          <w:rStyle w:val="FootnoteReference"/>
          <w:rFonts w:cs="Times New Roman"/>
        </w:rPr>
        <w:footnoteRef/>
      </w:r>
      <w:r w:rsidRPr="005158D0">
        <w:t xml:space="preserve"> </w:t>
      </w:r>
      <w:r>
        <w:tab/>
      </w:r>
      <w:r w:rsidRPr="00026400">
        <w:t xml:space="preserve">Bernadette McSherry et al, </w:t>
      </w:r>
      <w:hyperlink r:id="rId27" w:history="1">
        <w:r w:rsidRPr="0001784B">
          <w:rPr>
            <w:rStyle w:val="Hyperlink"/>
            <w:i/>
          </w:rPr>
          <w:t>Seclusion and Restraint Project Report</w:t>
        </w:r>
      </w:hyperlink>
      <w:r w:rsidRPr="00026400">
        <w:rPr>
          <w:i/>
        </w:rPr>
        <w:t xml:space="preserve"> </w:t>
      </w:r>
      <w:r w:rsidRPr="00026400">
        <w:t>(Melbourne Social Equity Inst</w:t>
      </w:r>
      <w:r>
        <w:t>itute, University of Melbourne,</w:t>
      </w:r>
      <w:r w:rsidRPr="00026400">
        <w:t xml:space="preserve"> 2014) &lt;</w:t>
      </w:r>
      <w:hyperlink r:id="rId28" w:history="1">
        <w:r w:rsidRPr="00026400">
          <w:rPr>
            <w:rStyle w:val="Hyperlink"/>
            <w:rFonts w:cs="Times New Roman"/>
            <w:color w:val="000000" w:themeColor="text1"/>
            <w:u w:val="none"/>
          </w:rPr>
          <w:t>http://socialequity.unimelb.edu.au/__data/assets/pdf_file/0017/2004722/Seclusion-and-Restraint-report.PDF</w:t>
        </w:r>
      </w:hyperlink>
      <w:r w:rsidRPr="00026400">
        <w:rPr>
          <w:rStyle w:val="Hyperlink"/>
          <w:rFonts w:cs="Times New Roman"/>
          <w:color w:val="000000" w:themeColor="text1"/>
          <w:u w:val="none"/>
        </w:rPr>
        <w:t>&gt;.</w:t>
      </w:r>
      <w:r w:rsidRPr="005158D0">
        <w:rPr>
          <w:rStyle w:val="Hyperlink"/>
          <w:rFonts w:cs="Times New Roman"/>
          <w:color w:val="000000" w:themeColor="text1"/>
          <w:u w:val="none"/>
        </w:rPr>
        <w:t xml:space="preserve"> </w:t>
      </w:r>
      <w:r w:rsidRPr="005158D0">
        <w:rPr>
          <w:color w:val="000000" w:themeColor="text1"/>
        </w:rPr>
        <w:t xml:space="preserve">See </w:t>
      </w:r>
      <w:r w:rsidRPr="005158D0">
        <w:t>also the research outputs from the</w:t>
      </w:r>
      <w:r>
        <w:t xml:space="preserve"> </w:t>
      </w:r>
      <w:hyperlink r:id="rId29" w:history="1">
        <w:r w:rsidRPr="00635B53">
          <w:rPr>
            <w:rStyle w:val="Hyperlink"/>
          </w:rPr>
          <w:t>NMHC project</w:t>
        </w:r>
      </w:hyperlink>
      <w:r>
        <w:t xml:space="preserve"> led by Bernadette McSherry </w:t>
      </w:r>
      <w:r w:rsidRPr="00635B53">
        <w:t>&lt;</w:t>
      </w:r>
      <w:hyperlink r:id="rId30" w:history="1">
        <w:r w:rsidRPr="00635B53">
          <w:rPr>
            <w:rStyle w:val="Hyperlink"/>
            <w:rFonts w:cs="Times New Roman"/>
            <w:color w:val="auto"/>
            <w:u w:val="none"/>
          </w:rPr>
          <w:t>http://socialequity.unimelb.edu.au/research/projects/disability-and-mental-health/National-seclusion-and-restraint-project</w:t>
        </w:r>
      </w:hyperlink>
      <w:r w:rsidRPr="00635B53">
        <w:rPr>
          <w:rStyle w:val="Hyperlink"/>
          <w:rFonts w:cs="Times New Roman"/>
          <w:color w:val="auto"/>
          <w:u w:val="none"/>
        </w:rPr>
        <w:t>&gt;</w:t>
      </w:r>
      <w:r w:rsidRPr="005158D0">
        <w:t xml:space="preserve"> </w:t>
      </w:r>
      <w:r>
        <w:t xml:space="preserve">and the current project on </w:t>
      </w:r>
      <w:hyperlink r:id="rId31" w:history="1">
        <w:r w:rsidRPr="00635B53">
          <w:rPr>
            <w:rStyle w:val="Hyperlink"/>
          </w:rPr>
          <w:t>regulating the restraint of people with disabilities</w:t>
        </w:r>
      </w:hyperlink>
      <w:r>
        <w:t xml:space="preserve"> &lt;</w:t>
      </w:r>
      <w:hyperlink r:id="rId32" w:history="1">
        <w:r w:rsidRPr="00635B53">
          <w:rPr>
            <w:rStyle w:val="Hyperlink"/>
            <w:rFonts w:cs="Times New Roman"/>
            <w:color w:val="auto"/>
            <w:u w:val="none"/>
          </w:rPr>
          <w:t>http://socialequity.unimelb.edu.au/research/projects/disability-and-mental-health/regulating-the-restraint-of-people-with-disabilities</w:t>
        </w:r>
      </w:hyperlink>
      <w:r w:rsidRPr="00635B53">
        <w:rPr>
          <w:rStyle w:val="Hyperlink"/>
          <w:rFonts w:cs="Times New Roman"/>
          <w:color w:val="auto"/>
          <w:u w:val="none"/>
        </w:rPr>
        <w:t>&gt;</w:t>
      </w:r>
      <w:r w:rsidRPr="00635B53">
        <w:t>.</w:t>
      </w:r>
    </w:p>
  </w:footnote>
  <w:footnote w:id="72">
    <w:p w14:paraId="4134EF4C" w14:textId="594F1E77" w:rsidR="001D06AA" w:rsidRPr="005158D0" w:rsidRDefault="001D06AA" w:rsidP="00396190">
      <w:pPr>
        <w:pStyle w:val="FootnoteText"/>
        <w:rPr>
          <w:highlight w:val="yellow"/>
        </w:rPr>
      </w:pPr>
      <w:r w:rsidRPr="005158D0">
        <w:rPr>
          <w:rStyle w:val="FootnoteReference"/>
          <w:rFonts w:cs="Times New Roman"/>
        </w:rPr>
        <w:footnoteRef/>
      </w:r>
      <w:r w:rsidRPr="005158D0">
        <w:t xml:space="preserve"> </w:t>
      </w:r>
      <w:r>
        <w:tab/>
      </w:r>
      <w:r w:rsidRPr="005158D0">
        <w:t xml:space="preserve">See, </w:t>
      </w:r>
      <w:r>
        <w:t>eg</w:t>
      </w:r>
      <w:r w:rsidRPr="005158D0">
        <w:t xml:space="preserve">, Melbourne Social Equity Institute, University of Melbourne, </w:t>
      </w:r>
      <w:hyperlink r:id="rId33" w:history="1">
        <w:r w:rsidRPr="0001784B">
          <w:rPr>
            <w:rStyle w:val="Hyperlink"/>
            <w:i/>
          </w:rPr>
          <w:t>Unfitness to Plead Project</w:t>
        </w:r>
      </w:hyperlink>
      <w:r w:rsidRPr="0001784B">
        <w:rPr>
          <w:i/>
        </w:rPr>
        <w:t xml:space="preserve"> </w:t>
      </w:r>
      <w:r w:rsidRPr="0001784B">
        <w:t>&lt;</w:t>
      </w:r>
      <w:hyperlink r:id="rId34" w:history="1">
        <w:r w:rsidRPr="0001784B">
          <w:rPr>
            <w:rStyle w:val="Hyperlink"/>
            <w:rFonts w:cs="Times New Roman"/>
            <w:color w:val="auto"/>
            <w:u w:val="none"/>
          </w:rPr>
          <w:t>http://socialequity.unimelb.edu.au/research/projects/disability-and-mental-health/unfitness-to-plead</w:t>
        </w:r>
      </w:hyperlink>
      <w:r w:rsidRPr="0001784B">
        <w:rPr>
          <w:rStyle w:val="Hyperlink"/>
          <w:rFonts w:cs="Times New Roman"/>
          <w:color w:val="auto"/>
          <w:u w:val="none"/>
        </w:rPr>
        <w:t>&gt;</w:t>
      </w:r>
      <w:r w:rsidRPr="005158D0">
        <w:t xml:space="preserve">; see also Gooding et al, </w:t>
      </w:r>
      <w:r>
        <w:t>above n</w:t>
      </w:r>
      <w:r>
        <w:fldChar w:fldCharType="begin"/>
      </w:r>
      <w:r>
        <w:instrText xml:space="preserve"> NOTEREF _Ref514435768 \h </w:instrText>
      </w:r>
      <w:r>
        <w:fldChar w:fldCharType="separate"/>
      </w:r>
      <w:r w:rsidR="00DE614F">
        <w:t>9</w:t>
      </w:r>
      <w:r>
        <w:fldChar w:fldCharType="end"/>
      </w:r>
      <w:r w:rsidRPr="005158D0">
        <w:t>, which uses a CRPD rights-based framework. However, Joseph</w:t>
      </w:r>
      <w:r w:rsidRPr="0001784B">
        <w:t xml:space="preserve"> </w:t>
      </w:r>
      <w:r w:rsidRPr="005158D0">
        <w:t xml:space="preserve">Allan and Vincent Egan, ‘Fitness to stand trial in New Zealand: Different factors associated with fitness to stand trial between mentally disordered and intellectually disabled defendants in the New Zealand Criminal justice system’ (2014) 21(5) </w:t>
      </w:r>
      <w:r w:rsidRPr="005158D0">
        <w:rPr>
          <w:i/>
          <w:iCs/>
        </w:rPr>
        <w:t xml:space="preserve">Psychiatry, Psychology and the Law </w:t>
      </w:r>
      <w:r w:rsidRPr="005158D0">
        <w:t>658 is less focused on the rights-based approach.</w:t>
      </w:r>
    </w:p>
  </w:footnote>
  <w:footnote w:id="73">
    <w:p w14:paraId="26CD0510" w14:textId="019573E1" w:rsidR="001D06AA" w:rsidRPr="005158D0" w:rsidRDefault="001D06AA" w:rsidP="00396190">
      <w:pPr>
        <w:pStyle w:val="FootnoteText"/>
      </w:pPr>
      <w:r w:rsidRPr="005158D0">
        <w:rPr>
          <w:rStyle w:val="FootnoteReference"/>
          <w:rFonts w:cs="Times New Roman"/>
        </w:rPr>
        <w:footnoteRef/>
      </w:r>
      <w:r>
        <w:tab/>
      </w:r>
      <w:r w:rsidRPr="005158D0">
        <w:t>Victorian Law Reform Commission,</w:t>
      </w:r>
      <w:r>
        <w:t xml:space="preserve"> above n</w:t>
      </w:r>
      <w:r>
        <w:fldChar w:fldCharType="begin"/>
      </w:r>
      <w:r>
        <w:instrText xml:space="preserve"> NOTEREF _Ref514486785 \h </w:instrText>
      </w:r>
      <w:r>
        <w:fldChar w:fldCharType="separate"/>
      </w:r>
      <w:r w:rsidR="00DE614F">
        <w:t>33</w:t>
      </w:r>
      <w:r>
        <w:fldChar w:fldCharType="end"/>
      </w:r>
      <w:r>
        <w:t>,</w:t>
      </w:r>
      <w:r w:rsidRPr="005158D0">
        <w:t xml:space="preserve"> [11.162]</w:t>
      </w:r>
      <w:r>
        <w:t>–</w:t>
      </w:r>
      <w:r w:rsidRPr="005158D0">
        <w:t>[ 11.219].</w:t>
      </w:r>
    </w:p>
  </w:footnote>
  <w:footnote w:id="74">
    <w:p w14:paraId="2248081D" w14:textId="237291C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r>
        <w:t>,</w:t>
      </w:r>
      <w:r w:rsidRPr="005158D0">
        <w:t xml:space="preserve"> and note also Janet</w:t>
      </w:r>
      <w:r w:rsidRPr="000D3A56">
        <w:t xml:space="preserve"> </w:t>
      </w:r>
      <w:r>
        <w:t>Ruffles,</w:t>
      </w:r>
      <w:r w:rsidRPr="005158D0">
        <w:t xml:space="preserve"> </w:t>
      </w:r>
      <w:r w:rsidRPr="009F66FB">
        <w:rPr>
          <w:i/>
        </w:rPr>
        <w:t>The Management of Forensic Patients in Victoria: The More Things Change, The More They Remain the Same</w:t>
      </w:r>
      <w:r w:rsidRPr="005158D0">
        <w:t xml:space="preserve"> (PhD Thesis, Monash University, 2010) 205.</w:t>
      </w:r>
    </w:p>
  </w:footnote>
  <w:footnote w:id="75">
    <w:p w14:paraId="406BF715" w14:textId="2623B353" w:rsidR="001D06AA" w:rsidRPr="005158D0" w:rsidRDefault="001D06AA" w:rsidP="00396190">
      <w:pPr>
        <w:pStyle w:val="FootnoteText"/>
      </w:pPr>
      <w:r w:rsidRPr="005158D0">
        <w:rPr>
          <w:rStyle w:val="FootnoteReference"/>
          <w:rFonts w:cs="Times New Roman"/>
        </w:rPr>
        <w:footnoteRef/>
      </w:r>
      <w:r w:rsidRPr="005158D0">
        <w:t xml:space="preserve"> </w:t>
      </w:r>
      <w:r>
        <w:tab/>
        <w:t>Fiona</w:t>
      </w:r>
      <w:r w:rsidRPr="0000522A">
        <w:t xml:space="preserve"> </w:t>
      </w:r>
      <w:r w:rsidRPr="005158D0">
        <w:t>Davidson</w:t>
      </w:r>
      <w:r>
        <w:t>,</w:t>
      </w:r>
      <w:r w:rsidRPr="005158D0">
        <w:t xml:space="preserve"> </w:t>
      </w:r>
      <w:r>
        <w:t>Ed Heffernan</w:t>
      </w:r>
      <w:r w:rsidRPr="005158D0">
        <w:t>,</w:t>
      </w:r>
      <w:r>
        <w:t xml:space="preserve"> D Greenberg, Tony Butler and Philip Burgess, </w:t>
      </w:r>
      <w:r w:rsidRPr="005158D0">
        <w:t xml:space="preserve">‘A critical review of mental health court liaison services in Australia: A first national survey’ (2016) 23(6) </w:t>
      </w:r>
      <w:r w:rsidRPr="005158D0">
        <w:rPr>
          <w:i/>
        </w:rPr>
        <w:t>Psychiatry, Psychology and Law</w:t>
      </w:r>
      <w:r w:rsidRPr="005158D0">
        <w:t xml:space="preserve"> 908.</w:t>
      </w:r>
    </w:p>
  </w:footnote>
  <w:footnote w:id="76">
    <w:p w14:paraId="08F2C377" w14:textId="6466D63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77">
    <w:p w14:paraId="64414FBF" w14:textId="3BC23FE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Bartkowiak-Théron</w:t>
      </w:r>
      <w:r>
        <w:t xml:space="preserve"> et al, above n</w:t>
      </w:r>
      <w:r>
        <w:fldChar w:fldCharType="begin"/>
      </w:r>
      <w:r>
        <w:instrText xml:space="preserve"> NOTEREF _Ref514484223 \h </w:instrText>
      </w:r>
      <w:r>
        <w:fldChar w:fldCharType="separate"/>
      </w:r>
      <w:r w:rsidR="00DE614F">
        <w:t>39</w:t>
      </w:r>
      <w:r>
        <w:fldChar w:fldCharType="end"/>
      </w:r>
      <w:r w:rsidRPr="005158D0">
        <w:t>, 1.</w:t>
      </w:r>
    </w:p>
  </w:footnote>
  <w:footnote w:id="78">
    <w:p w14:paraId="389D2FF9" w14:textId="54D59A24"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xml:space="preserve">, Armstrong, </w:t>
      </w:r>
      <w:r>
        <w:t>above n</w:t>
      </w:r>
      <w:r>
        <w:fldChar w:fldCharType="begin"/>
      </w:r>
      <w:r>
        <w:instrText xml:space="preserve"> NOTEREF _Ref514485881 \h </w:instrText>
      </w:r>
      <w:r>
        <w:fldChar w:fldCharType="separate"/>
      </w:r>
      <w:r w:rsidR="00DE614F">
        <w:t>34</w:t>
      </w:r>
      <w:r>
        <w:fldChar w:fldCharType="end"/>
      </w:r>
      <w:r w:rsidRPr="005158D0">
        <w:t>; Anthony</w:t>
      </w:r>
      <w:r w:rsidRPr="00FD287E">
        <w:t xml:space="preserve"> </w:t>
      </w:r>
      <w:r>
        <w:t>O’Brien,</w:t>
      </w:r>
      <w:r w:rsidRPr="005158D0">
        <w:t xml:space="preserve"> ‘Community Treatment orders in New Zealand: Regional Variability and international comparisons’ (2014) 22(4) </w:t>
      </w:r>
      <w:r w:rsidRPr="005158D0">
        <w:rPr>
          <w:i/>
        </w:rPr>
        <w:t>Australasian Psychiatry</w:t>
      </w:r>
      <w:r w:rsidRPr="005158D0">
        <w:t xml:space="preserve"> 352.</w:t>
      </w:r>
    </w:p>
  </w:footnote>
  <w:footnote w:id="79">
    <w:p w14:paraId="6EDA1640" w14:textId="5B862C5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Note</w:t>
      </w:r>
      <w:r>
        <w:t>,</w:t>
      </w:r>
      <w:r w:rsidRPr="005158D0">
        <w:t xml:space="preserve"> </w:t>
      </w:r>
      <w:r>
        <w:t>eg,</w:t>
      </w:r>
      <w:r w:rsidRPr="005158D0">
        <w:t xml:space="preserve"> John</w:t>
      </w:r>
      <w:r w:rsidRPr="00FD287E">
        <w:t xml:space="preserve"> </w:t>
      </w:r>
      <w:r w:rsidRPr="005158D0">
        <w:t xml:space="preserve">Dawson and Kris Gledhill (eds), </w:t>
      </w:r>
      <w:r w:rsidRPr="005158D0">
        <w:rPr>
          <w:i/>
          <w:iCs/>
        </w:rPr>
        <w:t>New Zealand’s Mental Health Act in Practice</w:t>
      </w:r>
      <w:r>
        <w:t xml:space="preserve"> (Victoria University Press,</w:t>
      </w:r>
      <w:r w:rsidRPr="005158D0">
        <w:t xml:space="preserve"> 2013).</w:t>
      </w:r>
    </w:p>
  </w:footnote>
  <w:footnote w:id="80">
    <w:p w14:paraId="01463848" w14:textId="14C18C6C"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O’Brien, </w:t>
      </w:r>
      <w:r>
        <w:t>above n</w:t>
      </w:r>
      <w:r>
        <w:fldChar w:fldCharType="begin"/>
      </w:r>
      <w:r>
        <w:instrText xml:space="preserve"> NOTEREF _Ref514489054 \h </w:instrText>
      </w:r>
      <w:r>
        <w:fldChar w:fldCharType="separate"/>
      </w:r>
      <w:r w:rsidR="00DE614F">
        <w:t>78</w:t>
      </w:r>
      <w:r>
        <w:fldChar w:fldCharType="end"/>
      </w:r>
      <w:r w:rsidRPr="005158D0">
        <w:t>, 352.</w:t>
      </w:r>
    </w:p>
  </w:footnote>
  <w:footnote w:id="81">
    <w:p w14:paraId="0265F8AC" w14:textId="2ADE2DBD" w:rsidR="001D06AA" w:rsidRDefault="001D06AA">
      <w:pPr>
        <w:pStyle w:val="FootnoteText"/>
      </w:pPr>
      <w:r>
        <w:rPr>
          <w:rStyle w:val="FootnoteReference"/>
        </w:rPr>
        <w:footnoteRef/>
      </w:r>
      <w:r>
        <w:t xml:space="preserve"> </w:t>
      </w:r>
      <w:r>
        <w:tab/>
      </w:r>
      <w:r w:rsidRPr="005158D0">
        <w:t>Katey</w:t>
      </w:r>
      <w:r w:rsidRPr="00FD287E">
        <w:t xml:space="preserve"> </w:t>
      </w:r>
      <w:r>
        <w:t>Thom,</w:t>
      </w:r>
      <w:r w:rsidRPr="005158D0">
        <w:t xml:space="preserve"> ‘Exploring Te Whare Whakapiki Wairua/The Alcohol and Other Drug Treatment Court Pilot: Theory, Practice and Known Outcomes’ (2017) </w:t>
      </w:r>
      <w:r w:rsidRPr="005158D0">
        <w:rPr>
          <w:i/>
        </w:rPr>
        <w:t>Te Wharenga - New Zealand Criminal Law Review</w:t>
      </w:r>
      <w:r w:rsidRPr="005158D0">
        <w:t xml:space="preserve"> 180, 192.</w:t>
      </w:r>
    </w:p>
  </w:footnote>
  <w:footnote w:id="82">
    <w:p w14:paraId="7C235CD4" w14:textId="4F04C2FD" w:rsidR="001D06AA" w:rsidRDefault="001D06AA">
      <w:pPr>
        <w:pStyle w:val="FootnoteText"/>
      </w:pPr>
      <w:r>
        <w:rPr>
          <w:rStyle w:val="FootnoteReference"/>
        </w:rPr>
        <w:footnoteRef/>
      </w:r>
      <w:r>
        <w:t xml:space="preserve"> </w:t>
      </w:r>
      <w:r>
        <w:tab/>
      </w:r>
      <w:r w:rsidRPr="005158D0">
        <w:t xml:space="preserve">See, </w:t>
      </w:r>
      <w:r>
        <w:t>eg</w:t>
      </w:r>
      <w:r w:rsidRPr="005158D0">
        <w:t>, Dawson and Gledhill</w:t>
      </w:r>
      <w:r>
        <w:t>, above n</w:t>
      </w:r>
      <w:r>
        <w:fldChar w:fldCharType="begin"/>
      </w:r>
      <w:r>
        <w:instrText xml:space="preserve"> NOTEREF _Ref514489037 \h </w:instrText>
      </w:r>
      <w:r>
        <w:fldChar w:fldCharType="separate"/>
      </w:r>
      <w:r w:rsidR="00DE614F">
        <w:t>79</w:t>
      </w:r>
      <w:r>
        <w:fldChar w:fldCharType="end"/>
      </w:r>
      <w:r>
        <w:t>;</w:t>
      </w:r>
      <w:r w:rsidRPr="005158D0">
        <w:t xml:space="preserve"> Lillian</w:t>
      </w:r>
      <w:r w:rsidRPr="00FD287E">
        <w:t xml:space="preserve"> </w:t>
      </w:r>
      <w:r>
        <w:t>Ng,</w:t>
      </w:r>
      <w:r w:rsidRPr="005158D0">
        <w:t xml:space="preserve"> Susan Hatters Friedman and Kate Diesfeld, ‘Checking and Balancing New Zealand’s Mental Health Review Tribunal: Perspectives of Forensic Patients’ (2016) 23(1) </w:t>
      </w:r>
      <w:r w:rsidRPr="005158D0">
        <w:rPr>
          <w:i/>
        </w:rPr>
        <w:t>Psychiatry, Psychology and Law</w:t>
      </w:r>
      <w:r w:rsidRPr="005158D0">
        <w:t xml:space="preserve"> 135; Katey</w:t>
      </w:r>
      <w:r w:rsidRPr="00FD287E">
        <w:t xml:space="preserve"> </w:t>
      </w:r>
      <w:r>
        <w:t>Thom,</w:t>
      </w:r>
      <w:r w:rsidRPr="005158D0">
        <w:t xml:space="preserve"> ‘New Zealand Mental Health Review Tribunal Characteristics and outcomes 1993</w:t>
      </w:r>
      <w:r>
        <w:t>–</w:t>
      </w:r>
      <w:r w:rsidRPr="005158D0">
        <w:t xml:space="preserve">2011’ (2014) 22 </w:t>
      </w:r>
      <w:r w:rsidRPr="005158D0">
        <w:rPr>
          <w:i/>
          <w:iCs/>
        </w:rPr>
        <w:t>Australasian Psychiatry</w:t>
      </w:r>
      <w:r>
        <w:t xml:space="preserve"> 341–</w:t>
      </w:r>
      <w:r w:rsidRPr="005158D0">
        <w:t>44; Katey</w:t>
      </w:r>
      <w:r w:rsidRPr="00FD287E">
        <w:t xml:space="preserve"> </w:t>
      </w:r>
      <w:r>
        <w:t>Thom,</w:t>
      </w:r>
      <w:r w:rsidRPr="005158D0">
        <w:t xml:space="preserve"> Stella Black and Graham Panther, ‘The decision-making of the Mental Health Review Tribunal in New Zealand (2015) 22(3) </w:t>
      </w:r>
      <w:r w:rsidRPr="005158D0">
        <w:rPr>
          <w:i/>
          <w:iCs/>
        </w:rPr>
        <w:t xml:space="preserve">Law and Medicine </w:t>
      </w:r>
      <w:r>
        <w:t>667–</w:t>
      </w:r>
      <w:r w:rsidRPr="005158D0">
        <w:t>78.</w:t>
      </w:r>
    </w:p>
  </w:footnote>
  <w:footnote w:id="83">
    <w:p w14:paraId="751ADC09" w14:textId="2FCC8436"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84">
    <w:p w14:paraId="60E37B41" w14:textId="42F7929D" w:rsidR="001D06AA" w:rsidRDefault="001D06AA">
      <w:pPr>
        <w:pStyle w:val="FootnoteText"/>
      </w:pPr>
      <w:r>
        <w:rPr>
          <w:rStyle w:val="FootnoteReference"/>
        </w:rPr>
        <w:footnoteRef/>
      </w:r>
      <w:r>
        <w:t xml:space="preserve"> </w:t>
      </w:r>
      <w:r>
        <w:tab/>
      </w:r>
      <w:r w:rsidRPr="005158D0">
        <w:t>Jeremy</w:t>
      </w:r>
      <w:r w:rsidRPr="00FD287E">
        <w:t xml:space="preserve"> </w:t>
      </w:r>
      <w:r>
        <w:t>Skipworth,</w:t>
      </w:r>
      <w:r w:rsidRPr="005158D0">
        <w:t xml:space="preserve"> John Dawson and Pete Ellis, ‘Capacity of forensic patients to consent to treatment’ (2012) 47(5) </w:t>
      </w:r>
      <w:r w:rsidRPr="005158D0">
        <w:rPr>
          <w:i/>
        </w:rPr>
        <w:t>Australian &amp; New Zealand Journal of Psychiatry</w:t>
      </w:r>
      <w:r w:rsidRPr="005158D0">
        <w:t xml:space="preserve"> 443.</w:t>
      </w:r>
    </w:p>
  </w:footnote>
  <w:footnote w:id="85">
    <w:p w14:paraId="111B8FB9" w14:textId="7C3BAFBC"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See further Kate</w:t>
      </w:r>
      <w:r w:rsidRPr="00FD287E">
        <w:t xml:space="preserve"> </w:t>
      </w:r>
      <w:r>
        <w:t>Prebble,</w:t>
      </w:r>
      <w:r w:rsidRPr="005158D0">
        <w:t xml:space="preserve"> Katey Thom and Elizabeth Hudson, ‘Service users’ experiences of voluntary mental hospital admission and treatment: A review of recent literature’ (2015) 22(3) </w:t>
      </w:r>
      <w:r w:rsidRPr="005158D0">
        <w:rPr>
          <w:i/>
          <w:iCs/>
        </w:rPr>
        <w:t xml:space="preserve">Psychiatry, Psychology and Law </w:t>
      </w:r>
      <w:r>
        <w:t>327–</w:t>
      </w:r>
      <w:r w:rsidRPr="005158D0">
        <w:t>36</w:t>
      </w:r>
      <w:r>
        <w:t>;</w:t>
      </w:r>
      <w:r w:rsidRPr="005158D0">
        <w:t xml:space="preserve"> and Kate</w:t>
      </w:r>
      <w:r w:rsidRPr="00FD287E">
        <w:t xml:space="preserve"> </w:t>
      </w:r>
      <w:r>
        <w:t>Prebble,</w:t>
      </w:r>
      <w:r w:rsidRPr="005158D0">
        <w:t xml:space="preserve"> Claire Gooder and Katey Thom, ‘New Zealand’s mental health district inspector in historical context: ‘the impartial scrutiny of a citizen of standing’’ (2015) 22(2) </w:t>
      </w:r>
      <w:r w:rsidRPr="005158D0">
        <w:rPr>
          <w:i/>
          <w:iCs/>
        </w:rPr>
        <w:t xml:space="preserve">Journal of Law and Medicine </w:t>
      </w:r>
      <w:r w:rsidRPr="005158D0">
        <w:t>415</w:t>
      </w:r>
      <w:r>
        <w:t>.</w:t>
      </w:r>
    </w:p>
  </w:footnote>
  <w:footnote w:id="86">
    <w:p w14:paraId="36484678" w14:textId="55428CA6"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Sue</w:t>
      </w:r>
      <w:r w:rsidRPr="00FD287E">
        <w:t xml:space="preserve"> </w:t>
      </w:r>
      <w:r w:rsidRPr="005158D0">
        <w:t>Nightingale and Iris Reuvecamp, ‘Chapter 9 – Regulating the Detention of Mentally Incapacitated Adults Not Subject to the Mental Health Act’</w:t>
      </w:r>
      <w:r>
        <w:t>,</w:t>
      </w:r>
      <w:r w:rsidRPr="005158D0">
        <w:t xml:space="preserve"> in Dawson and Gledhill</w:t>
      </w:r>
      <w:r>
        <w:t>, above n</w:t>
      </w:r>
      <w:r>
        <w:fldChar w:fldCharType="begin"/>
      </w:r>
      <w:r>
        <w:instrText xml:space="preserve"> NOTEREF _Ref514489037 \h </w:instrText>
      </w:r>
      <w:r>
        <w:fldChar w:fldCharType="separate"/>
      </w:r>
      <w:r w:rsidR="00DE614F">
        <w:t>79</w:t>
      </w:r>
      <w:r>
        <w:fldChar w:fldCharType="end"/>
      </w:r>
      <w:r>
        <w:t>.</w:t>
      </w:r>
    </w:p>
  </w:footnote>
  <w:footnote w:id="87">
    <w:p w14:paraId="6538A3B8" w14:textId="6AE4B15E" w:rsidR="001D06AA" w:rsidRDefault="001D06AA" w:rsidP="00396190">
      <w:pPr>
        <w:pStyle w:val="FootnoteText"/>
      </w:pPr>
      <w:r w:rsidRPr="005158D0">
        <w:rPr>
          <w:rStyle w:val="FootnoteReference"/>
          <w:rFonts w:cs="Times New Roman"/>
        </w:rPr>
        <w:footnoteRef/>
      </w:r>
      <w:r w:rsidRPr="005158D0">
        <w:t xml:space="preserve"> </w:t>
      </w:r>
      <w:r>
        <w:tab/>
      </w:r>
      <w:r w:rsidRPr="005158D0">
        <w:t>Katey</w:t>
      </w:r>
      <w:r w:rsidRPr="00FD287E">
        <w:t xml:space="preserve"> </w:t>
      </w:r>
      <w:r w:rsidRPr="005158D0">
        <w:t>Thom and Kate Prebble, ‘Chapter 7 – District Inspectors: Watchdogs of Patients’ Rights’</w:t>
      </w:r>
      <w:r>
        <w:t>,</w:t>
      </w:r>
      <w:r w:rsidRPr="005158D0">
        <w:t xml:space="preserve"> in Dawson and Gledhill</w:t>
      </w:r>
      <w:r>
        <w:t>,</w:t>
      </w:r>
      <w:r w:rsidRPr="005158D0">
        <w:t xml:space="preserve"> </w:t>
      </w:r>
      <w:r>
        <w:t>above n</w:t>
      </w:r>
      <w:r>
        <w:fldChar w:fldCharType="begin"/>
      </w:r>
      <w:r>
        <w:instrText xml:space="preserve"> NOTEREF _Ref514489037 \h </w:instrText>
      </w:r>
      <w:r>
        <w:fldChar w:fldCharType="separate"/>
      </w:r>
      <w:r w:rsidR="00DE614F">
        <w:t>79</w:t>
      </w:r>
      <w:r>
        <w:fldChar w:fldCharType="end"/>
      </w:r>
      <w:r>
        <w:t>.</w:t>
      </w:r>
    </w:p>
  </w:footnote>
  <w:footnote w:id="88">
    <w:p w14:paraId="79A6B4F1" w14:textId="28280D2A" w:rsidR="001D06AA" w:rsidRPr="005158D0" w:rsidRDefault="001D06AA" w:rsidP="00396190">
      <w:pPr>
        <w:pStyle w:val="FootnoteText"/>
      </w:pPr>
      <w:r w:rsidRPr="005158D0">
        <w:rPr>
          <w:rStyle w:val="FootnoteReference"/>
          <w:rFonts w:cs="Times New Roman"/>
        </w:rPr>
        <w:footnoteRef/>
      </w:r>
      <w:r w:rsidRPr="005158D0">
        <w:t xml:space="preserve"> </w:t>
      </w:r>
      <w:r>
        <w:tab/>
      </w:r>
      <w:r w:rsidRPr="00631954">
        <w:t>Prebble</w:t>
      </w:r>
      <w:r>
        <w:t>, Thom and Hudson, above n</w:t>
      </w:r>
      <w:r>
        <w:fldChar w:fldCharType="begin"/>
      </w:r>
      <w:r>
        <w:instrText xml:space="preserve"> NOTEREF _Ref514490458 \h </w:instrText>
      </w:r>
      <w:r>
        <w:fldChar w:fldCharType="separate"/>
      </w:r>
      <w:r w:rsidR="00DE614F">
        <w:t>85</w:t>
      </w:r>
      <w:r>
        <w:fldChar w:fldCharType="end"/>
      </w:r>
      <w:r>
        <w:t xml:space="preserve">; </w:t>
      </w:r>
      <w:r w:rsidRPr="00631954">
        <w:t xml:space="preserve">Prebble, Gooder and Thom, </w:t>
      </w:r>
      <w:r>
        <w:t>above n</w:t>
      </w:r>
      <w:r>
        <w:fldChar w:fldCharType="begin"/>
      </w:r>
      <w:r>
        <w:instrText xml:space="preserve"> NOTEREF _Ref514490458 \h </w:instrText>
      </w:r>
      <w:r>
        <w:fldChar w:fldCharType="separate"/>
      </w:r>
      <w:r w:rsidR="00DE614F">
        <w:t>85</w:t>
      </w:r>
      <w:r>
        <w:fldChar w:fldCharType="end"/>
      </w:r>
      <w:r>
        <w:t>.</w:t>
      </w:r>
    </w:p>
  </w:footnote>
  <w:footnote w:id="89">
    <w:p w14:paraId="0B78794A" w14:textId="0864A565"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Bernadette</w:t>
      </w:r>
      <w:r w:rsidRPr="00FD287E">
        <w:t xml:space="preserve"> </w:t>
      </w:r>
      <w:r w:rsidRPr="005158D0">
        <w:t>McSherry and Juan Jose Tellez</w:t>
      </w:r>
      <w:r>
        <w:t>,</w:t>
      </w:r>
      <w:r w:rsidRPr="005158D0">
        <w:t xml:space="preserve"> </w:t>
      </w:r>
      <w:r w:rsidRPr="005158D0">
        <w:rPr>
          <w:i/>
        </w:rPr>
        <w:t>Current Challenges for the Regulation of Chemical Restraint in Healthcare settings</w:t>
      </w:r>
      <w:r w:rsidRPr="00EC5229">
        <w:t xml:space="preserve"> </w:t>
      </w:r>
      <w:r w:rsidRPr="005158D0">
        <w:t xml:space="preserve">(2016) 24 </w:t>
      </w:r>
      <w:r w:rsidRPr="00EC5229">
        <w:rPr>
          <w:i/>
        </w:rPr>
        <w:t>Journal of Law and Medicine</w:t>
      </w:r>
      <w:r w:rsidRPr="005158D0">
        <w:t xml:space="preserve"> 15.</w:t>
      </w:r>
    </w:p>
  </w:footnote>
  <w:footnote w:id="90">
    <w:p w14:paraId="7769572F" w14:textId="0100E841"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Katey</w:t>
      </w:r>
      <w:r w:rsidRPr="00FD287E">
        <w:t xml:space="preserve"> </w:t>
      </w:r>
      <w:r>
        <w:t>Thom,</w:t>
      </w:r>
      <w:r w:rsidRPr="005158D0">
        <w:t xml:space="preserve"> Anthony John O’Brien and Juan Jose Tellez, ‘Service user and clinical perspectives of psychiatric advance directives in New Zealand (2015) 24(6) </w:t>
      </w:r>
      <w:r w:rsidRPr="005158D0">
        <w:rPr>
          <w:i/>
          <w:iCs/>
        </w:rPr>
        <w:t>International Journal of Mental health Nursing</w:t>
      </w:r>
      <w:r>
        <w:t xml:space="preserve"> 554–</w:t>
      </w:r>
      <w:r w:rsidRPr="005158D0">
        <w:t>60.</w:t>
      </w:r>
    </w:p>
  </w:footnote>
  <w:footnote w:id="91">
    <w:p w14:paraId="27D1C98D" w14:textId="73A419EC" w:rsidR="001D06AA" w:rsidRPr="005158D0" w:rsidRDefault="001D06AA" w:rsidP="00396190">
      <w:pPr>
        <w:pStyle w:val="FootnoteText"/>
        <w:rPr>
          <w:color w:val="000000" w:themeColor="text1"/>
        </w:rPr>
      </w:pPr>
      <w:r w:rsidRPr="005158D0">
        <w:rPr>
          <w:rStyle w:val="FootnoteReference"/>
          <w:rFonts w:cs="Times New Roman"/>
        </w:rPr>
        <w:footnoteRef/>
      </w:r>
      <w:r w:rsidRPr="005158D0">
        <w:t xml:space="preserve"> </w:t>
      </w:r>
      <w:r>
        <w:tab/>
        <w:t>Carol</w:t>
      </w:r>
      <w:r w:rsidRPr="00FD287E">
        <w:t xml:space="preserve"> </w:t>
      </w:r>
      <w:r>
        <w:t xml:space="preserve">Hamilton, </w:t>
      </w:r>
      <w:r w:rsidRPr="005158D0">
        <w:t>‘Sterilisation and intellectually disabled people in New Zealand – still on the agenda?’ (</w:t>
      </w:r>
      <w:r w:rsidRPr="005158D0">
        <w:rPr>
          <w:color w:val="000000" w:themeColor="text1"/>
        </w:rPr>
        <w:t xml:space="preserve">2012) 7(2) </w:t>
      </w:r>
      <w:r w:rsidRPr="005158D0">
        <w:rPr>
          <w:i/>
          <w:color w:val="000000" w:themeColor="text1"/>
        </w:rPr>
        <w:t xml:space="preserve">Kotuitui: New Zealand Journal of Social Sciences Online </w:t>
      </w:r>
      <w:r w:rsidRPr="005158D0">
        <w:rPr>
          <w:color w:val="000000" w:themeColor="text1"/>
        </w:rPr>
        <w:t>61.</w:t>
      </w:r>
    </w:p>
  </w:footnote>
  <w:footnote w:id="92">
    <w:p w14:paraId="362DEC82" w14:textId="1F5FDD56" w:rsidR="001D06AA" w:rsidRPr="005158D0" w:rsidRDefault="001D06AA" w:rsidP="00396190">
      <w:pPr>
        <w:pStyle w:val="FootnoteText"/>
      </w:pPr>
      <w:r w:rsidRPr="005158D0">
        <w:rPr>
          <w:rStyle w:val="FootnoteReference"/>
          <w:rFonts w:cs="Times New Roman"/>
          <w:color w:val="000000" w:themeColor="text1"/>
        </w:rPr>
        <w:footnoteRef/>
      </w:r>
      <w:r w:rsidRPr="005158D0">
        <w:t xml:space="preserve"> </w:t>
      </w:r>
      <w:r>
        <w:tab/>
      </w:r>
      <w:r w:rsidRPr="005158D0">
        <w:t>McSherry</w:t>
      </w:r>
      <w:r>
        <w:t xml:space="preserve"> </w:t>
      </w:r>
      <w:r w:rsidRPr="005158D0">
        <w:t xml:space="preserve">et al, </w:t>
      </w:r>
      <w:r w:rsidRPr="004F3ECC">
        <w:t>above n</w:t>
      </w:r>
      <w:r w:rsidRPr="004F3ECC">
        <w:fldChar w:fldCharType="begin"/>
      </w:r>
      <w:r w:rsidRPr="004F3ECC">
        <w:instrText xml:space="preserve"> NOTEREF _Ref514499537 \h </w:instrText>
      </w:r>
      <w:r>
        <w:instrText xml:space="preserve"> \* MERGEFORMAT </w:instrText>
      </w:r>
      <w:r w:rsidRPr="004F3ECC">
        <w:fldChar w:fldCharType="separate"/>
      </w:r>
      <w:r w:rsidR="00DE614F">
        <w:t>71</w:t>
      </w:r>
      <w:r w:rsidRPr="004F3ECC">
        <w:fldChar w:fldCharType="end"/>
      </w:r>
      <w:r w:rsidRPr="004F3ECC">
        <w:t>.</w:t>
      </w:r>
    </w:p>
  </w:footnote>
  <w:footnote w:id="93">
    <w:p w14:paraId="1AD6F93E" w14:textId="4D39D677" w:rsidR="001D06AA" w:rsidRPr="005158D0" w:rsidRDefault="001D06AA" w:rsidP="00396190">
      <w:pPr>
        <w:pStyle w:val="FootnoteText"/>
        <w:rPr>
          <w:lang w:val="en-US"/>
        </w:rPr>
      </w:pPr>
      <w:r w:rsidRPr="005158D0">
        <w:rPr>
          <w:rStyle w:val="FootnoteReference"/>
          <w:rFonts w:cs="Times New Roman"/>
          <w:color w:val="000000" w:themeColor="text1"/>
        </w:rPr>
        <w:footnoteRef/>
      </w:r>
      <w:r w:rsidRPr="005158D0">
        <w:t xml:space="preserve"> </w:t>
      </w:r>
      <w:r>
        <w:tab/>
      </w:r>
      <w:r w:rsidRPr="005158D0">
        <w:t>Llewellyn et al,</w:t>
      </w:r>
      <w:r>
        <w:t xml:space="preserve"> above n</w:t>
      </w:r>
      <w:r>
        <w:fldChar w:fldCharType="begin"/>
      </w:r>
      <w:r>
        <w:instrText xml:space="preserve"> NOTEREF _Ref514432727 \h </w:instrText>
      </w:r>
      <w:r>
        <w:fldChar w:fldCharType="separate"/>
      </w:r>
      <w:r w:rsidR="00DE614F">
        <w:t>2</w:t>
      </w:r>
      <w:r>
        <w:fldChar w:fldCharType="end"/>
      </w:r>
      <w:r w:rsidRPr="005158D0">
        <w:t>.</w:t>
      </w:r>
    </w:p>
  </w:footnote>
  <w:footnote w:id="94">
    <w:p w14:paraId="442473F9" w14:textId="51E92284" w:rsidR="001D06AA" w:rsidRPr="00FC074B" w:rsidRDefault="001D06AA" w:rsidP="00396190">
      <w:pPr>
        <w:pStyle w:val="FootnoteText"/>
      </w:pPr>
      <w:r w:rsidRPr="005158D0">
        <w:rPr>
          <w:rStyle w:val="FootnoteReference"/>
          <w:rFonts w:cs="Times New Roman"/>
        </w:rPr>
        <w:footnoteRef/>
      </w:r>
      <w:r w:rsidRPr="005158D0">
        <w:t xml:space="preserve"> </w:t>
      </w:r>
      <w:r>
        <w:tab/>
      </w:r>
      <w:r w:rsidRPr="00FC074B">
        <w:t>Carter, above n</w:t>
      </w:r>
      <w:r w:rsidRPr="00FC074B">
        <w:fldChar w:fldCharType="begin"/>
      </w:r>
      <w:r w:rsidRPr="00FC074B">
        <w:instrText xml:space="preserve"> NOTEREF _Ref514435768 \h  \* MERGEFORMAT </w:instrText>
      </w:r>
      <w:r w:rsidRPr="00FC074B">
        <w:fldChar w:fldCharType="separate"/>
      </w:r>
      <w:r w:rsidR="00DE614F">
        <w:t>9</w:t>
      </w:r>
      <w:r w:rsidRPr="00FC074B">
        <w:fldChar w:fldCharType="end"/>
      </w:r>
      <w:r w:rsidRPr="00FC074B">
        <w:t>.</w:t>
      </w:r>
      <w:r w:rsidRPr="00FC074B">
        <w:rPr>
          <w:i/>
        </w:rPr>
        <w:t xml:space="preserve"> </w:t>
      </w:r>
      <w:r w:rsidRPr="00FC074B">
        <w:t xml:space="preserve">Note also, The Parenting Research Centre, </w:t>
      </w:r>
      <w:hyperlink r:id="rId35" w:history="1">
        <w:r w:rsidRPr="00FC074B">
          <w:rPr>
            <w:rStyle w:val="Hyperlink"/>
            <w:i/>
          </w:rPr>
          <w:t>Parenting Young Children: Helping parents with an intellectual disability learn parenting skills</w:t>
        </w:r>
      </w:hyperlink>
      <w:r w:rsidRPr="00FC074B">
        <w:t xml:space="preserve">  &lt;</w:t>
      </w:r>
      <w:hyperlink r:id="rId36" w:history="1">
        <w:r w:rsidRPr="00FC074B">
          <w:rPr>
            <w:rStyle w:val="Hyperlink"/>
            <w:rFonts w:cs="Times New Roman"/>
            <w:color w:val="auto"/>
            <w:u w:val="none"/>
            <w:lang w:val="en-US"/>
          </w:rPr>
          <w:t>http://www.parentingrc.org.au/case-studies/9-enhancing-service-capacity/46-parenting-young-children-helping-parents-with-an-intellectual-disability-learn-parenting-skills-46</w:t>
        </w:r>
      </w:hyperlink>
      <w:r w:rsidRPr="00FC074B">
        <w:rPr>
          <w:rStyle w:val="Hyperlink"/>
          <w:rFonts w:cs="Times New Roman"/>
          <w:color w:val="auto"/>
          <w:u w:val="none"/>
          <w:lang w:val="en-US"/>
        </w:rPr>
        <w:t>&gt;</w:t>
      </w:r>
      <w:r w:rsidRPr="00FC074B">
        <w:t xml:space="preserve"> and Debbie Vilensky, ‘</w:t>
      </w:r>
      <w:hyperlink r:id="rId37" w:history="1">
        <w:r w:rsidRPr="00FC074B">
          <w:rPr>
            <w:rStyle w:val="Hyperlink"/>
          </w:rPr>
          <w:t>Parents with a disability 'judged on parental skills before they can learn', inquiry hears</w:t>
        </w:r>
      </w:hyperlink>
      <w:r w:rsidRPr="00FC074B">
        <w:t>’, ABC (online) 16 April 2015 &lt;</w:t>
      </w:r>
      <w:hyperlink r:id="rId38" w:history="1">
        <w:r w:rsidRPr="00FC074B">
          <w:rPr>
            <w:rStyle w:val="Hyperlink"/>
            <w:rFonts w:cs="Times New Roman"/>
            <w:color w:val="auto"/>
            <w:u w:val="none"/>
            <w:lang w:val="en-US"/>
          </w:rPr>
          <w:t>http://mobile.abc.net.au/news/2015-04-16/parents-with-a-disability-treated-almost-like-criminals/6399036</w:t>
        </w:r>
      </w:hyperlink>
      <w:r w:rsidRPr="00FC074B">
        <w:rPr>
          <w:rStyle w:val="Hyperlink"/>
          <w:rFonts w:cs="Times New Roman"/>
          <w:color w:val="auto"/>
          <w:u w:val="none"/>
          <w:lang w:val="en-US"/>
        </w:rPr>
        <w:t>&gt;</w:t>
      </w:r>
      <w:r w:rsidRPr="00FC074B">
        <w:t>.</w:t>
      </w:r>
    </w:p>
  </w:footnote>
  <w:footnote w:id="95">
    <w:p w14:paraId="4581F6FE" w14:textId="3C6EA06E" w:rsidR="001D06AA" w:rsidRPr="005158D0" w:rsidRDefault="001D06AA" w:rsidP="00396190">
      <w:pPr>
        <w:pStyle w:val="FootnoteText"/>
      </w:pPr>
      <w:r w:rsidRPr="00FC074B">
        <w:rPr>
          <w:rStyle w:val="FootnoteReference"/>
          <w:rFonts w:cs="Times New Roman"/>
        </w:rPr>
        <w:footnoteRef/>
      </w:r>
      <w:r w:rsidRPr="00FC074B">
        <w:t xml:space="preserve"> </w:t>
      </w:r>
      <w:r w:rsidRPr="00FC074B">
        <w:tab/>
        <w:t>Eileen</w:t>
      </w:r>
      <w:r w:rsidRPr="00856457">
        <w:t xml:space="preserve"> </w:t>
      </w:r>
      <w:r w:rsidRPr="00FC074B">
        <w:t>Baldry, Leanne Dowse</w:t>
      </w:r>
      <w:r>
        <w:t>, Ruth McCausland and Melissa Clarence</w:t>
      </w:r>
      <w:r w:rsidRPr="005158D0">
        <w:t xml:space="preserve">, </w:t>
      </w:r>
      <w:r w:rsidRPr="005158D0">
        <w:rPr>
          <w:i/>
        </w:rPr>
        <w:t>Lifecourse Institutional Costs of homelessness for vulnerable groups</w:t>
      </w:r>
      <w:r w:rsidRPr="001C35A2">
        <w:rPr>
          <w:i/>
        </w:rPr>
        <w:t>, Final report</w:t>
      </w:r>
      <w:r>
        <w:t xml:space="preserve"> (Commonwealth Department of Families, Housing, Community Services and Indigenous Affairs,</w:t>
      </w:r>
      <w:r w:rsidRPr="005158D0">
        <w:t xml:space="preserve"> 2012).</w:t>
      </w:r>
    </w:p>
  </w:footnote>
  <w:footnote w:id="96">
    <w:p w14:paraId="25ED3874" w14:textId="7F73089B"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Carter,</w:t>
      </w:r>
      <w:r>
        <w:t xml:space="preserve"> above </w:t>
      </w:r>
      <w:r w:rsidRPr="001C35A2">
        <w:t>n</w:t>
      </w:r>
      <w:r w:rsidRPr="001C35A2">
        <w:fldChar w:fldCharType="begin"/>
      </w:r>
      <w:r w:rsidRPr="001C35A2">
        <w:instrText xml:space="preserve"> NOTEREF _Ref514435768 \h </w:instrText>
      </w:r>
      <w:r>
        <w:instrText xml:space="preserve"> \* MERGEFORMAT </w:instrText>
      </w:r>
      <w:r w:rsidRPr="001C35A2">
        <w:fldChar w:fldCharType="separate"/>
      </w:r>
      <w:r w:rsidR="00DE614F">
        <w:t>9</w:t>
      </w:r>
      <w:r w:rsidRPr="001C35A2">
        <w:fldChar w:fldCharType="end"/>
      </w:r>
      <w:r>
        <w:t>.</w:t>
      </w:r>
      <w:r>
        <w:rPr>
          <w:i/>
        </w:rPr>
        <w:t xml:space="preserve"> </w:t>
      </w:r>
      <w:r w:rsidRPr="00F83BBB">
        <w:t>Arguably in other jurisdictions although comprehensive data to this end has not formed part of the literature used for this review/requires further investigation.</w:t>
      </w:r>
    </w:p>
  </w:footnote>
  <w:footnote w:id="97">
    <w:p w14:paraId="189B8D3D" w14:textId="11AD924D"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Cashman and Thomas, </w:t>
      </w:r>
      <w:r>
        <w:t>above n</w:t>
      </w:r>
      <w:r>
        <w:fldChar w:fldCharType="begin"/>
      </w:r>
      <w:r>
        <w:instrText xml:space="preserve"> NOTEREF _Ref514484223 \h </w:instrText>
      </w:r>
      <w:r>
        <w:fldChar w:fldCharType="separate"/>
      </w:r>
      <w:r w:rsidR="00DE614F">
        <w:t>39</w:t>
      </w:r>
      <w:r>
        <w:fldChar w:fldCharType="end"/>
      </w:r>
      <w:r w:rsidRPr="005158D0">
        <w:t>.</w:t>
      </w:r>
    </w:p>
  </w:footnote>
  <w:footnote w:id="98">
    <w:p w14:paraId="2286217F" w14:textId="58EF6B17"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Blagg</w:t>
      </w:r>
      <w:r>
        <w:t xml:space="preserve"> et al</w:t>
      </w:r>
      <w:r w:rsidRPr="005158D0">
        <w:t xml:space="preserve">, </w:t>
      </w:r>
      <w:r>
        <w:t>above n</w:t>
      </w:r>
      <w:r>
        <w:fldChar w:fldCharType="begin"/>
      </w:r>
      <w:r>
        <w:instrText xml:space="preserve"> NOTEREF _Ref514484914 \h </w:instrText>
      </w:r>
      <w:r>
        <w:fldChar w:fldCharType="separate"/>
      </w:r>
      <w:r w:rsidR="00DE614F">
        <w:t>41</w:t>
      </w:r>
      <w:r>
        <w:fldChar w:fldCharType="end"/>
      </w:r>
      <w:r w:rsidRPr="005158D0">
        <w:t xml:space="preserve">; </w:t>
      </w:r>
      <w:r>
        <w:t>Clare</w:t>
      </w:r>
      <w:r w:rsidRPr="00856457">
        <w:t xml:space="preserve"> </w:t>
      </w:r>
      <w:r>
        <w:t xml:space="preserve">Townsend, </w:t>
      </w:r>
      <w:r w:rsidRPr="005158D0">
        <w:t xml:space="preserve">Kate Hammill and Paul White, ‘Fetal alcohol disorder, disability and the criminal justice system’ (2015) 8(17) </w:t>
      </w:r>
      <w:r w:rsidRPr="00AE5A81">
        <w:rPr>
          <w:i/>
        </w:rPr>
        <w:t>Indigenous</w:t>
      </w:r>
      <w:r w:rsidRPr="005158D0">
        <w:rPr>
          <w:i/>
          <w:iCs/>
        </w:rPr>
        <w:t xml:space="preserve"> Law Bulletin</w:t>
      </w:r>
      <w:r w:rsidRPr="005158D0">
        <w:t xml:space="preserve"> 30.</w:t>
      </w:r>
    </w:p>
  </w:footnote>
  <w:footnote w:id="99">
    <w:p w14:paraId="38BACE54" w14:textId="4E6C83D1" w:rsidR="001D06AA" w:rsidRDefault="001D06AA">
      <w:pPr>
        <w:pStyle w:val="FootnoteText"/>
      </w:pPr>
      <w:r>
        <w:rPr>
          <w:rStyle w:val="FootnoteReference"/>
        </w:rPr>
        <w:footnoteRef/>
      </w:r>
      <w:r>
        <w:t xml:space="preserve"> </w:t>
      </w:r>
      <w:r>
        <w:tab/>
      </w:r>
      <w:hyperlink r:id="rId39" w:history="1">
        <w:r w:rsidRPr="00244A6B">
          <w:t>Kirsten</w:t>
        </w:r>
      </w:hyperlink>
      <w:r w:rsidRPr="00856457">
        <w:t xml:space="preserve"> Stal</w:t>
      </w:r>
      <w:r>
        <w:t>ker</w:t>
      </w:r>
      <w:r w:rsidRPr="00244A6B">
        <w:t>, Juli</w:t>
      </w:r>
      <w:r>
        <w:t xml:space="preserve">e Taylor, Debi Fry, Chris Jones Audrey Cameron, Alasdair Stewart and </w:t>
      </w:r>
      <w:r w:rsidRPr="00244A6B">
        <w:t xml:space="preserve">Anita Franklin, </w:t>
      </w:r>
      <w:hyperlink r:id="rId40" w:history="1">
        <w:r w:rsidRPr="00856457">
          <w:rPr>
            <w:rStyle w:val="Hyperlink"/>
            <w:i/>
          </w:rPr>
          <w:t>Protecting disabled children: what the latest research tells us</w:t>
        </w:r>
      </w:hyperlink>
      <w:r>
        <w:t xml:space="preserve"> (Community Care, 2015).</w:t>
      </w:r>
      <w:r w:rsidRPr="005158D0">
        <w:t>&lt;http://www.communitycare.co.uk/2015/08/14/protection-disabled-children-latest-research-tells-us/&gt;.</w:t>
      </w:r>
    </w:p>
  </w:footnote>
  <w:footnote w:id="100">
    <w:p w14:paraId="6FE00540" w14:textId="7F6EDA6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101">
    <w:p w14:paraId="1F053B03" w14:textId="5E74A765" w:rsidR="001D06AA" w:rsidRDefault="001D06AA">
      <w:pPr>
        <w:pStyle w:val="FootnoteText"/>
      </w:pPr>
      <w:r>
        <w:rPr>
          <w:rStyle w:val="FootnoteReference"/>
        </w:rPr>
        <w:footnoteRef/>
      </w:r>
      <w:r>
        <w:t xml:space="preserve"> </w:t>
      </w:r>
      <w:r>
        <w:tab/>
      </w:r>
      <w:r w:rsidRPr="005158D0">
        <w:t xml:space="preserve">See, </w:t>
      </w:r>
      <w:r>
        <w:t>eg</w:t>
      </w:r>
      <w:r w:rsidRPr="005158D0">
        <w:t xml:space="preserve">, Gooding et al, </w:t>
      </w:r>
      <w:r>
        <w:t xml:space="preserve"> above n</w:t>
      </w:r>
      <w:r>
        <w:fldChar w:fldCharType="begin"/>
      </w:r>
      <w:r>
        <w:instrText xml:space="preserve"> NOTEREF _Ref514435768 \h </w:instrText>
      </w:r>
      <w:r>
        <w:fldChar w:fldCharType="separate"/>
      </w:r>
      <w:r w:rsidR="00DE614F">
        <w:t>9</w:t>
      </w:r>
      <w:r>
        <w:fldChar w:fldCharType="end"/>
      </w:r>
      <w:r w:rsidRPr="005158D0">
        <w:t xml:space="preserve">; Hafekost et al, </w:t>
      </w:r>
      <w:r>
        <w:t>above n</w:t>
      </w:r>
      <w:r>
        <w:fldChar w:fldCharType="begin"/>
      </w:r>
      <w:r>
        <w:instrText xml:space="preserve"> NOTEREF _Ref514486331 \h </w:instrText>
      </w:r>
      <w:r>
        <w:fldChar w:fldCharType="separate"/>
      </w:r>
      <w:r w:rsidR="00DE614F">
        <w:t>42</w:t>
      </w:r>
      <w:r>
        <w:fldChar w:fldCharType="end"/>
      </w:r>
      <w:r w:rsidRPr="005158D0">
        <w:t xml:space="preserve">; McCausland and Baldry, </w:t>
      </w:r>
      <w:r>
        <w:t>above n</w:t>
      </w:r>
      <w:r>
        <w:fldChar w:fldCharType="begin"/>
      </w:r>
      <w:r>
        <w:instrText xml:space="preserve"> NOTEREF _Ref514500416 \h </w:instrText>
      </w:r>
      <w:r>
        <w:fldChar w:fldCharType="separate"/>
      </w:r>
      <w:r w:rsidR="00DE614F">
        <w:t>40</w:t>
      </w:r>
      <w:r>
        <w:fldChar w:fldCharType="end"/>
      </w:r>
      <w:r w:rsidRPr="005158D0">
        <w:t xml:space="preserve">; Lloyd et al, </w:t>
      </w:r>
      <w:r>
        <w:t>above n</w:t>
      </w:r>
      <w:r>
        <w:fldChar w:fldCharType="begin"/>
      </w:r>
      <w:r>
        <w:instrText xml:space="preserve"> NOTEREF _Ref514486331 \h </w:instrText>
      </w:r>
      <w:r>
        <w:fldChar w:fldCharType="separate"/>
      </w:r>
      <w:r w:rsidR="00DE614F">
        <w:t>42</w:t>
      </w:r>
      <w:r>
        <w:fldChar w:fldCharType="end"/>
      </w:r>
      <w:r w:rsidRPr="005158D0">
        <w:t>; Blagg</w:t>
      </w:r>
      <w:r>
        <w:t xml:space="preserve"> et al, above n</w:t>
      </w:r>
      <w:r>
        <w:fldChar w:fldCharType="begin"/>
      </w:r>
      <w:r>
        <w:instrText xml:space="preserve"> NOTEREF _Ref514484914 \h </w:instrText>
      </w:r>
      <w:r>
        <w:fldChar w:fldCharType="separate"/>
      </w:r>
      <w:r w:rsidR="00DE614F">
        <w:t>41</w:t>
      </w:r>
      <w:r>
        <w:fldChar w:fldCharType="end"/>
      </w:r>
      <w:r w:rsidRPr="005158D0">
        <w:t xml:space="preserve">; Haysom et al, </w:t>
      </w:r>
      <w:r>
        <w:t>above n</w:t>
      </w:r>
      <w:r>
        <w:fldChar w:fldCharType="begin"/>
      </w:r>
      <w:r>
        <w:instrText xml:space="preserve"> NOTEREF _Ref514486331 \h </w:instrText>
      </w:r>
      <w:r>
        <w:fldChar w:fldCharType="separate"/>
      </w:r>
      <w:r w:rsidR="00DE614F">
        <w:t>42</w:t>
      </w:r>
      <w:r>
        <w:fldChar w:fldCharType="end"/>
      </w:r>
      <w:r w:rsidRPr="005158D0">
        <w:t xml:space="preserve">; Trofimovs and Dowse, </w:t>
      </w:r>
      <w:r>
        <w:t>above n</w:t>
      </w:r>
      <w:r>
        <w:fldChar w:fldCharType="begin"/>
      </w:r>
      <w:r>
        <w:instrText xml:space="preserve"> NOTEREF _Ref514486331 \h </w:instrText>
      </w:r>
      <w:r>
        <w:fldChar w:fldCharType="separate"/>
      </w:r>
      <w:r w:rsidR="00DE614F">
        <w:t>42</w:t>
      </w:r>
      <w:r>
        <w:fldChar w:fldCharType="end"/>
      </w:r>
      <w:r w:rsidRPr="005158D0">
        <w:t xml:space="preserve">; </w:t>
      </w:r>
      <w:r w:rsidRPr="000D6A08">
        <w:t>Jonathon</w:t>
      </w:r>
      <w:r w:rsidRPr="007C526F">
        <w:t xml:space="preserve"> </w:t>
      </w:r>
      <w:r w:rsidRPr="000D6A08">
        <w:t>Hunyor, ‘</w:t>
      </w:r>
      <w:hyperlink r:id="rId41" w:history="1">
        <w:r w:rsidRPr="000D6A08">
          <w:rPr>
            <w:rStyle w:val="Hyperlink"/>
          </w:rPr>
          <w:t>A Kangaroo Loose in the Top Paddock – Criminal Justice, Mental Impairment and Fitness for Trial in the Northern Territory’</w:t>
        </w:r>
      </w:hyperlink>
      <w:r w:rsidRPr="000D6A08">
        <w:t xml:space="preserve"> (Paper presented at the Uluru Criminal Law Conference, Uluru, 31 August 2012</w:t>
      </w:r>
      <w:r>
        <w:t>)</w:t>
      </w:r>
      <w:r w:rsidRPr="000D6A08">
        <w:t xml:space="preserve"> &lt;</w:t>
      </w:r>
      <w:hyperlink r:id="rId42" w:history="1">
        <w:r w:rsidRPr="000D6A08">
          <w:rPr>
            <w:rStyle w:val="Hyperlink"/>
            <w:color w:val="auto"/>
            <w:u w:val="none"/>
          </w:rPr>
          <w:t>http://www.naaja.org.au/wp-content/uploads/2014/07/A-Kangaroo-Loose-in-the-Top-Paddock-Criminal-Justice-Mental-Impairment-and-Fitness-for-Trial-in-the-Northern-Territory.docx</w:t>
        </w:r>
      </w:hyperlink>
      <w:r w:rsidRPr="000D6A08">
        <w:rPr>
          <w:rStyle w:val="Hyperlink"/>
          <w:color w:val="auto"/>
          <w:u w:val="none"/>
        </w:rPr>
        <w:t>&gt;</w:t>
      </w:r>
      <w:r w:rsidRPr="000D6A08">
        <w:t>.</w:t>
      </w:r>
    </w:p>
  </w:footnote>
  <w:footnote w:id="102">
    <w:p w14:paraId="41B6C2DF" w14:textId="614E65A6"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103">
    <w:p w14:paraId="1B5EBDBB" w14:textId="53F9EC00" w:rsidR="001D06AA" w:rsidRPr="005158D0" w:rsidRDefault="001D06AA" w:rsidP="00396190">
      <w:pPr>
        <w:pStyle w:val="FootnoteText"/>
      </w:pPr>
      <w:r w:rsidRPr="005158D0">
        <w:rPr>
          <w:rStyle w:val="FootnoteReference"/>
          <w:rFonts w:cs="Times New Roman"/>
        </w:rPr>
        <w:footnoteRef/>
      </w:r>
      <w:r w:rsidRPr="005158D0">
        <w:t xml:space="preserve"> </w:t>
      </w:r>
      <w:r>
        <w:tab/>
        <w:t>Hunyor</w:t>
      </w:r>
      <w:r w:rsidRPr="005158D0">
        <w:t>,</w:t>
      </w:r>
      <w:r>
        <w:t xml:space="preserve"> above n</w:t>
      </w:r>
      <w:r>
        <w:fldChar w:fldCharType="begin"/>
      </w:r>
      <w:r>
        <w:instrText xml:space="preserve"> NOTEREF _Ref514500680 \h </w:instrText>
      </w:r>
      <w:r>
        <w:fldChar w:fldCharType="separate"/>
      </w:r>
      <w:r w:rsidR="00DE614F">
        <w:t>101</w:t>
      </w:r>
      <w:r>
        <w:fldChar w:fldCharType="end"/>
      </w:r>
      <w:r w:rsidRPr="005158D0">
        <w:t>. Note also Jonathon</w:t>
      </w:r>
      <w:r w:rsidRPr="00254064">
        <w:t xml:space="preserve"> </w:t>
      </w:r>
      <w:r>
        <w:t>Hunyor,</w:t>
      </w:r>
      <w:r w:rsidRPr="005158D0">
        <w:t xml:space="preserve"> ‘Imprisonment: Paperless arrests and the </w:t>
      </w:r>
      <w:r>
        <w:t>rise of executive power in the Northern T</w:t>
      </w:r>
      <w:r w:rsidRPr="005158D0">
        <w:t xml:space="preserve">erritory’ (2015) 8(21) </w:t>
      </w:r>
      <w:r w:rsidRPr="005158D0">
        <w:rPr>
          <w:i/>
        </w:rPr>
        <w:t>Indigenous Law Bulletin</w:t>
      </w:r>
      <w:r w:rsidRPr="005158D0">
        <w:t xml:space="preserve"> 3.</w:t>
      </w:r>
    </w:p>
  </w:footnote>
  <w:footnote w:id="104">
    <w:p w14:paraId="77C27FBF" w14:textId="479F15BE" w:rsidR="001D06AA" w:rsidRDefault="001D06AA">
      <w:pPr>
        <w:pStyle w:val="FootnoteText"/>
      </w:pPr>
      <w:r>
        <w:rPr>
          <w:rStyle w:val="FootnoteReference"/>
        </w:rPr>
        <w:footnoteRef/>
      </w:r>
      <w:r>
        <w:t xml:space="preserve"> </w:t>
      </w:r>
      <w:r>
        <w:tab/>
      </w:r>
      <w:r w:rsidRPr="005158D0">
        <w:t xml:space="preserve">See, </w:t>
      </w:r>
      <w:r>
        <w:t>eg</w:t>
      </w:r>
      <w:r w:rsidRPr="005158D0">
        <w:t>, Lim</w:t>
      </w:r>
      <w:r>
        <w:t xml:space="preserve"> et al</w:t>
      </w:r>
      <w:r w:rsidRPr="005158D0">
        <w:t xml:space="preserve">, </w:t>
      </w:r>
      <w:r>
        <w:t>above n</w:t>
      </w:r>
      <w:r>
        <w:fldChar w:fldCharType="begin"/>
      </w:r>
      <w:r>
        <w:instrText xml:space="preserve"> NOTEREF _Ref514435768 \h </w:instrText>
      </w:r>
      <w:r>
        <w:fldChar w:fldCharType="separate"/>
      </w:r>
      <w:r w:rsidR="00DE614F">
        <w:t>9</w:t>
      </w:r>
      <w:r>
        <w:fldChar w:fldCharType="end"/>
      </w:r>
      <w:r w:rsidRPr="005158D0">
        <w:t>; Volmaine</w:t>
      </w:r>
      <w:r w:rsidRPr="00254064">
        <w:t xml:space="preserve"> </w:t>
      </w:r>
      <w:r>
        <w:t>Toki,</w:t>
      </w:r>
      <w:r w:rsidRPr="005158D0">
        <w:t xml:space="preserve"> ‘Therapeutic jurisprudence and mental health courts for Maori’ (2010) 33 </w:t>
      </w:r>
      <w:r w:rsidRPr="005158D0">
        <w:rPr>
          <w:i/>
        </w:rPr>
        <w:t>International Journal of Law and Psychiatry</w:t>
      </w:r>
      <w:r w:rsidRPr="005158D0">
        <w:t xml:space="preserve"> 440.</w:t>
      </w:r>
    </w:p>
  </w:footnote>
  <w:footnote w:id="105">
    <w:p w14:paraId="78CD0AD8" w14:textId="5FF05916"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Lim</w:t>
      </w:r>
      <w:r>
        <w:t xml:space="preserve"> et al</w:t>
      </w:r>
      <w:r w:rsidRPr="005158D0">
        <w:t xml:space="preserve">, </w:t>
      </w:r>
      <w:r>
        <w:t>above n</w:t>
      </w:r>
      <w:r>
        <w:fldChar w:fldCharType="begin"/>
      </w:r>
      <w:r>
        <w:instrText xml:space="preserve"> NOTEREF _Ref514435768 \h </w:instrText>
      </w:r>
      <w:r>
        <w:fldChar w:fldCharType="separate"/>
      </w:r>
      <w:r w:rsidR="00DE614F">
        <w:t>9</w:t>
      </w:r>
      <w:r>
        <w:fldChar w:fldCharType="end"/>
      </w:r>
      <w:r w:rsidRPr="005158D0">
        <w:t>, 459.</w:t>
      </w:r>
    </w:p>
  </w:footnote>
  <w:footnote w:id="106">
    <w:p w14:paraId="6D25FDD2" w14:textId="23D6422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Lloyd et al,</w:t>
      </w:r>
      <w:r>
        <w:t xml:space="preserve"> above n</w:t>
      </w:r>
      <w:r>
        <w:fldChar w:fldCharType="begin"/>
      </w:r>
      <w:r>
        <w:instrText xml:space="preserve"> NOTEREF _Ref514486331 \h </w:instrText>
      </w:r>
      <w:r>
        <w:fldChar w:fldCharType="separate"/>
      </w:r>
      <w:r w:rsidR="00DE614F">
        <w:t>42</w:t>
      </w:r>
      <w:r>
        <w:fldChar w:fldCharType="end"/>
      </w:r>
      <w:r w:rsidRPr="005158D0">
        <w:t>.</w:t>
      </w:r>
    </w:p>
  </w:footnote>
  <w:footnote w:id="107">
    <w:p w14:paraId="5CD2A662" w14:textId="3E68ADC6"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 xml:space="preserve">Melbourne Social Equity Institute, </w:t>
      </w:r>
      <w:r w:rsidRPr="005158D0">
        <w:rPr>
          <w:i/>
        </w:rPr>
        <w:t>Unfitness to Plead Project</w:t>
      </w:r>
      <w:r>
        <w:t>,</w:t>
      </w:r>
      <w:r w:rsidRPr="005158D0">
        <w:rPr>
          <w:i/>
        </w:rPr>
        <w:t xml:space="preserve"> </w:t>
      </w:r>
      <w:r>
        <w:t>above n</w:t>
      </w:r>
      <w:r>
        <w:fldChar w:fldCharType="begin"/>
      </w:r>
      <w:r>
        <w:instrText xml:space="preserve"> NOTEREF _Ref514500876 \h </w:instrText>
      </w:r>
      <w:r>
        <w:fldChar w:fldCharType="separate"/>
      </w:r>
      <w:r w:rsidR="00DE614F">
        <w:t>72</w:t>
      </w:r>
      <w:r>
        <w:fldChar w:fldCharType="end"/>
      </w:r>
      <w:r>
        <w:t>;</w:t>
      </w:r>
      <w:r w:rsidRPr="005158D0">
        <w:t xml:space="preserve"> see also Stella </w:t>
      </w:r>
      <w:r>
        <w:t xml:space="preserve">Aroha Black, </w:t>
      </w:r>
      <w:r w:rsidRPr="005158D0">
        <w:t>Jacqui</w:t>
      </w:r>
      <w:r>
        <w:t>e Kidd, Katey Thom, Alice Mills</w:t>
      </w:r>
      <w:r w:rsidRPr="005158D0">
        <w:t>,</w:t>
      </w:r>
      <w:r>
        <w:t xml:space="preserve"> </w:t>
      </w:r>
      <w:r w:rsidRPr="005158D0">
        <w:t>T</w:t>
      </w:r>
      <w:r>
        <w:t>racey McIntosh and</w:t>
      </w:r>
      <w:r w:rsidRPr="005158D0">
        <w:t xml:space="preserve"> Khylee Quince, ‘Researching Ngā Kōti Rangatahi – Youth Courts on Marae: Koia te Hāngaitanga -That’s the right way?’ (2017) 1(1) </w:t>
      </w:r>
      <w:r w:rsidRPr="005158D0">
        <w:rPr>
          <w:i/>
          <w:iCs/>
        </w:rPr>
        <w:t xml:space="preserve">The Ethnographic Edge </w:t>
      </w:r>
      <w:r>
        <w:t>33–</w:t>
      </w:r>
      <w:r w:rsidRPr="005158D0">
        <w:t>45.</w:t>
      </w:r>
    </w:p>
  </w:footnote>
  <w:footnote w:id="108">
    <w:p w14:paraId="150D3806" w14:textId="6F178F7F"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w:t>
      </w:r>
    </w:p>
  </w:footnote>
  <w:footnote w:id="109">
    <w:p w14:paraId="372B0104" w14:textId="3EF0A082" w:rsidR="001D06AA" w:rsidRPr="00620053" w:rsidRDefault="001D06AA" w:rsidP="00620053">
      <w:pPr>
        <w:pStyle w:val="FootnoteText"/>
      </w:pPr>
      <w:r w:rsidRPr="005158D0">
        <w:rPr>
          <w:rStyle w:val="FootnoteReference"/>
          <w:rFonts w:cs="Times New Roman"/>
        </w:rPr>
        <w:footnoteRef/>
      </w:r>
      <w:r w:rsidRPr="005158D0">
        <w:t xml:space="preserve"> </w:t>
      </w:r>
      <w:r>
        <w:tab/>
        <w:t>Karen</w:t>
      </w:r>
      <w:r w:rsidRPr="00CE269F">
        <w:t xml:space="preserve"> </w:t>
      </w:r>
      <w:r>
        <w:t>Soldatic, Kelly Somers, Amma Buckley and Caroline Fleay,</w:t>
      </w:r>
      <w:r w:rsidRPr="005158D0">
        <w:t xml:space="preserve"> ‘‘Nowhere to be found’: disabled refugees and asylum seekers within the Australian resettlement landscape’ (2017) 2(1) </w:t>
      </w:r>
      <w:r w:rsidRPr="005158D0">
        <w:rPr>
          <w:i/>
        </w:rPr>
        <w:t>Disability and the Global South</w:t>
      </w:r>
      <w:r w:rsidRPr="005158D0">
        <w:t xml:space="preserve"> 501.</w:t>
      </w:r>
    </w:p>
  </w:footnote>
  <w:footnote w:id="110">
    <w:p w14:paraId="07D2D132" w14:textId="5BF593E2"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111">
    <w:p w14:paraId="3DB01D5E" w14:textId="77373292"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Ibid.</w:t>
      </w:r>
    </w:p>
  </w:footnote>
  <w:footnote w:id="112">
    <w:p w14:paraId="28636D73" w14:textId="28BEAE4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Timothy</w:t>
      </w:r>
      <w:r>
        <w:t xml:space="preserve"> P</w:t>
      </w:r>
      <w:r w:rsidRPr="00CE269F">
        <w:t xml:space="preserve"> </w:t>
      </w:r>
      <w:r w:rsidRPr="005158D0">
        <w:t xml:space="preserve">Fadgen and Guy Charlton, ‘Humanitarian Concerns and Deportation Orders Under the </w:t>
      </w:r>
      <w:r w:rsidRPr="00620053">
        <w:rPr>
          <w:i/>
        </w:rPr>
        <w:t>Immigration Act 2009</w:t>
      </w:r>
      <w:r w:rsidRPr="005158D0">
        <w:t xml:space="preserve">; Are International Obligations Enough Protection for the Immigrant with Mental Illness?’ (2012) 43 </w:t>
      </w:r>
      <w:r w:rsidRPr="005158D0">
        <w:rPr>
          <w:i/>
        </w:rPr>
        <w:t xml:space="preserve">Victoria University of Wellington Law Review </w:t>
      </w:r>
      <w:r w:rsidRPr="005158D0">
        <w:t>423.</w:t>
      </w:r>
    </w:p>
  </w:footnote>
  <w:footnote w:id="113">
    <w:p w14:paraId="7F7CB6F1" w14:textId="64DFC5A7" w:rsidR="001D06AA" w:rsidRDefault="001D06AA">
      <w:pPr>
        <w:pStyle w:val="FootnoteText"/>
      </w:pPr>
      <w:r>
        <w:rPr>
          <w:rStyle w:val="FootnoteReference"/>
        </w:rPr>
        <w:footnoteRef/>
      </w:r>
      <w:r>
        <w:t xml:space="preserve"> </w:t>
      </w:r>
      <w:r>
        <w:tab/>
      </w:r>
      <w:r w:rsidRPr="005158D0">
        <w:t>Ibid.</w:t>
      </w:r>
    </w:p>
  </w:footnote>
  <w:footnote w:id="114">
    <w:p w14:paraId="5BA8A15B" w14:textId="65ECCDB5"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Ibid.</w:t>
      </w:r>
    </w:p>
  </w:footnote>
  <w:footnote w:id="115">
    <w:p w14:paraId="6F430150" w14:textId="237701B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See, </w:t>
      </w:r>
      <w:r>
        <w:t>eg</w:t>
      </w:r>
      <w:r w:rsidRPr="005158D0">
        <w:t xml:space="preserve">, Steele, </w:t>
      </w:r>
      <w:r>
        <w:t>above n</w:t>
      </w:r>
      <w:r>
        <w:fldChar w:fldCharType="begin"/>
      </w:r>
      <w:r>
        <w:instrText xml:space="preserve"> NOTEREF _Ref514483539 \h </w:instrText>
      </w:r>
      <w:r>
        <w:fldChar w:fldCharType="separate"/>
      </w:r>
      <w:r w:rsidR="00DE614F">
        <w:t>14</w:t>
      </w:r>
      <w:r>
        <w:fldChar w:fldCharType="end"/>
      </w:r>
      <w:r>
        <w:t>;</w:t>
      </w:r>
      <w:r w:rsidRPr="005158D0">
        <w:rPr>
          <w:iCs/>
        </w:rPr>
        <w:t xml:space="preserve"> </w:t>
      </w:r>
      <w:r w:rsidRPr="005158D0">
        <w:t xml:space="preserve">Hafekost et al, </w:t>
      </w:r>
      <w:r>
        <w:t>above n</w:t>
      </w:r>
      <w:r>
        <w:fldChar w:fldCharType="begin"/>
      </w:r>
      <w:r>
        <w:instrText xml:space="preserve"> NOTEREF _Ref514486331 \h </w:instrText>
      </w:r>
      <w:r>
        <w:fldChar w:fldCharType="separate"/>
      </w:r>
      <w:r w:rsidR="00DE614F">
        <w:t>42</w:t>
      </w:r>
      <w:r>
        <w:fldChar w:fldCharType="end"/>
      </w:r>
      <w:r w:rsidRPr="005158D0">
        <w:t>; Dowse</w:t>
      </w:r>
      <w:r>
        <w:t>,</w:t>
      </w:r>
      <w:r w:rsidRPr="005158D0">
        <w:t xml:space="preserve"> </w:t>
      </w:r>
      <w:r w:rsidRPr="00272F79">
        <w:t>Soldatic, Spangaro, and Toorn</w:t>
      </w:r>
      <w:r w:rsidRPr="005158D0">
        <w:t xml:space="preserve">, </w:t>
      </w:r>
      <w:r>
        <w:t>above n</w:t>
      </w:r>
      <w:r>
        <w:fldChar w:fldCharType="begin"/>
      </w:r>
      <w:r>
        <w:instrText xml:space="preserve"> NOTEREF _Ref514486331 \h </w:instrText>
      </w:r>
      <w:r>
        <w:fldChar w:fldCharType="separate"/>
      </w:r>
      <w:r w:rsidR="00DE614F">
        <w:t>42</w:t>
      </w:r>
      <w:r>
        <w:fldChar w:fldCharType="end"/>
      </w:r>
      <w:r>
        <w:t>;</w:t>
      </w:r>
      <w:r w:rsidRPr="005158D0">
        <w:t xml:space="preserve"> Dowse, Frohmader and Didi, </w:t>
      </w:r>
      <w:r>
        <w:t>above n</w:t>
      </w:r>
      <w:r>
        <w:fldChar w:fldCharType="begin"/>
      </w:r>
      <w:r>
        <w:instrText xml:space="preserve"> NOTEREF _Ref514486331 \h </w:instrText>
      </w:r>
      <w:r>
        <w:fldChar w:fldCharType="separate"/>
      </w:r>
      <w:r w:rsidR="00DE614F">
        <w:t>42</w:t>
      </w:r>
      <w:r>
        <w:fldChar w:fldCharType="end"/>
      </w:r>
      <w:r w:rsidRPr="005158D0">
        <w:t>; Segrave</w:t>
      </w:r>
      <w:r>
        <w:t xml:space="preserve"> et al</w:t>
      </w:r>
      <w:r w:rsidRPr="005158D0">
        <w:t xml:space="preserve">, </w:t>
      </w:r>
      <w:r>
        <w:t>above n</w:t>
      </w:r>
      <w:r>
        <w:fldChar w:fldCharType="begin"/>
      </w:r>
      <w:r>
        <w:instrText xml:space="preserve"> NOTEREF _Ref514435768 \h </w:instrText>
      </w:r>
      <w:r>
        <w:fldChar w:fldCharType="separate"/>
      </w:r>
      <w:r w:rsidR="00DE614F">
        <w:t>9</w:t>
      </w:r>
      <w:r>
        <w:fldChar w:fldCharType="end"/>
      </w:r>
      <w:r>
        <w:t xml:space="preserve">; </w:t>
      </w:r>
      <w:r w:rsidRPr="00804B83">
        <w:rPr>
          <w:color w:val="000000" w:themeColor="text1"/>
          <w:lang w:val="en-GB"/>
        </w:rPr>
        <w:t>Disabled Peoples Organisation Australia</w:t>
      </w:r>
      <w:r w:rsidRPr="00804B83">
        <w:t>, ‘</w:t>
      </w:r>
      <w:r w:rsidRPr="00804B83">
        <w:rPr>
          <w:color w:val="000000" w:themeColor="text1"/>
        </w:rPr>
        <w:t>List of issues [Australia] to be adopted during the 18th Session of the Committee on the Rights of Persons with Disabilities’</w:t>
      </w:r>
      <w:r w:rsidRPr="00804B83">
        <w:rPr>
          <w:i/>
          <w:color w:val="000000" w:themeColor="text1"/>
        </w:rPr>
        <w:t>,</w:t>
      </w:r>
      <w:r w:rsidRPr="00804B83">
        <w:t xml:space="preserve"> </w:t>
      </w:r>
      <w:r w:rsidRPr="00804B83">
        <w:rPr>
          <w:color w:val="000000" w:themeColor="text1"/>
        </w:rPr>
        <w:t>Submission to the UN Committee on the Rights of Persons with Disabilities</w:t>
      </w:r>
      <w:r w:rsidRPr="00804B83">
        <w:rPr>
          <w:i/>
          <w:color w:val="000000" w:themeColor="text1"/>
        </w:rPr>
        <w:t xml:space="preserve"> </w:t>
      </w:r>
      <w:r w:rsidRPr="00804B83">
        <w:rPr>
          <w:color w:val="000000" w:themeColor="text1"/>
        </w:rPr>
        <w:t xml:space="preserve">Prepared, </w:t>
      </w:r>
      <w:r w:rsidRPr="00804B83">
        <w:t>2017;</w:t>
      </w:r>
      <w:r w:rsidRPr="005158D0">
        <w:t xml:space="preserve"> Weller, </w:t>
      </w:r>
      <w:r>
        <w:t>above n</w:t>
      </w:r>
      <w:r>
        <w:fldChar w:fldCharType="begin"/>
      </w:r>
      <w:r>
        <w:instrText xml:space="preserve"> NOTEREF _Ref514501841 \h </w:instrText>
      </w:r>
      <w:r>
        <w:fldChar w:fldCharType="separate"/>
      </w:r>
      <w:r w:rsidR="00DE614F">
        <w:t>15</w:t>
      </w:r>
      <w:r>
        <w:fldChar w:fldCharType="end"/>
      </w:r>
      <w:r>
        <w:t>;</w:t>
      </w:r>
      <w:r w:rsidRPr="005158D0">
        <w:t xml:space="preserve"> Douglas and Harpur, </w:t>
      </w:r>
      <w:r>
        <w:t>above n</w:t>
      </w:r>
      <w:r>
        <w:fldChar w:fldCharType="begin"/>
      </w:r>
      <w:r>
        <w:instrText xml:space="preserve"> NOTEREF _Ref514435697 \h </w:instrText>
      </w:r>
      <w:r>
        <w:fldChar w:fldCharType="separate"/>
      </w:r>
      <w:r w:rsidR="00DE614F">
        <w:t>17</w:t>
      </w:r>
      <w:r>
        <w:fldChar w:fldCharType="end"/>
      </w:r>
      <w:r w:rsidRPr="005158D0">
        <w:t xml:space="preserve">. </w:t>
      </w:r>
      <w:r w:rsidRPr="00134B60">
        <w:t xml:space="preserve">See also Patsie Frawley, Sue Dyson, Sally Robinson and Jen Dixon., </w:t>
      </w:r>
      <w:r w:rsidRPr="00134B60">
        <w:rPr>
          <w:i/>
        </w:rPr>
        <w:t>Landscapes: State of knowledge</w:t>
      </w:r>
      <w:r w:rsidRPr="00134B60">
        <w:t xml:space="preserve"> — </w:t>
      </w:r>
      <w:r w:rsidRPr="00134B60">
        <w:rPr>
          <w:i/>
        </w:rPr>
        <w:t>What does it take? Developing informed and effective tertiary responses to violence and abuse of women and girls with disabilities in Australia: State of knowledge paper</w:t>
      </w:r>
      <w:r w:rsidRPr="00134B60">
        <w:t xml:space="preserve"> (Australia’s National Research Organisation for Women’s Safety, 2015) &lt;</w:t>
      </w:r>
      <w:hyperlink r:id="rId43" w:history="1">
        <w:r w:rsidRPr="00134B60">
          <w:rPr>
            <w:rStyle w:val="Hyperlink"/>
          </w:rPr>
          <w:t>https://anrows.org.au/sites/default/files/3_3.4%20Landscapes%20Disability.pdf</w:t>
        </w:r>
      </w:hyperlink>
      <w:r w:rsidRPr="00134B60">
        <w:t>&gt;.</w:t>
      </w:r>
    </w:p>
  </w:footnote>
  <w:footnote w:id="116">
    <w:p w14:paraId="01A30D4D" w14:textId="225E7414" w:rsidR="001D06AA" w:rsidRDefault="001D06AA">
      <w:pPr>
        <w:pStyle w:val="FootnoteText"/>
      </w:pPr>
      <w:r>
        <w:rPr>
          <w:rStyle w:val="FootnoteReference"/>
        </w:rPr>
        <w:footnoteRef/>
      </w:r>
      <w:r>
        <w:t xml:space="preserve"> </w:t>
      </w:r>
      <w:r>
        <w:tab/>
      </w:r>
      <w:r w:rsidRPr="005158D0">
        <w:t>Frohmader and Brophy,</w:t>
      </w:r>
      <w:r>
        <w:t xml:space="preserve"> above n</w:t>
      </w:r>
      <w:r>
        <w:fldChar w:fldCharType="begin"/>
      </w:r>
      <w:r>
        <w:instrText xml:space="preserve"> NOTEREF _Ref514502088 \h </w:instrText>
      </w:r>
      <w:r>
        <w:fldChar w:fldCharType="separate"/>
      </w:r>
      <w:r w:rsidR="00DE614F">
        <w:t>115</w:t>
      </w:r>
      <w:r>
        <w:fldChar w:fldCharType="end"/>
      </w:r>
      <w:r w:rsidRPr="005158D0">
        <w:t>.</w:t>
      </w:r>
    </w:p>
  </w:footnote>
  <w:footnote w:id="117">
    <w:p w14:paraId="39BE83B6" w14:textId="606BBE7C"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Dowse</w:t>
      </w:r>
      <w:r>
        <w:t>,</w:t>
      </w:r>
      <w:r w:rsidRPr="005158D0">
        <w:t xml:space="preserve"> </w:t>
      </w:r>
      <w:r w:rsidRPr="00272F79">
        <w:t>Soldatic, Spangaro, and Toorn</w:t>
      </w:r>
      <w:r w:rsidRPr="005158D0">
        <w:t xml:space="preserve">, </w:t>
      </w:r>
      <w:r>
        <w:t>above n</w:t>
      </w:r>
      <w:r>
        <w:fldChar w:fldCharType="begin"/>
      </w:r>
      <w:r>
        <w:instrText xml:space="preserve"> NOTEREF _Ref514486331 \h </w:instrText>
      </w:r>
      <w:r>
        <w:fldChar w:fldCharType="separate"/>
      </w:r>
      <w:r w:rsidR="00DE614F">
        <w:t>42</w:t>
      </w:r>
      <w:r>
        <w:fldChar w:fldCharType="end"/>
      </w:r>
      <w:r w:rsidRPr="005158D0">
        <w:t>.</w:t>
      </w:r>
    </w:p>
  </w:footnote>
  <w:footnote w:id="118">
    <w:p w14:paraId="5CCFB11C" w14:textId="5759EAF7"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Katrina</w:t>
      </w:r>
      <w:r>
        <w:t xml:space="preserve"> </w:t>
      </w:r>
      <w:r w:rsidRPr="005158D0">
        <w:t xml:space="preserve">Pestka and Sarah Wendt, ‘Belonging: women living with intellectual disabilities and experiences of domestic violence’ (2014) 29(7) </w:t>
      </w:r>
      <w:r w:rsidRPr="005158D0">
        <w:rPr>
          <w:i/>
        </w:rPr>
        <w:t>Disability &amp; Society</w:t>
      </w:r>
      <w:r w:rsidRPr="005158D0">
        <w:t xml:space="preserve"> 1031.</w:t>
      </w:r>
    </w:p>
  </w:footnote>
  <w:footnote w:id="119">
    <w:p w14:paraId="26CA70C4" w14:textId="0A616B08" w:rsidR="001D06AA" w:rsidRPr="005158D0" w:rsidRDefault="001D06AA" w:rsidP="00396190">
      <w:pPr>
        <w:pStyle w:val="FootnoteText"/>
      </w:pPr>
      <w:r w:rsidRPr="005158D0">
        <w:rPr>
          <w:rStyle w:val="FootnoteReference"/>
          <w:rFonts w:cs="Times New Roman"/>
        </w:rPr>
        <w:footnoteRef/>
      </w:r>
      <w:r w:rsidRPr="005158D0">
        <w:t xml:space="preserve"> </w:t>
      </w:r>
      <w:r>
        <w:tab/>
      </w:r>
      <w:r w:rsidRPr="006678D2">
        <w:t>Australian Cross Disability Alliance, above n</w:t>
      </w:r>
      <w:r w:rsidRPr="006678D2">
        <w:fldChar w:fldCharType="begin"/>
      </w:r>
      <w:r w:rsidRPr="006678D2">
        <w:instrText xml:space="preserve"> NOTEREF _Ref514501841 \h </w:instrText>
      </w:r>
      <w:r>
        <w:instrText xml:space="preserve"> \* MERGEFORMAT </w:instrText>
      </w:r>
      <w:r w:rsidRPr="006678D2">
        <w:fldChar w:fldCharType="separate"/>
      </w:r>
      <w:r w:rsidR="00DE614F">
        <w:t>15</w:t>
      </w:r>
      <w:r w:rsidRPr="006678D2">
        <w:fldChar w:fldCharType="end"/>
      </w:r>
      <w:r w:rsidRPr="006678D2">
        <w:t xml:space="preserve">. See also the discussion and recommendations for reform or further investigation contained in the grey literature, eg, Senate Community Affairs References Committee, Parliament of Australia, </w:t>
      </w:r>
      <w:hyperlink r:id="rId44" w:history="1">
        <w:r w:rsidRPr="006678D2">
          <w:rPr>
            <w:rStyle w:val="Hyperlink"/>
            <w:i/>
          </w:rPr>
          <w:t>Violence, abuse and neglect against people with disability in institutional and residential settings</w:t>
        </w:r>
      </w:hyperlink>
      <w:r w:rsidRPr="006678D2">
        <w:rPr>
          <w:i/>
        </w:rPr>
        <w:t xml:space="preserve">, including the gender and age related dimensions, and the particular situation of Aboriginal and Torres Strait Islander people with disability, and culturally and linguistically diverse people with disability </w:t>
      </w:r>
      <w:r w:rsidRPr="006678D2">
        <w:t>(2015) &lt;</w:t>
      </w:r>
      <w:hyperlink r:id="rId45" w:history="1">
        <w:r w:rsidRPr="006678D2">
          <w:rPr>
            <w:rStyle w:val="Hyperlink"/>
            <w:rFonts w:cs="Times New Roman"/>
            <w:color w:val="auto"/>
            <w:u w:val="none"/>
          </w:rPr>
          <w:t>http://www.aph.gov.au/Parliamentary_Business/Committees/Senate/Community_Affairs/Violence_abuse_neglect/Report</w:t>
        </w:r>
      </w:hyperlink>
      <w:r w:rsidRPr="006678D2">
        <w:rPr>
          <w:rStyle w:val="Hyperlink"/>
          <w:rFonts w:cs="Times New Roman"/>
          <w:color w:val="auto"/>
          <w:u w:val="none"/>
        </w:rPr>
        <w:t>&gt;</w:t>
      </w:r>
      <w:r w:rsidRPr="006678D2">
        <w:t xml:space="preserve">; Senate Community Affairs Reference Committee, Parliament of Australia, </w:t>
      </w:r>
      <w:hyperlink r:id="rId46" w:history="1">
        <w:r w:rsidRPr="006678D2">
          <w:rPr>
            <w:rStyle w:val="Hyperlink"/>
            <w:i/>
          </w:rPr>
          <w:t>Indefinite Detention of People with Cognitive and Psychiatric Impairment in Australia: Final Report</w:t>
        </w:r>
      </w:hyperlink>
      <w:r w:rsidRPr="006678D2">
        <w:t xml:space="preserve"> (2016) &lt;</w:t>
      </w:r>
      <w:hyperlink r:id="rId47" w:history="1">
        <w:r w:rsidRPr="006678D2">
          <w:rPr>
            <w:rStyle w:val="Hyperlink"/>
            <w:rFonts w:cs="Times New Roman"/>
            <w:color w:val="auto"/>
            <w:u w:val="none"/>
          </w:rPr>
          <w:t>http://www.aph.gov.au/Parliamentary_Business/Committees/Senate/Community_Affairs/IndefiniteDetention45/Report</w:t>
        </w:r>
      </w:hyperlink>
      <w:r w:rsidRPr="006678D2">
        <w:rPr>
          <w:rStyle w:val="Hyperlink"/>
          <w:rFonts w:cs="Times New Roman"/>
          <w:color w:val="auto"/>
          <w:u w:val="none"/>
        </w:rPr>
        <w:t>&gt;</w:t>
      </w:r>
      <w:r w:rsidRPr="006678D2">
        <w:t xml:space="preserve">; Law Reform Committee, Parliament of Victoria, </w:t>
      </w:r>
      <w:hyperlink r:id="rId48" w:history="1">
        <w:r w:rsidRPr="006678D2">
          <w:rPr>
            <w:rStyle w:val="Hyperlink"/>
            <w:i/>
          </w:rPr>
          <w:t xml:space="preserve">Inquiry into Abuse in Disability Services: Final Report </w:t>
        </w:r>
      </w:hyperlink>
      <w:r w:rsidRPr="006678D2">
        <w:t xml:space="preserve"> </w:t>
      </w:r>
      <w:r>
        <w:t xml:space="preserve">(2016) </w:t>
      </w:r>
      <w:r w:rsidRPr="006678D2">
        <w:t>&lt;</w:t>
      </w:r>
      <w:hyperlink r:id="rId49" w:history="1">
        <w:r w:rsidRPr="006678D2">
          <w:rPr>
            <w:rStyle w:val="Hyperlink"/>
          </w:rPr>
          <w:t>https://www.parliament.vic.gov.au/fcdc/inquiries/article/1851</w:t>
        </w:r>
      </w:hyperlink>
      <w:r w:rsidRPr="006678D2">
        <w:rPr>
          <w:rStyle w:val="Hyperlink"/>
          <w:rFonts w:cs="Times New Roman"/>
          <w:color w:val="auto"/>
          <w:u w:val="none"/>
        </w:rPr>
        <w:t>&gt;</w:t>
      </w:r>
      <w:r w:rsidRPr="006678D2">
        <w:t>.</w:t>
      </w:r>
    </w:p>
  </w:footnote>
  <w:footnote w:id="120">
    <w:p w14:paraId="3F54D0C4" w14:textId="4255658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Dowse</w:t>
      </w:r>
      <w:r>
        <w:t>,</w:t>
      </w:r>
      <w:r w:rsidRPr="005158D0">
        <w:t xml:space="preserve"> </w:t>
      </w:r>
      <w:r w:rsidRPr="00272F79">
        <w:t>Soldatic, Spangaro, and Toorn</w:t>
      </w:r>
      <w:r w:rsidRPr="005158D0">
        <w:t xml:space="preserve">, </w:t>
      </w:r>
      <w:r>
        <w:t>above n</w:t>
      </w:r>
      <w:r>
        <w:fldChar w:fldCharType="begin"/>
      </w:r>
      <w:r>
        <w:instrText xml:space="preserve"> NOTEREF _Ref514486331 \h </w:instrText>
      </w:r>
      <w:r>
        <w:fldChar w:fldCharType="separate"/>
      </w:r>
      <w:r w:rsidR="00DE614F">
        <w:t>42</w:t>
      </w:r>
      <w:r>
        <w:fldChar w:fldCharType="end"/>
      </w:r>
      <w:r w:rsidRPr="005158D0">
        <w:t>.</w:t>
      </w:r>
    </w:p>
    <w:p w14:paraId="33D9C692" w14:textId="70100450"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Pestka and Wendt, </w:t>
      </w:r>
      <w:r>
        <w:t>above n</w:t>
      </w:r>
      <w:r>
        <w:fldChar w:fldCharType="begin"/>
      </w:r>
      <w:r>
        <w:instrText xml:space="preserve"> NOTEREF _Ref514502339 \h </w:instrText>
      </w:r>
      <w:r>
        <w:fldChar w:fldCharType="separate"/>
      </w:r>
      <w:r w:rsidR="00DE614F">
        <w:t>118</w:t>
      </w:r>
      <w:r>
        <w:fldChar w:fldCharType="end"/>
      </w:r>
      <w:r w:rsidRPr="005158D0">
        <w:t>.</w:t>
      </w:r>
    </w:p>
  </w:footnote>
  <w:footnote w:id="121">
    <w:p w14:paraId="44A3A0F0" w14:textId="0206078D"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 xml:space="preserve">Douglas and Harpur, </w:t>
      </w:r>
      <w:r>
        <w:t>above n</w:t>
      </w:r>
      <w:r>
        <w:fldChar w:fldCharType="begin"/>
      </w:r>
      <w:r>
        <w:instrText xml:space="preserve"> NOTEREF _Ref514435697 \h </w:instrText>
      </w:r>
      <w:r>
        <w:fldChar w:fldCharType="separate"/>
      </w:r>
      <w:r w:rsidR="00DE614F">
        <w:t>17</w:t>
      </w:r>
      <w:r>
        <w:fldChar w:fldCharType="end"/>
      </w:r>
      <w:r w:rsidRPr="005158D0">
        <w:t xml:space="preserve">. </w:t>
      </w:r>
    </w:p>
  </w:footnote>
  <w:footnote w:id="122">
    <w:p w14:paraId="5461DF1E" w14:textId="12481B5B" w:rsidR="001D06AA" w:rsidRPr="005158D0" w:rsidRDefault="001D06AA" w:rsidP="00396190">
      <w:pPr>
        <w:pStyle w:val="FootnoteText"/>
        <w:rPr>
          <w:highlight w:val="green"/>
        </w:rPr>
      </w:pPr>
      <w:r w:rsidRPr="005158D0">
        <w:rPr>
          <w:rStyle w:val="FootnoteReference"/>
          <w:rFonts w:cs="Times New Roman"/>
        </w:rPr>
        <w:footnoteRef/>
      </w:r>
      <w:r w:rsidRPr="005158D0">
        <w:t xml:space="preserve"> </w:t>
      </w:r>
      <w:r>
        <w:tab/>
      </w:r>
      <w:r w:rsidRPr="005158D0">
        <w:t xml:space="preserve">Note the discussion in Healey, </w:t>
      </w:r>
      <w:r>
        <w:t>above n</w:t>
      </w:r>
      <w:r>
        <w:fldChar w:fldCharType="begin"/>
      </w:r>
      <w:r>
        <w:instrText xml:space="preserve"> NOTEREF _Ref514502477 \h </w:instrText>
      </w:r>
      <w:r>
        <w:fldChar w:fldCharType="separate"/>
      </w:r>
      <w:r w:rsidR="00DE614F">
        <w:t>62</w:t>
      </w:r>
      <w:r>
        <w:fldChar w:fldCharType="end"/>
      </w:r>
      <w:r w:rsidRPr="005158D0">
        <w:t>. Note also the arguments put forward in Carolyn</w:t>
      </w:r>
      <w:r w:rsidRPr="00DF4A53">
        <w:t xml:space="preserve"> </w:t>
      </w:r>
      <w:r>
        <w:t>Frohmader, Leanne Dowse</w:t>
      </w:r>
      <w:r w:rsidRPr="005158D0">
        <w:t xml:space="preserve"> and Aminath Didi, </w:t>
      </w:r>
      <w:hyperlink r:id="rId50" w:history="1">
        <w:r w:rsidRPr="00DF4A53">
          <w:rPr>
            <w:rStyle w:val="Hyperlink"/>
            <w:i/>
          </w:rPr>
          <w:t>Preventing violence against women and girls with disabilities: Integrating a human rights perspective</w:t>
        </w:r>
      </w:hyperlink>
      <w:r w:rsidRPr="005158D0">
        <w:t xml:space="preserve"> (Women w</w:t>
      </w:r>
      <w:r>
        <w:t>ith Disabilities Australia, 2015) &lt;</w:t>
      </w:r>
      <w:r w:rsidRPr="005158D0">
        <w:t>http://wwda.org.au/wp-content/uploads/2013/12/Think_Piece_Revised_Edition.pdf&gt;.</w:t>
      </w:r>
    </w:p>
  </w:footnote>
  <w:footnote w:id="123">
    <w:p w14:paraId="49B96A20" w14:textId="0475E64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Hamilton,</w:t>
      </w:r>
      <w:r>
        <w:t xml:space="preserve"> above n</w:t>
      </w:r>
      <w:r>
        <w:fldChar w:fldCharType="begin"/>
      </w:r>
      <w:r>
        <w:instrText xml:space="preserve"> NOTEREF _Ref514502603 \h </w:instrText>
      </w:r>
      <w:r>
        <w:fldChar w:fldCharType="separate"/>
      </w:r>
      <w:r w:rsidR="00DE614F">
        <w:t>91</w:t>
      </w:r>
      <w:r>
        <w:fldChar w:fldCharType="end"/>
      </w:r>
      <w:r w:rsidRPr="005158D0">
        <w:t>, 61.</w:t>
      </w:r>
    </w:p>
  </w:footnote>
  <w:footnote w:id="124">
    <w:p w14:paraId="69291A80" w14:textId="7B3A029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Dowse</w:t>
      </w:r>
      <w:r>
        <w:t>,</w:t>
      </w:r>
      <w:r w:rsidRPr="00310756">
        <w:t xml:space="preserve"> </w:t>
      </w:r>
      <w:r>
        <w:t>Soldatic, Frohmader and Toorn</w:t>
      </w:r>
      <w:r w:rsidRPr="005158D0">
        <w:t xml:space="preserve">, </w:t>
      </w:r>
      <w:r>
        <w:t>above n</w:t>
      </w:r>
      <w:r>
        <w:fldChar w:fldCharType="begin"/>
      </w:r>
      <w:r>
        <w:instrText xml:space="preserve"> NOTEREF _Ref514502477 \h </w:instrText>
      </w:r>
      <w:r>
        <w:fldChar w:fldCharType="separate"/>
      </w:r>
      <w:r w:rsidR="00DE614F">
        <w:t>62</w:t>
      </w:r>
      <w:r>
        <w:fldChar w:fldCharType="end"/>
      </w:r>
      <w:r>
        <w:t xml:space="preserve">; </w:t>
      </w:r>
      <w:r w:rsidRPr="005158D0">
        <w:t>Dowse</w:t>
      </w:r>
      <w:r>
        <w:t>,</w:t>
      </w:r>
      <w:r w:rsidRPr="005158D0">
        <w:t xml:space="preserve"> </w:t>
      </w:r>
      <w:r w:rsidRPr="00272F79">
        <w:t>Soldatic, Spangaro, and Toorn</w:t>
      </w:r>
      <w:r w:rsidRPr="005158D0">
        <w:t xml:space="preserve">, </w:t>
      </w:r>
      <w:r>
        <w:t>above n</w:t>
      </w:r>
      <w:r>
        <w:fldChar w:fldCharType="begin"/>
      </w:r>
      <w:r>
        <w:instrText xml:space="preserve"> NOTEREF _Ref514486331 \h </w:instrText>
      </w:r>
      <w:r>
        <w:fldChar w:fldCharType="separate"/>
      </w:r>
      <w:r w:rsidR="00DE614F">
        <w:t>42</w:t>
      </w:r>
      <w:r>
        <w:fldChar w:fldCharType="end"/>
      </w:r>
      <w:r w:rsidRPr="005158D0">
        <w:t xml:space="preserve">; Healey, </w:t>
      </w:r>
      <w:r>
        <w:t>above n</w:t>
      </w:r>
      <w:r>
        <w:fldChar w:fldCharType="begin"/>
      </w:r>
      <w:r>
        <w:instrText xml:space="preserve"> NOTEREF _Ref514502477 \h </w:instrText>
      </w:r>
      <w:r>
        <w:fldChar w:fldCharType="separate"/>
      </w:r>
      <w:r w:rsidR="00DE614F">
        <w:t>62</w:t>
      </w:r>
      <w:r>
        <w:fldChar w:fldCharType="end"/>
      </w:r>
      <w:r w:rsidRPr="005158D0">
        <w:t xml:space="preserve">. </w:t>
      </w:r>
    </w:p>
  </w:footnote>
  <w:footnote w:id="125">
    <w:p w14:paraId="68EA8846" w14:textId="706C56E2" w:rsidR="001D06AA" w:rsidRPr="005158D0" w:rsidRDefault="001D06AA" w:rsidP="00396190">
      <w:pPr>
        <w:pStyle w:val="FootnoteText"/>
        <w:rPr>
          <w:lang w:val="en-US"/>
        </w:rPr>
      </w:pPr>
      <w:r w:rsidRPr="005158D0">
        <w:rPr>
          <w:rStyle w:val="FootnoteReference"/>
          <w:rFonts w:cs="Times New Roman"/>
        </w:rPr>
        <w:footnoteRef/>
      </w:r>
      <w:r w:rsidRPr="005158D0">
        <w:t xml:space="preserve"> </w:t>
      </w:r>
      <w:r>
        <w:tab/>
      </w:r>
      <w:r w:rsidRPr="005158D0">
        <w:t>Llewellyn et al,</w:t>
      </w:r>
      <w:r>
        <w:t xml:space="preserve"> above n</w:t>
      </w:r>
      <w:r>
        <w:fldChar w:fldCharType="begin"/>
      </w:r>
      <w:r>
        <w:instrText xml:space="preserve"> NOTEREF _Ref514432727 \h </w:instrText>
      </w:r>
      <w:r>
        <w:fldChar w:fldCharType="separate"/>
      </w:r>
      <w:r w:rsidR="00DE614F">
        <w:t>2</w:t>
      </w:r>
      <w:r>
        <w:fldChar w:fldCharType="end"/>
      </w:r>
      <w:r w:rsidRPr="005158D0">
        <w:t>.</w:t>
      </w:r>
    </w:p>
  </w:footnote>
  <w:footnote w:id="126">
    <w:p w14:paraId="087AD53A" w14:textId="42248015" w:rsidR="001D06AA" w:rsidRPr="005158D0" w:rsidRDefault="001D06AA" w:rsidP="00396190">
      <w:pPr>
        <w:pStyle w:val="FootnoteText"/>
        <w:rPr>
          <w:highlight w:val="green"/>
        </w:rPr>
      </w:pPr>
      <w:r w:rsidRPr="005158D0">
        <w:rPr>
          <w:rStyle w:val="FootnoteReference"/>
          <w:rFonts w:cs="Times New Roman"/>
        </w:rPr>
        <w:footnoteRef/>
      </w:r>
      <w:r w:rsidRPr="005158D0">
        <w:t xml:space="preserve"> </w:t>
      </w:r>
      <w:r>
        <w:tab/>
      </w:r>
      <w:r w:rsidRPr="005158D0">
        <w:t>Rebecca</w:t>
      </w:r>
      <w:r w:rsidRPr="00DF4A53">
        <w:t xml:space="preserve"> </w:t>
      </w:r>
      <w:r w:rsidRPr="005158D0">
        <w:t>Barton,</w:t>
      </w:r>
      <w:r>
        <w:t xml:space="preserve"> Tracy Robinson, Gwynnyth Llewellyn, Kathy Thorncraft and Andy Smidt,</w:t>
      </w:r>
      <w:r w:rsidRPr="005158D0">
        <w:t xml:space="preserve"> ‘Rural and remote perspectives in disability and mental health research in Australia: 2000 – 2013’ (2015) 13(1) </w:t>
      </w:r>
      <w:r w:rsidRPr="005158D0">
        <w:rPr>
          <w:i/>
          <w:iCs/>
        </w:rPr>
        <w:t>Advances in Mental Health</w:t>
      </w:r>
      <w:r w:rsidRPr="005158D0">
        <w:t xml:space="preserve"> 30.</w:t>
      </w:r>
    </w:p>
  </w:footnote>
  <w:footnote w:id="127">
    <w:p w14:paraId="6B52C5D8" w14:textId="235099F3" w:rsidR="001D06AA" w:rsidRPr="005158D0" w:rsidRDefault="001D06AA" w:rsidP="001D3A40">
      <w:pPr>
        <w:pStyle w:val="FootnoteText"/>
      </w:pPr>
      <w:r w:rsidRPr="005158D0">
        <w:rPr>
          <w:rStyle w:val="FootnoteReference"/>
          <w:rFonts w:cs="Times New Roman"/>
        </w:rPr>
        <w:footnoteRef/>
      </w:r>
      <w:r w:rsidRPr="005158D0">
        <w:t xml:space="preserve"> </w:t>
      </w:r>
      <w:r>
        <w:tab/>
      </w:r>
      <w:r w:rsidRPr="005158D0">
        <w:t xml:space="preserve">See, </w:t>
      </w:r>
      <w:r>
        <w:t>for example</w:t>
      </w:r>
      <w:r w:rsidRPr="005158D0">
        <w:t xml:space="preserve">, </w:t>
      </w:r>
      <w:r>
        <w:t>Blagg et al, above n</w:t>
      </w:r>
      <w:r>
        <w:fldChar w:fldCharType="begin"/>
      </w:r>
      <w:r>
        <w:instrText xml:space="preserve"> NOTEREF _Ref514484914 \h </w:instrText>
      </w:r>
      <w:r>
        <w:fldChar w:fldCharType="separate"/>
      </w:r>
      <w:r w:rsidR="00DE614F">
        <w:t>41</w:t>
      </w:r>
      <w:r>
        <w:fldChar w:fldCharType="end"/>
      </w:r>
      <w:r w:rsidRPr="005158D0">
        <w:t xml:space="preserve">; Barton et al, </w:t>
      </w:r>
      <w:r>
        <w:t>above n</w:t>
      </w:r>
      <w:r>
        <w:fldChar w:fldCharType="begin"/>
      </w:r>
      <w:r>
        <w:instrText xml:space="preserve"> NOTEREF _Ref514503216 \h </w:instrText>
      </w:r>
      <w:r>
        <w:fldChar w:fldCharType="separate"/>
      </w:r>
      <w:r w:rsidR="00DE614F">
        <w:t>126</w:t>
      </w:r>
      <w:r>
        <w:fldChar w:fldCharType="end"/>
      </w:r>
      <w:r>
        <w:t>.</w:t>
      </w:r>
    </w:p>
  </w:footnote>
  <w:footnote w:id="128">
    <w:p w14:paraId="617CDD03" w14:textId="043E4B9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DPO Australia.</w:t>
      </w:r>
    </w:p>
  </w:footnote>
  <w:footnote w:id="129">
    <w:p w14:paraId="0E37AB83" w14:textId="64E6A829"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DPO Australia.</w:t>
      </w:r>
    </w:p>
  </w:footnote>
  <w:footnote w:id="130">
    <w:p w14:paraId="08BB77E4" w14:textId="73CDA8DC"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Communication Rights Australia, VALiD</w:t>
      </w:r>
      <w:r>
        <w:t>,</w:t>
      </w:r>
      <w:r w:rsidRPr="005158D0">
        <w:t xml:space="preserve"> and People with Disabilities Assembly, New Zealand.</w:t>
      </w:r>
    </w:p>
  </w:footnote>
  <w:footnote w:id="131">
    <w:p w14:paraId="1AF31B41" w14:textId="548CFA00"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First Peoples Disability Network.</w:t>
      </w:r>
    </w:p>
  </w:footnote>
  <w:footnote w:id="132">
    <w:p w14:paraId="7B6953A4" w14:textId="4D7AF50D" w:rsidR="001D06AA" w:rsidRPr="005158D0" w:rsidRDefault="001D06AA" w:rsidP="00396190">
      <w:pPr>
        <w:pStyle w:val="FootnoteText"/>
      </w:pPr>
      <w:r w:rsidRPr="005158D0">
        <w:rPr>
          <w:rStyle w:val="FootnoteReference"/>
          <w:rFonts w:cs="Times New Roman"/>
        </w:rPr>
        <w:footnoteRef/>
      </w:r>
      <w:r w:rsidRPr="005158D0">
        <w:t xml:space="preserve"> </w:t>
      </w:r>
      <w:r>
        <w:tab/>
        <w:t>Recommended by People W</w:t>
      </w:r>
      <w:r w:rsidRPr="005158D0">
        <w:t>ith Disability Australia.</w:t>
      </w:r>
    </w:p>
  </w:footnote>
  <w:footnote w:id="133">
    <w:p w14:paraId="12BAC247" w14:textId="0B04AA2B" w:rsidR="001D06AA" w:rsidRPr="005158D0" w:rsidRDefault="001D06AA" w:rsidP="00396190">
      <w:pPr>
        <w:pStyle w:val="FootnoteText"/>
      </w:pPr>
      <w:r w:rsidRPr="005158D0">
        <w:rPr>
          <w:rStyle w:val="FootnoteReference"/>
          <w:rFonts w:cs="Times New Roman"/>
        </w:rPr>
        <w:footnoteRef/>
      </w:r>
      <w:r w:rsidRPr="005158D0">
        <w:t xml:space="preserve"> </w:t>
      </w:r>
      <w:r>
        <w:tab/>
        <w:t>Recommended by People W</w:t>
      </w:r>
      <w:r w:rsidRPr="005158D0">
        <w:t>ith Disability Australia.</w:t>
      </w:r>
    </w:p>
  </w:footnote>
  <w:footnote w:id="134">
    <w:p w14:paraId="21BBCF79" w14:textId="4D00DB55"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VALiD.</w:t>
      </w:r>
    </w:p>
  </w:footnote>
  <w:footnote w:id="135">
    <w:p w14:paraId="3D1318D8" w14:textId="1634F635"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F</w:t>
      </w:r>
      <w:r>
        <w:t xml:space="preserve">irst </w:t>
      </w:r>
      <w:r w:rsidRPr="005158D0">
        <w:t>P</w:t>
      </w:r>
      <w:r>
        <w:t xml:space="preserve">eoples </w:t>
      </w:r>
      <w:r w:rsidRPr="005158D0">
        <w:t>D</w:t>
      </w:r>
      <w:r>
        <w:t xml:space="preserve">isability </w:t>
      </w:r>
      <w:r w:rsidRPr="005158D0">
        <w:t>N</w:t>
      </w:r>
      <w:r>
        <w:t>etwork</w:t>
      </w:r>
      <w:r w:rsidRPr="005158D0">
        <w:t>.</w:t>
      </w:r>
    </w:p>
  </w:footnote>
  <w:footnote w:id="136">
    <w:p w14:paraId="20ACDFAD" w14:textId="08D60428"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Victoria Legal Aid.</w:t>
      </w:r>
    </w:p>
  </w:footnote>
  <w:footnote w:id="137">
    <w:p w14:paraId="230DB515" w14:textId="156A2F27"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Victoria Legal Aid.</w:t>
      </w:r>
    </w:p>
  </w:footnote>
  <w:footnote w:id="138">
    <w:p w14:paraId="5FE8BA2C" w14:textId="259F9C9F"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Victoria Legal Aid.</w:t>
      </w:r>
    </w:p>
  </w:footnote>
  <w:footnote w:id="139">
    <w:p w14:paraId="7E3B1820" w14:textId="7748551A"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Communication Rights Australia.</w:t>
      </w:r>
    </w:p>
  </w:footnote>
  <w:footnote w:id="140">
    <w:p w14:paraId="3C198447" w14:textId="0B929EFE" w:rsidR="001D06AA" w:rsidRPr="005158D0" w:rsidRDefault="001D06AA" w:rsidP="00396190">
      <w:pPr>
        <w:pStyle w:val="FootnoteText"/>
      </w:pPr>
      <w:r w:rsidRPr="005158D0">
        <w:rPr>
          <w:rStyle w:val="FootnoteReference"/>
          <w:rFonts w:cs="Times New Roman"/>
        </w:rPr>
        <w:footnoteRef/>
      </w:r>
      <w:r w:rsidRPr="005158D0">
        <w:t xml:space="preserve"> </w:t>
      </w:r>
      <w:r>
        <w:tab/>
      </w:r>
      <w:r w:rsidRPr="005158D0">
        <w:t>Recommended by Disabled Peoples’ Assembly NZ.</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C449" w14:textId="77777777" w:rsidR="001D06AA" w:rsidRDefault="001D06A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1EA98" w14:textId="77777777" w:rsidR="001D06AA" w:rsidRDefault="001D06A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93CA7" w14:textId="77777777" w:rsidR="001D06AA" w:rsidRDefault="001D06A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33876" w14:textId="77777777" w:rsidR="001D06AA" w:rsidRDefault="001D06AA" w:rsidP="0039619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C440D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509624"/>
    <w:lvl w:ilvl="0">
      <w:start w:val="1"/>
      <w:numFmt w:val="decimal"/>
      <w:lvlText w:val="%1."/>
      <w:lvlJc w:val="left"/>
      <w:pPr>
        <w:tabs>
          <w:tab w:val="num" w:pos="1492"/>
        </w:tabs>
        <w:ind w:left="1492" w:hanging="360"/>
      </w:pPr>
    </w:lvl>
  </w:abstractNum>
  <w:abstractNum w:abstractNumId="2">
    <w:nsid w:val="FFFFFF7D"/>
    <w:multiLevelType w:val="singleLevel"/>
    <w:tmpl w:val="86F4CF70"/>
    <w:lvl w:ilvl="0">
      <w:start w:val="1"/>
      <w:numFmt w:val="decimal"/>
      <w:lvlText w:val="%1."/>
      <w:lvlJc w:val="left"/>
      <w:pPr>
        <w:tabs>
          <w:tab w:val="num" w:pos="1209"/>
        </w:tabs>
        <w:ind w:left="1209" w:hanging="360"/>
      </w:pPr>
    </w:lvl>
  </w:abstractNum>
  <w:abstractNum w:abstractNumId="3">
    <w:nsid w:val="FFFFFF7E"/>
    <w:multiLevelType w:val="singleLevel"/>
    <w:tmpl w:val="AD7AC0F6"/>
    <w:lvl w:ilvl="0">
      <w:start w:val="1"/>
      <w:numFmt w:val="decimal"/>
      <w:lvlText w:val="%1."/>
      <w:lvlJc w:val="left"/>
      <w:pPr>
        <w:tabs>
          <w:tab w:val="num" w:pos="926"/>
        </w:tabs>
        <w:ind w:left="926" w:hanging="360"/>
      </w:pPr>
    </w:lvl>
  </w:abstractNum>
  <w:abstractNum w:abstractNumId="4">
    <w:nsid w:val="FFFFFF7F"/>
    <w:multiLevelType w:val="singleLevel"/>
    <w:tmpl w:val="228CC396"/>
    <w:lvl w:ilvl="0">
      <w:start w:val="1"/>
      <w:numFmt w:val="decimal"/>
      <w:lvlText w:val="%1."/>
      <w:lvlJc w:val="left"/>
      <w:pPr>
        <w:tabs>
          <w:tab w:val="num" w:pos="643"/>
        </w:tabs>
        <w:ind w:left="643" w:hanging="360"/>
      </w:pPr>
    </w:lvl>
  </w:abstractNum>
  <w:abstractNum w:abstractNumId="5">
    <w:nsid w:val="FFFFFF80"/>
    <w:multiLevelType w:val="singleLevel"/>
    <w:tmpl w:val="1560702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0E424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094713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5BC953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C6C9100"/>
    <w:lvl w:ilvl="0">
      <w:start w:val="1"/>
      <w:numFmt w:val="decimal"/>
      <w:lvlText w:val="%1."/>
      <w:lvlJc w:val="left"/>
      <w:pPr>
        <w:tabs>
          <w:tab w:val="num" w:pos="360"/>
        </w:tabs>
        <w:ind w:left="360" w:hanging="360"/>
      </w:pPr>
    </w:lvl>
  </w:abstractNum>
  <w:abstractNum w:abstractNumId="10">
    <w:nsid w:val="FFFFFF89"/>
    <w:multiLevelType w:val="singleLevel"/>
    <w:tmpl w:val="BE5C5DF8"/>
    <w:lvl w:ilvl="0">
      <w:start w:val="1"/>
      <w:numFmt w:val="bullet"/>
      <w:lvlText w:val=""/>
      <w:lvlJc w:val="left"/>
      <w:pPr>
        <w:tabs>
          <w:tab w:val="num" w:pos="360"/>
        </w:tabs>
        <w:ind w:left="360" w:hanging="360"/>
      </w:pPr>
      <w:rPr>
        <w:rFonts w:ascii="Symbol" w:hAnsi="Symbol" w:hint="default"/>
      </w:rPr>
    </w:lvl>
  </w:abstractNum>
  <w:abstractNum w:abstractNumId="11">
    <w:nsid w:val="09DE3CA5"/>
    <w:multiLevelType w:val="hybridMultilevel"/>
    <w:tmpl w:val="A470F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A7E2331"/>
    <w:multiLevelType w:val="hybridMultilevel"/>
    <w:tmpl w:val="E85E146C"/>
    <w:lvl w:ilvl="0" w:tplc="ACCCA372">
      <w:start w:val="1"/>
      <w:numFmt w:val="lowerRoman"/>
      <w:lvlText w:val="(%1)"/>
      <w:lvlJc w:val="left"/>
      <w:pPr>
        <w:ind w:left="3240" w:hanging="72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nsid w:val="13EF7A62"/>
    <w:multiLevelType w:val="hybridMultilevel"/>
    <w:tmpl w:val="8C7E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D7769B"/>
    <w:multiLevelType w:val="hybridMultilevel"/>
    <w:tmpl w:val="AAD05822"/>
    <w:lvl w:ilvl="0" w:tplc="ABD0B44C">
      <w:start w:val="1"/>
      <w:numFmt w:val="decimal"/>
      <w:lvlText w:val="%1."/>
      <w:lvlJc w:val="left"/>
      <w:pPr>
        <w:ind w:left="1437" w:hanging="360"/>
      </w:pPr>
      <w:rPr>
        <w:b w:val="0"/>
        <w:i w:val="0"/>
        <w:color w:val="auto"/>
      </w:rPr>
    </w:lvl>
    <w:lvl w:ilvl="1" w:tplc="08090001">
      <w:start w:val="1"/>
      <w:numFmt w:val="bullet"/>
      <w:lvlText w:val=""/>
      <w:lvlJc w:val="left"/>
      <w:pPr>
        <w:ind w:left="1440" w:hanging="360"/>
      </w:pPr>
      <w:rPr>
        <w:rFonts w:ascii="Symbol" w:hAnsi="Symbol" w:hint="default"/>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28579FA"/>
    <w:multiLevelType w:val="hybridMultilevel"/>
    <w:tmpl w:val="F7041850"/>
    <w:lvl w:ilvl="0" w:tplc="2B085DAC">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407066"/>
    <w:multiLevelType w:val="hybridMultilevel"/>
    <w:tmpl w:val="8B748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79359F6"/>
    <w:multiLevelType w:val="hybridMultilevel"/>
    <w:tmpl w:val="5CF4883A"/>
    <w:lvl w:ilvl="0" w:tplc="9EE67B7E">
      <w:start w:val="1"/>
      <w:numFmt w:val="lowerRoman"/>
      <w:pStyle w:val="Recommendation-sub-paragraph"/>
      <w:lvlText w:val="(%1)"/>
      <w:lvlJc w:val="left"/>
      <w:pPr>
        <w:ind w:left="3240" w:hanging="72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8">
    <w:nsid w:val="338D5D08"/>
    <w:multiLevelType w:val="hybridMultilevel"/>
    <w:tmpl w:val="115C5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D5E7879"/>
    <w:multiLevelType w:val="multilevel"/>
    <w:tmpl w:val="10C6DF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12F4DA0"/>
    <w:multiLevelType w:val="hybridMultilevel"/>
    <w:tmpl w:val="B5D420A6"/>
    <w:lvl w:ilvl="0" w:tplc="E4D205A6">
      <w:start w:val="1"/>
      <w:numFmt w:val="decimal"/>
      <w:lvlText w:val="%1."/>
      <w:lvlJc w:val="left"/>
      <w:pPr>
        <w:ind w:left="360" w:hanging="360"/>
      </w:pPr>
      <w:rPr>
        <w:rFonts w:cs="Arial"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68F627C"/>
    <w:multiLevelType w:val="hybridMultilevel"/>
    <w:tmpl w:val="9BDE1A7A"/>
    <w:lvl w:ilvl="0" w:tplc="F8EE5586">
      <w:start w:val="1"/>
      <w:numFmt w:val="decimal"/>
      <w:pStyle w:val="Recommendation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5583F3F"/>
    <w:multiLevelType w:val="hybridMultilevel"/>
    <w:tmpl w:val="E15038FA"/>
    <w:lvl w:ilvl="0" w:tplc="5FFCDF78">
      <w:start w:val="1"/>
      <w:numFmt w:val="lowerLetter"/>
      <w:lvlText w:val="(%1)"/>
      <w:lvlJc w:val="left"/>
      <w:pPr>
        <w:ind w:left="1797" w:hanging="360"/>
      </w:pPr>
      <w:rPr>
        <w:rFonts w:hint="default"/>
        <w:color w:val="auto"/>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23">
    <w:nsid w:val="65B7631D"/>
    <w:multiLevelType w:val="hybridMultilevel"/>
    <w:tmpl w:val="79A298E8"/>
    <w:lvl w:ilvl="0" w:tplc="71F8B6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07E5B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85B12FE"/>
    <w:multiLevelType w:val="hybridMultilevel"/>
    <w:tmpl w:val="CCD81C6E"/>
    <w:lvl w:ilvl="0" w:tplc="C62E50E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88304D"/>
    <w:multiLevelType w:val="multilevel"/>
    <w:tmpl w:val="0B9E1214"/>
    <w:lvl w:ilvl="0">
      <w:start w:val="1"/>
      <w:numFmt w:val="decimal"/>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15"/>
  </w:num>
  <w:num w:numId="3">
    <w:abstractNumId w:val="14"/>
  </w:num>
  <w:num w:numId="4">
    <w:abstractNumId w:val="20"/>
  </w:num>
  <w:num w:numId="5">
    <w:abstractNumId w:val="16"/>
  </w:num>
  <w:num w:numId="6">
    <w:abstractNumId w:val="12"/>
  </w:num>
  <w:num w:numId="7">
    <w:abstractNumId w:val="22"/>
  </w:num>
  <w:num w:numId="8">
    <w:abstractNumId w:val="23"/>
  </w:num>
  <w:num w:numId="9">
    <w:abstractNumId w:val="13"/>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0"/>
  </w:num>
  <w:num w:numId="20">
    <w:abstractNumId w:val="1"/>
  </w:num>
  <w:num w:numId="21">
    <w:abstractNumId w:val="4"/>
  </w:num>
  <w:num w:numId="22">
    <w:abstractNumId w:val="25"/>
  </w:num>
  <w:num w:numId="23">
    <w:abstractNumId w:val="21"/>
  </w:num>
  <w:num w:numId="24">
    <w:abstractNumId w:val="17"/>
  </w:num>
  <w:num w:numId="25">
    <w:abstractNumId w:val="24"/>
  </w:num>
  <w:num w:numId="26">
    <w:abstractNumId w:val="26"/>
  </w:num>
  <w:num w:numId="27">
    <w:abstractNumId w:val="2"/>
  </w:num>
  <w:num w:numId="28">
    <w:abstractNumId w:val="3"/>
  </w:num>
  <w:num w:numId="29">
    <w:abstractNumId w:val="9"/>
  </w:num>
  <w:num w:numId="30">
    <w:abstractNumId w:val="5"/>
  </w:num>
  <w:num w:numId="31">
    <w:abstractNumId w:val="6"/>
  </w:num>
  <w:num w:numId="32">
    <w:abstractNumId w:val="7"/>
  </w:num>
  <w:num w:numId="33">
    <w:abstractNumId w:val="8"/>
  </w:num>
  <w:num w:numId="3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LC&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A4741"/>
    <w:rsid w:val="00000048"/>
    <w:rsid w:val="000000ED"/>
    <w:rsid w:val="00000425"/>
    <w:rsid w:val="00001C6C"/>
    <w:rsid w:val="00003234"/>
    <w:rsid w:val="00003BF2"/>
    <w:rsid w:val="00004020"/>
    <w:rsid w:val="000043CE"/>
    <w:rsid w:val="0000522A"/>
    <w:rsid w:val="00006617"/>
    <w:rsid w:val="00006624"/>
    <w:rsid w:val="00007BA1"/>
    <w:rsid w:val="0001057D"/>
    <w:rsid w:val="000107AE"/>
    <w:rsid w:val="00010A0B"/>
    <w:rsid w:val="00010DAF"/>
    <w:rsid w:val="00011E87"/>
    <w:rsid w:val="00012913"/>
    <w:rsid w:val="00012B78"/>
    <w:rsid w:val="00012D70"/>
    <w:rsid w:val="0001309E"/>
    <w:rsid w:val="0001326E"/>
    <w:rsid w:val="000133F3"/>
    <w:rsid w:val="00013547"/>
    <w:rsid w:val="000135D7"/>
    <w:rsid w:val="0001399D"/>
    <w:rsid w:val="00013FB3"/>
    <w:rsid w:val="00014372"/>
    <w:rsid w:val="000143C0"/>
    <w:rsid w:val="00014455"/>
    <w:rsid w:val="00015717"/>
    <w:rsid w:val="00015A46"/>
    <w:rsid w:val="00015B56"/>
    <w:rsid w:val="00016B55"/>
    <w:rsid w:val="00016D7C"/>
    <w:rsid w:val="00016EB2"/>
    <w:rsid w:val="0001784B"/>
    <w:rsid w:val="0001794C"/>
    <w:rsid w:val="000208FB"/>
    <w:rsid w:val="00020922"/>
    <w:rsid w:val="00020ADA"/>
    <w:rsid w:val="0002125B"/>
    <w:rsid w:val="0002155E"/>
    <w:rsid w:val="000215DC"/>
    <w:rsid w:val="00021B04"/>
    <w:rsid w:val="00022306"/>
    <w:rsid w:val="000224DE"/>
    <w:rsid w:val="00022F0A"/>
    <w:rsid w:val="0002429D"/>
    <w:rsid w:val="0002431C"/>
    <w:rsid w:val="0002441E"/>
    <w:rsid w:val="0002582D"/>
    <w:rsid w:val="00026135"/>
    <w:rsid w:val="00026236"/>
    <w:rsid w:val="00026400"/>
    <w:rsid w:val="00027BDB"/>
    <w:rsid w:val="00030ADA"/>
    <w:rsid w:val="00031288"/>
    <w:rsid w:val="00032D81"/>
    <w:rsid w:val="0003321B"/>
    <w:rsid w:val="000334D2"/>
    <w:rsid w:val="000350E7"/>
    <w:rsid w:val="000359CB"/>
    <w:rsid w:val="00035F5D"/>
    <w:rsid w:val="00035F62"/>
    <w:rsid w:val="000368E7"/>
    <w:rsid w:val="0003692B"/>
    <w:rsid w:val="00036E49"/>
    <w:rsid w:val="000371ED"/>
    <w:rsid w:val="00037D33"/>
    <w:rsid w:val="00037D9D"/>
    <w:rsid w:val="0004001F"/>
    <w:rsid w:val="00040208"/>
    <w:rsid w:val="0004079C"/>
    <w:rsid w:val="00041472"/>
    <w:rsid w:val="000414E5"/>
    <w:rsid w:val="00041E3D"/>
    <w:rsid w:val="00041EB8"/>
    <w:rsid w:val="00043798"/>
    <w:rsid w:val="0004396F"/>
    <w:rsid w:val="00043C1C"/>
    <w:rsid w:val="00043F17"/>
    <w:rsid w:val="0004450D"/>
    <w:rsid w:val="00044D27"/>
    <w:rsid w:val="00046271"/>
    <w:rsid w:val="00046547"/>
    <w:rsid w:val="00046557"/>
    <w:rsid w:val="00046C0C"/>
    <w:rsid w:val="0004764D"/>
    <w:rsid w:val="00047C13"/>
    <w:rsid w:val="00047FC2"/>
    <w:rsid w:val="00050FEF"/>
    <w:rsid w:val="000516A3"/>
    <w:rsid w:val="0005238A"/>
    <w:rsid w:val="00052F9A"/>
    <w:rsid w:val="00053236"/>
    <w:rsid w:val="000532F9"/>
    <w:rsid w:val="00053354"/>
    <w:rsid w:val="0005387F"/>
    <w:rsid w:val="00054A29"/>
    <w:rsid w:val="00054F77"/>
    <w:rsid w:val="000554BF"/>
    <w:rsid w:val="00055868"/>
    <w:rsid w:val="000563C6"/>
    <w:rsid w:val="00056BBA"/>
    <w:rsid w:val="0005761C"/>
    <w:rsid w:val="00057713"/>
    <w:rsid w:val="0006129D"/>
    <w:rsid w:val="00061AB1"/>
    <w:rsid w:val="00061B6C"/>
    <w:rsid w:val="000623A4"/>
    <w:rsid w:val="0006265B"/>
    <w:rsid w:val="00062C57"/>
    <w:rsid w:val="00062E7A"/>
    <w:rsid w:val="0006306A"/>
    <w:rsid w:val="00063530"/>
    <w:rsid w:val="00063E74"/>
    <w:rsid w:val="000640A8"/>
    <w:rsid w:val="0006487C"/>
    <w:rsid w:val="00065440"/>
    <w:rsid w:val="00065777"/>
    <w:rsid w:val="00065FE9"/>
    <w:rsid w:val="0006694E"/>
    <w:rsid w:val="00067477"/>
    <w:rsid w:val="000703FC"/>
    <w:rsid w:val="00070542"/>
    <w:rsid w:val="000709A8"/>
    <w:rsid w:val="00071EE7"/>
    <w:rsid w:val="0007215D"/>
    <w:rsid w:val="000726FC"/>
    <w:rsid w:val="00073557"/>
    <w:rsid w:val="00074F62"/>
    <w:rsid w:val="00075CFF"/>
    <w:rsid w:val="00076336"/>
    <w:rsid w:val="00076D59"/>
    <w:rsid w:val="0007720E"/>
    <w:rsid w:val="00077764"/>
    <w:rsid w:val="00077C4A"/>
    <w:rsid w:val="0008064D"/>
    <w:rsid w:val="00080DEF"/>
    <w:rsid w:val="00081A3C"/>
    <w:rsid w:val="00082416"/>
    <w:rsid w:val="00083FCC"/>
    <w:rsid w:val="000840A2"/>
    <w:rsid w:val="000843DB"/>
    <w:rsid w:val="00085848"/>
    <w:rsid w:val="000859F4"/>
    <w:rsid w:val="000861F3"/>
    <w:rsid w:val="0008664F"/>
    <w:rsid w:val="00086814"/>
    <w:rsid w:val="0008698C"/>
    <w:rsid w:val="00087AFF"/>
    <w:rsid w:val="0009036D"/>
    <w:rsid w:val="000903D7"/>
    <w:rsid w:val="000917F4"/>
    <w:rsid w:val="00091CC5"/>
    <w:rsid w:val="000924DA"/>
    <w:rsid w:val="00092B91"/>
    <w:rsid w:val="00092EA0"/>
    <w:rsid w:val="00092F74"/>
    <w:rsid w:val="00093042"/>
    <w:rsid w:val="00095663"/>
    <w:rsid w:val="00095C1E"/>
    <w:rsid w:val="000965D7"/>
    <w:rsid w:val="00097057"/>
    <w:rsid w:val="00097AF8"/>
    <w:rsid w:val="000A0053"/>
    <w:rsid w:val="000A06D4"/>
    <w:rsid w:val="000A0821"/>
    <w:rsid w:val="000A1384"/>
    <w:rsid w:val="000A18A9"/>
    <w:rsid w:val="000A21F0"/>
    <w:rsid w:val="000A2481"/>
    <w:rsid w:val="000A2BE3"/>
    <w:rsid w:val="000A2CAC"/>
    <w:rsid w:val="000A3CCC"/>
    <w:rsid w:val="000A3D1F"/>
    <w:rsid w:val="000A4119"/>
    <w:rsid w:val="000A4213"/>
    <w:rsid w:val="000A4264"/>
    <w:rsid w:val="000A47B2"/>
    <w:rsid w:val="000A56B3"/>
    <w:rsid w:val="000A5796"/>
    <w:rsid w:val="000A59E8"/>
    <w:rsid w:val="000A60AD"/>
    <w:rsid w:val="000A6CF6"/>
    <w:rsid w:val="000A6DB5"/>
    <w:rsid w:val="000A76D1"/>
    <w:rsid w:val="000B0313"/>
    <w:rsid w:val="000B0980"/>
    <w:rsid w:val="000B0C04"/>
    <w:rsid w:val="000B1784"/>
    <w:rsid w:val="000B30D7"/>
    <w:rsid w:val="000B33D0"/>
    <w:rsid w:val="000B3CEB"/>
    <w:rsid w:val="000B3D25"/>
    <w:rsid w:val="000B4169"/>
    <w:rsid w:val="000B4EEE"/>
    <w:rsid w:val="000B5D41"/>
    <w:rsid w:val="000B5EBB"/>
    <w:rsid w:val="000B61A0"/>
    <w:rsid w:val="000B7211"/>
    <w:rsid w:val="000C0459"/>
    <w:rsid w:val="000C07CF"/>
    <w:rsid w:val="000C0DB7"/>
    <w:rsid w:val="000C0F1B"/>
    <w:rsid w:val="000C1640"/>
    <w:rsid w:val="000C3ACF"/>
    <w:rsid w:val="000C423B"/>
    <w:rsid w:val="000C4282"/>
    <w:rsid w:val="000C492B"/>
    <w:rsid w:val="000C5199"/>
    <w:rsid w:val="000C5511"/>
    <w:rsid w:val="000C5582"/>
    <w:rsid w:val="000C6976"/>
    <w:rsid w:val="000C79C1"/>
    <w:rsid w:val="000D01C4"/>
    <w:rsid w:val="000D0383"/>
    <w:rsid w:val="000D0965"/>
    <w:rsid w:val="000D0B99"/>
    <w:rsid w:val="000D1A8D"/>
    <w:rsid w:val="000D2FC6"/>
    <w:rsid w:val="000D38E5"/>
    <w:rsid w:val="000D3A56"/>
    <w:rsid w:val="000D3D2E"/>
    <w:rsid w:val="000D574F"/>
    <w:rsid w:val="000D5FA7"/>
    <w:rsid w:val="000D6A08"/>
    <w:rsid w:val="000D79AE"/>
    <w:rsid w:val="000D7D9E"/>
    <w:rsid w:val="000E22F3"/>
    <w:rsid w:val="000E267C"/>
    <w:rsid w:val="000E2CB0"/>
    <w:rsid w:val="000E4546"/>
    <w:rsid w:val="000E4913"/>
    <w:rsid w:val="000E4FA1"/>
    <w:rsid w:val="000E4FA3"/>
    <w:rsid w:val="000E52A8"/>
    <w:rsid w:val="000E6AEF"/>
    <w:rsid w:val="000E6BE5"/>
    <w:rsid w:val="000E72E7"/>
    <w:rsid w:val="000F1131"/>
    <w:rsid w:val="000F15E7"/>
    <w:rsid w:val="000F2006"/>
    <w:rsid w:val="000F27F6"/>
    <w:rsid w:val="000F3060"/>
    <w:rsid w:val="000F3C93"/>
    <w:rsid w:val="000F3D0F"/>
    <w:rsid w:val="000F3D85"/>
    <w:rsid w:val="000F3FDE"/>
    <w:rsid w:val="000F4146"/>
    <w:rsid w:val="000F4930"/>
    <w:rsid w:val="000F5129"/>
    <w:rsid w:val="000F5BB1"/>
    <w:rsid w:val="000F62F6"/>
    <w:rsid w:val="000F69B7"/>
    <w:rsid w:val="000F6BAC"/>
    <w:rsid w:val="000F7443"/>
    <w:rsid w:val="001000BA"/>
    <w:rsid w:val="001007DD"/>
    <w:rsid w:val="001013D8"/>
    <w:rsid w:val="00101540"/>
    <w:rsid w:val="0010166B"/>
    <w:rsid w:val="001023D7"/>
    <w:rsid w:val="00102736"/>
    <w:rsid w:val="00102D7D"/>
    <w:rsid w:val="0010482F"/>
    <w:rsid w:val="00105429"/>
    <w:rsid w:val="00105847"/>
    <w:rsid w:val="00106079"/>
    <w:rsid w:val="001063B2"/>
    <w:rsid w:val="00106C02"/>
    <w:rsid w:val="0010722D"/>
    <w:rsid w:val="00107892"/>
    <w:rsid w:val="00107D87"/>
    <w:rsid w:val="0011039B"/>
    <w:rsid w:val="00111E66"/>
    <w:rsid w:val="00112759"/>
    <w:rsid w:val="00112B94"/>
    <w:rsid w:val="001133C6"/>
    <w:rsid w:val="001135E6"/>
    <w:rsid w:val="00114DEF"/>
    <w:rsid w:val="00117E69"/>
    <w:rsid w:val="00117F51"/>
    <w:rsid w:val="00117FC4"/>
    <w:rsid w:val="0012036F"/>
    <w:rsid w:val="00121AE2"/>
    <w:rsid w:val="00123188"/>
    <w:rsid w:val="00123C73"/>
    <w:rsid w:val="00123FB8"/>
    <w:rsid w:val="0012413D"/>
    <w:rsid w:val="001244A2"/>
    <w:rsid w:val="00124A36"/>
    <w:rsid w:val="00124BE2"/>
    <w:rsid w:val="00125801"/>
    <w:rsid w:val="001265B1"/>
    <w:rsid w:val="001272C0"/>
    <w:rsid w:val="00127549"/>
    <w:rsid w:val="00127845"/>
    <w:rsid w:val="00130891"/>
    <w:rsid w:val="00130EBD"/>
    <w:rsid w:val="00131669"/>
    <w:rsid w:val="00131B27"/>
    <w:rsid w:val="0013234F"/>
    <w:rsid w:val="0013261E"/>
    <w:rsid w:val="001327B7"/>
    <w:rsid w:val="001339E3"/>
    <w:rsid w:val="00134A68"/>
    <w:rsid w:val="00134B60"/>
    <w:rsid w:val="0013673D"/>
    <w:rsid w:val="00136DA0"/>
    <w:rsid w:val="00136FFB"/>
    <w:rsid w:val="00137D60"/>
    <w:rsid w:val="00140183"/>
    <w:rsid w:val="0014103D"/>
    <w:rsid w:val="0014152A"/>
    <w:rsid w:val="00141F09"/>
    <w:rsid w:val="00142E57"/>
    <w:rsid w:val="001431A2"/>
    <w:rsid w:val="001431CC"/>
    <w:rsid w:val="001443BA"/>
    <w:rsid w:val="00144620"/>
    <w:rsid w:val="00144C7D"/>
    <w:rsid w:val="00144D97"/>
    <w:rsid w:val="00144FE2"/>
    <w:rsid w:val="0014665B"/>
    <w:rsid w:val="001478F1"/>
    <w:rsid w:val="00150693"/>
    <w:rsid w:val="00150C4B"/>
    <w:rsid w:val="0015102F"/>
    <w:rsid w:val="00151295"/>
    <w:rsid w:val="0015211F"/>
    <w:rsid w:val="00152577"/>
    <w:rsid w:val="00153924"/>
    <w:rsid w:val="00153A18"/>
    <w:rsid w:val="00154D8B"/>
    <w:rsid w:val="00154F98"/>
    <w:rsid w:val="001550EE"/>
    <w:rsid w:val="001557A7"/>
    <w:rsid w:val="00155A32"/>
    <w:rsid w:val="0015615D"/>
    <w:rsid w:val="00156B97"/>
    <w:rsid w:val="00160144"/>
    <w:rsid w:val="001604DE"/>
    <w:rsid w:val="001608FD"/>
    <w:rsid w:val="00161356"/>
    <w:rsid w:val="0016160B"/>
    <w:rsid w:val="00162AB0"/>
    <w:rsid w:val="0016400F"/>
    <w:rsid w:val="0016557D"/>
    <w:rsid w:val="00165850"/>
    <w:rsid w:val="00170008"/>
    <w:rsid w:val="0017049B"/>
    <w:rsid w:val="00171405"/>
    <w:rsid w:val="001716D3"/>
    <w:rsid w:val="00172126"/>
    <w:rsid w:val="001745AB"/>
    <w:rsid w:val="00174695"/>
    <w:rsid w:val="00174702"/>
    <w:rsid w:val="001748E6"/>
    <w:rsid w:val="001758A4"/>
    <w:rsid w:val="0017591F"/>
    <w:rsid w:val="00175B7D"/>
    <w:rsid w:val="00175FFA"/>
    <w:rsid w:val="0017636E"/>
    <w:rsid w:val="00180412"/>
    <w:rsid w:val="00180635"/>
    <w:rsid w:val="00180AAC"/>
    <w:rsid w:val="001826D8"/>
    <w:rsid w:val="00183259"/>
    <w:rsid w:val="00183AD3"/>
    <w:rsid w:val="001853BE"/>
    <w:rsid w:val="0018548C"/>
    <w:rsid w:val="0018707A"/>
    <w:rsid w:val="00187446"/>
    <w:rsid w:val="0018760B"/>
    <w:rsid w:val="00187B37"/>
    <w:rsid w:val="001905BE"/>
    <w:rsid w:val="00190A57"/>
    <w:rsid w:val="001930F7"/>
    <w:rsid w:val="00193E1C"/>
    <w:rsid w:val="00193E7D"/>
    <w:rsid w:val="0019489D"/>
    <w:rsid w:val="00194ECF"/>
    <w:rsid w:val="00194F82"/>
    <w:rsid w:val="00195610"/>
    <w:rsid w:val="00196AFD"/>
    <w:rsid w:val="00197381"/>
    <w:rsid w:val="00197B86"/>
    <w:rsid w:val="001A01F8"/>
    <w:rsid w:val="001A0218"/>
    <w:rsid w:val="001A031B"/>
    <w:rsid w:val="001A09D3"/>
    <w:rsid w:val="001A0D87"/>
    <w:rsid w:val="001A1403"/>
    <w:rsid w:val="001A1DC3"/>
    <w:rsid w:val="001A2222"/>
    <w:rsid w:val="001A22A9"/>
    <w:rsid w:val="001A26CE"/>
    <w:rsid w:val="001A2DBD"/>
    <w:rsid w:val="001A2EB6"/>
    <w:rsid w:val="001A32E8"/>
    <w:rsid w:val="001A4AA7"/>
    <w:rsid w:val="001A592A"/>
    <w:rsid w:val="001A5E3F"/>
    <w:rsid w:val="001A73C7"/>
    <w:rsid w:val="001A7D18"/>
    <w:rsid w:val="001A7E93"/>
    <w:rsid w:val="001B0E66"/>
    <w:rsid w:val="001B0EED"/>
    <w:rsid w:val="001B219C"/>
    <w:rsid w:val="001B22DC"/>
    <w:rsid w:val="001B2406"/>
    <w:rsid w:val="001B2850"/>
    <w:rsid w:val="001B2B46"/>
    <w:rsid w:val="001B2FB9"/>
    <w:rsid w:val="001B36B7"/>
    <w:rsid w:val="001B377A"/>
    <w:rsid w:val="001B3EC7"/>
    <w:rsid w:val="001B40C0"/>
    <w:rsid w:val="001B496F"/>
    <w:rsid w:val="001B52CD"/>
    <w:rsid w:val="001B5445"/>
    <w:rsid w:val="001B55FA"/>
    <w:rsid w:val="001B5946"/>
    <w:rsid w:val="001B5B1A"/>
    <w:rsid w:val="001B5EDD"/>
    <w:rsid w:val="001B6329"/>
    <w:rsid w:val="001B6E31"/>
    <w:rsid w:val="001C03BD"/>
    <w:rsid w:val="001C0DED"/>
    <w:rsid w:val="001C0FAE"/>
    <w:rsid w:val="001C13A3"/>
    <w:rsid w:val="001C2933"/>
    <w:rsid w:val="001C35A2"/>
    <w:rsid w:val="001C3DA1"/>
    <w:rsid w:val="001C3DE6"/>
    <w:rsid w:val="001C468C"/>
    <w:rsid w:val="001C5330"/>
    <w:rsid w:val="001C55B9"/>
    <w:rsid w:val="001C5A05"/>
    <w:rsid w:val="001C605B"/>
    <w:rsid w:val="001C6074"/>
    <w:rsid w:val="001C66C5"/>
    <w:rsid w:val="001C66D0"/>
    <w:rsid w:val="001C6C63"/>
    <w:rsid w:val="001C711C"/>
    <w:rsid w:val="001C73C0"/>
    <w:rsid w:val="001C78DB"/>
    <w:rsid w:val="001C7910"/>
    <w:rsid w:val="001C7A85"/>
    <w:rsid w:val="001D0293"/>
    <w:rsid w:val="001D041C"/>
    <w:rsid w:val="001D06AA"/>
    <w:rsid w:val="001D10F4"/>
    <w:rsid w:val="001D2022"/>
    <w:rsid w:val="001D2083"/>
    <w:rsid w:val="001D2573"/>
    <w:rsid w:val="001D267F"/>
    <w:rsid w:val="001D27C9"/>
    <w:rsid w:val="001D31AD"/>
    <w:rsid w:val="001D3469"/>
    <w:rsid w:val="001D374B"/>
    <w:rsid w:val="001D3940"/>
    <w:rsid w:val="001D3A40"/>
    <w:rsid w:val="001D4084"/>
    <w:rsid w:val="001D44FE"/>
    <w:rsid w:val="001D470B"/>
    <w:rsid w:val="001D5546"/>
    <w:rsid w:val="001D55C4"/>
    <w:rsid w:val="001D69B9"/>
    <w:rsid w:val="001D69F3"/>
    <w:rsid w:val="001D797F"/>
    <w:rsid w:val="001D7A48"/>
    <w:rsid w:val="001D7EEA"/>
    <w:rsid w:val="001E0B34"/>
    <w:rsid w:val="001E2531"/>
    <w:rsid w:val="001E2BC0"/>
    <w:rsid w:val="001E3503"/>
    <w:rsid w:val="001E3C32"/>
    <w:rsid w:val="001E414A"/>
    <w:rsid w:val="001E4206"/>
    <w:rsid w:val="001E5833"/>
    <w:rsid w:val="001E5FC1"/>
    <w:rsid w:val="001E60B3"/>
    <w:rsid w:val="001E6B38"/>
    <w:rsid w:val="001E70D2"/>
    <w:rsid w:val="001E7EA4"/>
    <w:rsid w:val="001F0645"/>
    <w:rsid w:val="001F1120"/>
    <w:rsid w:val="001F14DA"/>
    <w:rsid w:val="001F2094"/>
    <w:rsid w:val="001F2485"/>
    <w:rsid w:val="001F34F2"/>
    <w:rsid w:val="001F484E"/>
    <w:rsid w:val="001F4906"/>
    <w:rsid w:val="001F4C4C"/>
    <w:rsid w:val="001F5135"/>
    <w:rsid w:val="001F5E04"/>
    <w:rsid w:val="001F646D"/>
    <w:rsid w:val="001F698A"/>
    <w:rsid w:val="001F7586"/>
    <w:rsid w:val="001F7AB5"/>
    <w:rsid w:val="001F7C23"/>
    <w:rsid w:val="001F7EB6"/>
    <w:rsid w:val="00200001"/>
    <w:rsid w:val="00200432"/>
    <w:rsid w:val="00200663"/>
    <w:rsid w:val="00200929"/>
    <w:rsid w:val="0020209B"/>
    <w:rsid w:val="002028F4"/>
    <w:rsid w:val="00203A55"/>
    <w:rsid w:val="00204121"/>
    <w:rsid w:val="00204CAD"/>
    <w:rsid w:val="00205589"/>
    <w:rsid w:val="00207503"/>
    <w:rsid w:val="002075BB"/>
    <w:rsid w:val="00207F0C"/>
    <w:rsid w:val="002100EB"/>
    <w:rsid w:val="002108FE"/>
    <w:rsid w:val="00211506"/>
    <w:rsid w:val="00211A8E"/>
    <w:rsid w:val="002122D6"/>
    <w:rsid w:val="00212659"/>
    <w:rsid w:val="002129F0"/>
    <w:rsid w:val="00212C6E"/>
    <w:rsid w:val="00212EAD"/>
    <w:rsid w:val="0021384A"/>
    <w:rsid w:val="00213CAE"/>
    <w:rsid w:val="00215714"/>
    <w:rsid w:val="00215CA2"/>
    <w:rsid w:val="00216723"/>
    <w:rsid w:val="00216BA2"/>
    <w:rsid w:val="00216FA0"/>
    <w:rsid w:val="00217E99"/>
    <w:rsid w:val="00220651"/>
    <w:rsid w:val="00220EF2"/>
    <w:rsid w:val="00220F01"/>
    <w:rsid w:val="00220F91"/>
    <w:rsid w:val="00220F9D"/>
    <w:rsid w:val="002213FF"/>
    <w:rsid w:val="00221FF0"/>
    <w:rsid w:val="00222205"/>
    <w:rsid w:val="00222C0B"/>
    <w:rsid w:val="00222F9B"/>
    <w:rsid w:val="0022347B"/>
    <w:rsid w:val="002237F3"/>
    <w:rsid w:val="002238A0"/>
    <w:rsid w:val="00223A1D"/>
    <w:rsid w:val="0022492A"/>
    <w:rsid w:val="00224CDA"/>
    <w:rsid w:val="00224F38"/>
    <w:rsid w:val="0022532B"/>
    <w:rsid w:val="0022653A"/>
    <w:rsid w:val="00226572"/>
    <w:rsid w:val="00226A37"/>
    <w:rsid w:val="00226C6E"/>
    <w:rsid w:val="00227ED6"/>
    <w:rsid w:val="00227EF4"/>
    <w:rsid w:val="0023024F"/>
    <w:rsid w:val="002302CE"/>
    <w:rsid w:val="00230B44"/>
    <w:rsid w:val="00230FBA"/>
    <w:rsid w:val="00231AF0"/>
    <w:rsid w:val="00232572"/>
    <w:rsid w:val="002325BF"/>
    <w:rsid w:val="0023298C"/>
    <w:rsid w:val="00232C15"/>
    <w:rsid w:val="00233542"/>
    <w:rsid w:val="002336AA"/>
    <w:rsid w:val="00235BAD"/>
    <w:rsid w:val="002400F2"/>
    <w:rsid w:val="002408CB"/>
    <w:rsid w:val="002416C8"/>
    <w:rsid w:val="00241707"/>
    <w:rsid w:val="002417DF"/>
    <w:rsid w:val="00241ECB"/>
    <w:rsid w:val="00242015"/>
    <w:rsid w:val="0024250C"/>
    <w:rsid w:val="00242806"/>
    <w:rsid w:val="00242BBB"/>
    <w:rsid w:val="00244617"/>
    <w:rsid w:val="00244A6B"/>
    <w:rsid w:val="00244F98"/>
    <w:rsid w:val="00245344"/>
    <w:rsid w:val="0024540B"/>
    <w:rsid w:val="002455B0"/>
    <w:rsid w:val="00245696"/>
    <w:rsid w:val="0024582E"/>
    <w:rsid w:val="002467A2"/>
    <w:rsid w:val="0024690F"/>
    <w:rsid w:val="00246BD0"/>
    <w:rsid w:val="00250888"/>
    <w:rsid w:val="002512FF"/>
    <w:rsid w:val="00252CC7"/>
    <w:rsid w:val="0025358B"/>
    <w:rsid w:val="00253D3B"/>
    <w:rsid w:val="00254064"/>
    <w:rsid w:val="002544AA"/>
    <w:rsid w:val="00254587"/>
    <w:rsid w:val="00254A12"/>
    <w:rsid w:val="00254F1C"/>
    <w:rsid w:val="002556D9"/>
    <w:rsid w:val="002561BC"/>
    <w:rsid w:val="0025624E"/>
    <w:rsid w:val="00256367"/>
    <w:rsid w:val="00256A31"/>
    <w:rsid w:val="00257B27"/>
    <w:rsid w:val="00257E1C"/>
    <w:rsid w:val="00260FC1"/>
    <w:rsid w:val="002610A1"/>
    <w:rsid w:val="0026297E"/>
    <w:rsid w:val="002639D1"/>
    <w:rsid w:val="002641AF"/>
    <w:rsid w:val="002642EB"/>
    <w:rsid w:val="002647B7"/>
    <w:rsid w:val="002647F7"/>
    <w:rsid w:val="002649AF"/>
    <w:rsid w:val="00264D6B"/>
    <w:rsid w:val="002652F2"/>
    <w:rsid w:val="00266190"/>
    <w:rsid w:val="00266D86"/>
    <w:rsid w:val="00266D8C"/>
    <w:rsid w:val="0026770E"/>
    <w:rsid w:val="00267863"/>
    <w:rsid w:val="00267999"/>
    <w:rsid w:val="002711BC"/>
    <w:rsid w:val="00271B56"/>
    <w:rsid w:val="00272F79"/>
    <w:rsid w:val="00273558"/>
    <w:rsid w:val="002735F7"/>
    <w:rsid w:val="00274152"/>
    <w:rsid w:val="002750FB"/>
    <w:rsid w:val="0027578A"/>
    <w:rsid w:val="00275F95"/>
    <w:rsid w:val="00276002"/>
    <w:rsid w:val="00276100"/>
    <w:rsid w:val="0027659B"/>
    <w:rsid w:val="00276603"/>
    <w:rsid w:val="00276EE8"/>
    <w:rsid w:val="002772EB"/>
    <w:rsid w:val="00277CE0"/>
    <w:rsid w:val="00280010"/>
    <w:rsid w:val="00280EC4"/>
    <w:rsid w:val="00280F4D"/>
    <w:rsid w:val="002812CD"/>
    <w:rsid w:val="00281D6C"/>
    <w:rsid w:val="00282375"/>
    <w:rsid w:val="00283B81"/>
    <w:rsid w:val="00285C02"/>
    <w:rsid w:val="0028631B"/>
    <w:rsid w:val="002868C6"/>
    <w:rsid w:val="002875CD"/>
    <w:rsid w:val="002879AA"/>
    <w:rsid w:val="00291F4A"/>
    <w:rsid w:val="002929E2"/>
    <w:rsid w:val="00294350"/>
    <w:rsid w:val="002946CF"/>
    <w:rsid w:val="0029539F"/>
    <w:rsid w:val="002958D5"/>
    <w:rsid w:val="0029639B"/>
    <w:rsid w:val="00296C48"/>
    <w:rsid w:val="00296D20"/>
    <w:rsid w:val="0029752E"/>
    <w:rsid w:val="002A09FE"/>
    <w:rsid w:val="002A2293"/>
    <w:rsid w:val="002A2738"/>
    <w:rsid w:val="002A466C"/>
    <w:rsid w:val="002A51F1"/>
    <w:rsid w:val="002A6807"/>
    <w:rsid w:val="002A6D0E"/>
    <w:rsid w:val="002A6DF4"/>
    <w:rsid w:val="002A7839"/>
    <w:rsid w:val="002B00D5"/>
    <w:rsid w:val="002B0BC2"/>
    <w:rsid w:val="002B129E"/>
    <w:rsid w:val="002B1B82"/>
    <w:rsid w:val="002B31E3"/>
    <w:rsid w:val="002B3549"/>
    <w:rsid w:val="002B3759"/>
    <w:rsid w:val="002B40F5"/>
    <w:rsid w:val="002B42FD"/>
    <w:rsid w:val="002B4AA6"/>
    <w:rsid w:val="002B5023"/>
    <w:rsid w:val="002B6358"/>
    <w:rsid w:val="002B6C5B"/>
    <w:rsid w:val="002B6EAA"/>
    <w:rsid w:val="002B7382"/>
    <w:rsid w:val="002B7E5F"/>
    <w:rsid w:val="002C0671"/>
    <w:rsid w:val="002C13CF"/>
    <w:rsid w:val="002C15B4"/>
    <w:rsid w:val="002C188D"/>
    <w:rsid w:val="002C1922"/>
    <w:rsid w:val="002C22EF"/>
    <w:rsid w:val="002C2D90"/>
    <w:rsid w:val="002C3328"/>
    <w:rsid w:val="002C376A"/>
    <w:rsid w:val="002C38CC"/>
    <w:rsid w:val="002C3F2B"/>
    <w:rsid w:val="002C4012"/>
    <w:rsid w:val="002C4EEB"/>
    <w:rsid w:val="002C5475"/>
    <w:rsid w:val="002C55A7"/>
    <w:rsid w:val="002C65FB"/>
    <w:rsid w:val="002C691F"/>
    <w:rsid w:val="002C6D2E"/>
    <w:rsid w:val="002D0223"/>
    <w:rsid w:val="002D0B2D"/>
    <w:rsid w:val="002D0FB7"/>
    <w:rsid w:val="002D10F4"/>
    <w:rsid w:val="002D1860"/>
    <w:rsid w:val="002D1C13"/>
    <w:rsid w:val="002D22BC"/>
    <w:rsid w:val="002D2AAA"/>
    <w:rsid w:val="002D2CF6"/>
    <w:rsid w:val="002D37BB"/>
    <w:rsid w:val="002D37FA"/>
    <w:rsid w:val="002D411C"/>
    <w:rsid w:val="002D4B40"/>
    <w:rsid w:val="002D5593"/>
    <w:rsid w:val="002D5646"/>
    <w:rsid w:val="002D5B83"/>
    <w:rsid w:val="002D7072"/>
    <w:rsid w:val="002D775E"/>
    <w:rsid w:val="002D7ED7"/>
    <w:rsid w:val="002E1F53"/>
    <w:rsid w:val="002E2509"/>
    <w:rsid w:val="002E269C"/>
    <w:rsid w:val="002E2C66"/>
    <w:rsid w:val="002E3B9C"/>
    <w:rsid w:val="002E3DFC"/>
    <w:rsid w:val="002E4341"/>
    <w:rsid w:val="002E5020"/>
    <w:rsid w:val="002E51E7"/>
    <w:rsid w:val="002E59D2"/>
    <w:rsid w:val="002E5C03"/>
    <w:rsid w:val="002E5FC7"/>
    <w:rsid w:val="002E6EB6"/>
    <w:rsid w:val="002F0D15"/>
    <w:rsid w:val="002F0DB9"/>
    <w:rsid w:val="002F13CA"/>
    <w:rsid w:val="002F163F"/>
    <w:rsid w:val="002F17A1"/>
    <w:rsid w:val="002F190D"/>
    <w:rsid w:val="002F1BC9"/>
    <w:rsid w:val="002F1FF6"/>
    <w:rsid w:val="002F29BD"/>
    <w:rsid w:val="002F2D18"/>
    <w:rsid w:val="002F3C2E"/>
    <w:rsid w:val="002F5774"/>
    <w:rsid w:val="002F5EAC"/>
    <w:rsid w:val="002F5EB3"/>
    <w:rsid w:val="002F6A92"/>
    <w:rsid w:val="002F71BB"/>
    <w:rsid w:val="003008F5"/>
    <w:rsid w:val="00300BCD"/>
    <w:rsid w:val="00301144"/>
    <w:rsid w:val="00301248"/>
    <w:rsid w:val="00302674"/>
    <w:rsid w:val="00302727"/>
    <w:rsid w:val="0030279F"/>
    <w:rsid w:val="00302C9C"/>
    <w:rsid w:val="00303244"/>
    <w:rsid w:val="0030357F"/>
    <w:rsid w:val="003048FD"/>
    <w:rsid w:val="0030554F"/>
    <w:rsid w:val="00305A3C"/>
    <w:rsid w:val="003065DF"/>
    <w:rsid w:val="00310481"/>
    <w:rsid w:val="00310743"/>
    <w:rsid w:val="00310756"/>
    <w:rsid w:val="003108C8"/>
    <w:rsid w:val="00311823"/>
    <w:rsid w:val="00311C29"/>
    <w:rsid w:val="00312790"/>
    <w:rsid w:val="00313D05"/>
    <w:rsid w:val="00313E33"/>
    <w:rsid w:val="00314BB5"/>
    <w:rsid w:val="003156A3"/>
    <w:rsid w:val="0031625A"/>
    <w:rsid w:val="0031687A"/>
    <w:rsid w:val="00317E64"/>
    <w:rsid w:val="0032095E"/>
    <w:rsid w:val="003218D1"/>
    <w:rsid w:val="00321F87"/>
    <w:rsid w:val="00321FED"/>
    <w:rsid w:val="00322E36"/>
    <w:rsid w:val="003234FA"/>
    <w:rsid w:val="003239EA"/>
    <w:rsid w:val="00325209"/>
    <w:rsid w:val="00325531"/>
    <w:rsid w:val="003256CB"/>
    <w:rsid w:val="00326D59"/>
    <w:rsid w:val="003271EB"/>
    <w:rsid w:val="00327D98"/>
    <w:rsid w:val="00330396"/>
    <w:rsid w:val="00330428"/>
    <w:rsid w:val="0033095D"/>
    <w:rsid w:val="00331A08"/>
    <w:rsid w:val="003338C9"/>
    <w:rsid w:val="00333B5B"/>
    <w:rsid w:val="0033446F"/>
    <w:rsid w:val="00334A27"/>
    <w:rsid w:val="00335F87"/>
    <w:rsid w:val="00336615"/>
    <w:rsid w:val="00336A43"/>
    <w:rsid w:val="00337574"/>
    <w:rsid w:val="0033778A"/>
    <w:rsid w:val="00337CB1"/>
    <w:rsid w:val="0034168F"/>
    <w:rsid w:val="00341D90"/>
    <w:rsid w:val="003422B7"/>
    <w:rsid w:val="00342934"/>
    <w:rsid w:val="00342AAD"/>
    <w:rsid w:val="00342C92"/>
    <w:rsid w:val="0034402D"/>
    <w:rsid w:val="00344368"/>
    <w:rsid w:val="00344958"/>
    <w:rsid w:val="00345BEC"/>
    <w:rsid w:val="003468FD"/>
    <w:rsid w:val="0034735B"/>
    <w:rsid w:val="003474AB"/>
    <w:rsid w:val="00347DF1"/>
    <w:rsid w:val="00350194"/>
    <w:rsid w:val="0035239D"/>
    <w:rsid w:val="003529D1"/>
    <w:rsid w:val="00352CE3"/>
    <w:rsid w:val="00353091"/>
    <w:rsid w:val="00353919"/>
    <w:rsid w:val="0035396B"/>
    <w:rsid w:val="003548E1"/>
    <w:rsid w:val="00354DBC"/>
    <w:rsid w:val="00354E0E"/>
    <w:rsid w:val="00355156"/>
    <w:rsid w:val="00355816"/>
    <w:rsid w:val="0035592D"/>
    <w:rsid w:val="003559EC"/>
    <w:rsid w:val="003563A2"/>
    <w:rsid w:val="003564AE"/>
    <w:rsid w:val="003564DE"/>
    <w:rsid w:val="003570AE"/>
    <w:rsid w:val="00357279"/>
    <w:rsid w:val="003574F5"/>
    <w:rsid w:val="00360091"/>
    <w:rsid w:val="00360D69"/>
    <w:rsid w:val="0036152E"/>
    <w:rsid w:val="00361CF9"/>
    <w:rsid w:val="00361F97"/>
    <w:rsid w:val="00363A21"/>
    <w:rsid w:val="00364E95"/>
    <w:rsid w:val="00365014"/>
    <w:rsid w:val="0036516F"/>
    <w:rsid w:val="003652B9"/>
    <w:rsid w:val="0036546C"/>
    <w:rsid w:val="00365C0C"/>
    <w:rsid w:val="003662C5"/>
    <w:rsid w:val="00367F01"/>
    <w:rsid w:val="003700DA"/>
    <w:rsid w:val="00370761"/>
    <w:rsid w:val="00372F1F"/>
    <w:rsid w:val="00373D6D"/>
    <w:rsid w:val="00374584"/>
    <w:rsid w:val="00375098"/>
    <w:rsid w:val="00375470"/>
    <w:rsid w:val="003766BD"/>
    <w:rsid w:val="003769B5"/>
    <w:rsid w:val="0037703C"/>
    <w:rsid w:val="00377204"/>
    <w:rsid w:val="0037752F"/>
    <w:rsid w:val="00380B8A"/>
    <w:rsid w:val="0038195D"/>
    <w:rsid w:val="00381E20"/>
    <w:rsid w:val="00383211"/>
    <w:rsid w:val="00383D7E"/>
    <w:rsid w:val="003847D6"/>
    <w:rsid w:val="00384B87"/>
    <w:rsid w:val="003855DC"/>
    <w:rsid w:val="00386501"/>
    <w:rsid w:val="0038701F"/>
    <w:rsid w:val="00387970"/>
    <w:rsid w:val="0039000D"/>
    <w:rsid w:val="00391618"/>
    <w:rsid w:val="003934CA"/>
    <w:rsid w:val="00393549"/>
    <w:rsid w:val="00393654"/>
    <w:rsid w:val="00393E4F"/>
    <w:rsid w:val="003941FE"/>
    <w:rsid w:val="00394807"/>
    <w:rsid w:val="003950D5"/>
    <w:rsid w:val="00396190"/>
    <w:rsid w:val="0039668D"/>
    <w:rsid w:val="00396758"/>
    <w:rsid w:val="00397153"/>
    <w:rsid w:val="003A013C"/>
    <w:rsid w:val="003A0C71"/>
    <w:rsid w:val="003A0E3A"/>
    <w:rsid w:val="003A105A"/>
    <w:rsid w:val="003A1347"/>
    <w:rsid w:val="003A13D1"/>
    <w:rsid w:val="003A27EB"/>
    <w:rsid w:val="003A2F20"/>
    <w:rsid w:val="003A3741"/>
    <w:rsid w:val="003A51E9"/>
    <w:rsid w:val="003A574E"/>
    <w:rsid w:val="003A5F3A"/>
    <w:rsid w:val="003A60A0"/>
    <w:rsid w:val="003A61BF"/>
    <w:rsid w:val="003A62CD"/>
    <w:rsid w:val="003A6FB9"/>
    <w:rsid w:val="003A7B73"/>
    <w:rsid w:val="003B0446"/>
    <w:rsid w:val="003B04F0"/>
    <w:rsid w:val="003B0735"/>
    <w:rsid w:val="003B0B0B"/>
    <w:rsid w:val="003B199F"/>
    <w:rsid w:val="003B1EB4"/>
    <w:rsid w:val="003B2317"/>
    <w:rsid w:val="003B2F52"/>
    <w:rsid w:val="003B405C"/>
    <w:rsid w:val="003B50A3"/>
    <w:rsid w:val="003B534D"/>
    <w:rsid w:val="003B54E2"/>
    <w:rsid w:val="003B5773"/>
    <w:rsid w:val="003B5DB7"/>
    <w:rsid w:val="003B6BAE"/>
    <w:rsid w:val="003C06BE"/>
    <w:rsid w:val="003C1C3F"/>
    <w:rsid w:val="003C1D63"/>
    <w:rsid w:val="003C2D3B"/>
    <w:rsid w:val="003C383F"/>
    <w:rsid w:val="003C3F26"/>
    <w:rsid w:val="003C5135"/>
    <w:rsid w:val="003C5E22"/>
    <w:rsid w:val="003C683E"/>
    <w:rsid w:val="003C6921"/>
    <w:rsid w:val="003C6BED"/>
    <w:rsid w:val="003C6F75"/>
    <w:rsid w:val="003C7A54"/>
    <w:rsid w:val="003D05A5"/>
    <w:rsid w:val="003D124B"/>
    <w:rsid w:val="003D17CF"/>
    <w:rsid w:val="003D1939"/>
    <w:rsid w:val="003D1B39"/>
    <w:rsid w:val="003D252C"/>
    <w:rsid w:val="003D2D2C"/>
    <w:rsid w:val="003D35F8"/>
    <w:rsid w:val="003D4621"/>
    <w:rsid w:val="003D49AC"/>
    <w:rsid w:val="003D4B07"/>
    <w:rsid w:val="003D4CAB"/>
    <w:rsid w:val="003D517A"/>
    <w:rsid w:val="003D628D"/>
    <w:rsid w:val="003D6676"/>
    <w:rsid w:val="003D6DD2"/>
    <w:rsid w:val="003D7359"/>
    <w:rsid w:val="003D7FBE"/>
    <w:rsid w:val="003E15F8"/>
    <w:rsid w:val="003E16FB"/>
    <w:rsid w:val="003E1D5E"/>
    <w:rsid w:val="003E28B5"/>
    <w:rsid w:val="003E3AA8"/>
    <w:rsid w:val="003E46BF"/>
    <w:rsid w:val="003E47F2"/>
    <w:rsid w:val="003E6379"/>
    <w:rsid w:val="003E63EA"/>
    <w:rsid w:val="003E6419"/>
    <w:rsid w:val="003E6F18"/>
    <w:rsid w:val="003F000E"/>
    <w:rsid w:val="003F0070"/>
    <w:rsid w:val="003F0850"/>
    <w:rsid w:val="003F10FF"/>
    <w:rsid w:val="003F134E"/>
    <w:rsid w:val="003F18F0"/>
    <w:rsid w:val="003F2517"/>
    <w:rsid w:val="003F27B1"/>
    <w:rsid w:val="003F3202"/>
    <w:rsid w:val="003F3D38"/>
    <w:rsid w:val="003F402D"/>
    <w:rsid w:val="003F4443"/>
    <w:rsid w:val="003F59AE"/>
    <w:rsid w:val="003F5BD1"/>
    <w:rsid w:val="003F6233"/>
    <w:rsid w:val="003F6698"/>
    <w:rsid w:val="003F6D86"/>
    <w:rsid w:val="003F7788"/>
    <w:rsid w:val="0040048B"/>
    <w:rsid w:val="00400CB4"/>
    <w:rsid w:val="00400E82"/>
    <w:rsid w:val="004013BC"/>
    <w:rsid w:val="004013D2"/>
    <w:rsid w:val="00401EA3"/>
    <w:rsid w:val="00402E1F"/>
    <w:rsid w:val="004038EA"/>
    <w:rsid w:val="0040488A"/>
    <w:rsid w:val="00404A16"/>
    <w:rsid w:val="00404DE2"/>
    <w:rsid w:val="00405056"/>
    <w:rsid w:val="004056FA"/>
    <w:rsid w:val="00407888"/>
    <w:rsid w:val="0040797F"/>
    <w:rsid w:val="00410047"/>
    <w:rsid w:val="004107E2"/>
    <w:rsid w:val="004108FE"/>
    <w:rsid w:val="00410D80"/>
    <w:rsid w:val="00411274"/>
    <w:rsid w:val="00411685"/>
    <w:rsid w:val="00411745"/>
    <w:rsid w:val="00411967"/>
    <w:rsid w:val="00412502"/>
    <w:rsid w:val="0041251A"/>
    <w:rsid w:val="00412F00"/>
    <w:rsid w:val="00413BEA"/>
    <w:rsid w:val="00413E91"/>
    <w:rsid w:val="00414143"/>
    <w:rsid w:val="00416466"/>
    <w:rsid w:val="004168D8"/>
    <w:rsid w:val="004169C0"/>
    <w:rsid w:val="00417390"/>
    <w:rsid w:val="00417670"/>
    <w:rsid w:val="004177DB"/>
    <w:rsid w:val="00417F24"/>
    <w:rsid w:val="00420988"/>
    <w:rsid w:val="00421020"/>
    <w:rsid w:val="0042221C"/>
    <w:rsid w:val="004227B9"/>
    <w:rsid w:val="004260C3"/>
    <w:rsid w:val="00426688"/>
    <w:rsid w:val="00426CC8"/>
    <w:rsid w:val="00426F2A"/>
    <w:rsid w:val="004270AC"/>
    <w:rsid w:val="004272A4"/>
    <w:rsid w:val="0043058F"/>
    <w:rsid w:val="00430982"/>
    <w:rsid w:val="00432591"/>
    <w:rsid w:val="004340E2"/>
    <w:rsid w:val="00434769"/>
    <w:rsid w:val="004348AA"/>
    <w:rsid w:val="004349F7"/>
    <w:rsid w:val="004368A0"/>
    <w:rsid w:val="0043778E"/>
    <w:rsid w:val="00443981"/>
    <w:rsid w:val="004442EA"/>
    <w:rsid w:val="00444418"/>
    <w:rsid w:val="004447AE"/>
    <w:rsid w:val="004453C2"/>
    <w:rsid w:val="0044650F"/>
    <w:rsid w:val="00446983"/>
    <w:rsid w:val="00446F71"/>
    <w:rsid w:val="004475DE"/>
    <w:rsid w:val="00447984"/>
    <w:rsid w:val="00450047"/>
    <w:rsid w:val="004501D0"/>
    <w:rsid w:val="0045091B"/>
    <w:rsid w:val="004509CB"/>
    <w:rsid w:val="004512D0"/>
    <w:rsid w:val="004515F6"/>
    <w:rsid w:val="0045290D"/>
    <w:rsid w:val="00452C81"/>
    <w:rsid w:val="00452E09"/>
    <w:rsid w:val="004532E8"/>
    <w:rsid w:val="004533F4"/>
    <w:rsid w:val="00453ABD"/>
    <w:rsid w:val="004543C4"/>
    <w:rsid w:val="004549FC"/>
    <w:rsid w:val="004555ED"/>
    <w:rsid w:val="00455646"/>
    <w:rsid w:val="00455A8D"/>
    <w:rsid w:val="00456736"/>
    <w:rsid w:val="00456EA7"/>
    <w:rsid w:val="00457035"/>
    <w:rsid w:val="004571A3"/>
    <w:rsid w:val="004573F7"/>
    <w:rsid w:val="00457468"/>
    <w:rsid w:val="00457E9E"/>
    <w:rsid w:val="004609FC"/>
    <w:rsid w:val="00461DA3"/>
    <w:rsid w:val="0046224E"/>
    <w:rsid w:val="0046235B"/>
    <w:rsid w:val="004628E5"/>
    <w:rsid w:val="00463978"/>
    <w:rsid w:val="004639C8"/>
    <w:rsid w:val="00463DA1"/>
    <w:rsid w:val="00463DDB"/>
    <w:rsid w:val="00464699"/>
    <w:rsid w:val="00464D03"/>
    <w:rsid w:val="004656F6"/>
    <w:rsid w:val="00465E1A"/>
    <w:rsid w:val="00465E47"/>
    <w:rsid w:val="00466A89"/>
    <w:rsid w:val="00466D76"/>
    <w:rsid w:val="004671BB"/>
    <w:rsid w:val="004701C0"/>
    <w:rsid w:val="00470BD9"/>
    <w:rsid w:val="004731B0"/>
    <w:rsid w:val="00473317"/>
    <w:rsid w:val="004733B1"/>
    <w:rsid w:val="00473481"/>
    <w:rsid w:val="004738CB"/>
    <w:rsid w:val="00473A9F"/>
    <w:rsid w:val="00474479"/>
    <w:rsid w:val="00474AF8"/>
    <w:rsid w:val="0047510E"/>
    <w:rsid w:val="004758FB"/>
    <w:rsid w:val="00475927"/>
    <w:rsid w:val="00475AA4"/>
    <w:rsid w:val="00475BA8"/>
    <w:rsid w:val="00476837"/>
    <w:rsid w:val="004769D3"/>
    <w:rsid w:val="00477FE4"/>
    <w:rsid w:val="00480697"/>
    <w:rsid w:val="00480B67"/>
    <w:rsid w:val="00480FA6"/>
    <w:rsid w:val="0048249D"/>
    <w:rsid w:val="00483A47"/>
    <w:rsid w:val="00484B8B"/>
    <w:rsid w:val="00484D45"/>
    <w:rsid w:val="004852EF"/>
    <w:rsid w:val="00486AC0"/>
    <w:rsid w:val="004870E5"/>
    <w:rsid w:val="00487109"/>
    <w:rsid w:val="00487229"/>
    <w:rsid w:val="00487446"/>
    <w:rsid w:val="00491636"/>
    <w:rsid w:val="00491A03"/>
    <w:rsid w:val="00491AF4"/>
    <w:rsid w:val="004922AF"/>
    <w:rsid w:val="00492EEF"/>
    <w:rsid w:val="004938BF"/>
    <w:rsid w:val="00494652"/>
    <w:rsid w:val="00494849"/>
    <w:rsid w:val="00494B25"/>
    <w:rsid w:val="00495702"/>
    <w:rsid w:val="00495B3D"/>
    <w:rsid w:val="004961EE"/>
    <w:rsid w:val="0049692A"/>
    <w:rsid w:val="004970DB"/>
    <w:rsid w:val="0049716A"/>
    <w:rsid w:val="00497B11"/>
    <w:rsid w:val="004A11BB"/>
    <w:rsid w:val="004A24B2"/>
    <w:rsid w:val="004A2AE8"/>
    <w:rsid w:val="004A2D95"/>
    <w:rsid w:val="004A2E78"/>
    <w:rsid w:val="004A2FD9"/>
    <w:rsid w:val="004A312F"/>
    <w:rsid w:val="004A318D"/>
    <w:rsid w:val="004A3A9A"/>
    <w:rsid w:val="004A43B1"/>
    <w:rsid w:val="004A44E8"/>
    <w:rsid w:val="004A4AE6"/>
    <w:rsid w:val="004A4DE4"/>
    <w:rsid w:val="004A6041"/>
    <w:rsid w:val="004A68EC"/>
    <w:rsid w:val="004A719D"/>
    <w:rsid w:val="004B04D5"/>
    <w:rsid w:val="004B0655"/>
    <w:rsid w:val="004B1641"/>
    <w:rsid w:val="004B1A9A"/>
    <w:rsid w:val="004B48FC"/>
    <w:rsid w:val="004B49AA"/>
    <w:rsid w:val="004B4AE6"/>
    <w:rsid w:val="004B5282"/>
    <w:rsid w:val="004B5301"/>
    <w:rsid w:val="004B6749"/>
    <w:rsid w:val="004B7D03"/>
    <w:rsid w:val="004C0BD3"/>
    <w:rsid w:val="004C2396"/>
    <w:rsid w:val="004C319E"/>
    <w:rsid w:val="004C36AF"/>
    <w:rsid w:val="004C4543"/>
    <w:rsid w:val="004C51AE"/>
    <w:rsid w:val="004C53C0"/>
    <w:rsid w:val="004C588B"/>
    <w:rsid w:val="004C5B2A"/>
    <w:rsid w:val="004C5DBA"/>
    <w:rsid w:val="004D063E"/>
    <w:rsid w:val="004D0B41"/>
    <w:rsid w:val="004D0F52"/>
    <w:rsid w:val="004D11C2"/>
    <w:rsid w:val="004D17D9"/>
    <w:rsid w:val="004D1A8B"/>
    <w:rsid w:val="004D352F"/>
    <w:rsid w:val="004D37BD"/>
    <w:rsid w:val="004D396F"/>
    <w:rsid w:val="004D3C5A"/>
    <w:rsid w:val="004D41B6"/>
    <w:rsid w:val="004D4F2D"/>
    <w:rsid w:val="004D552D"/>
    <w:rsid w:val="004D58A2"/>
    <w:rsid w:val="004D5D39"/>
    <w:rsid w:val="004D65A8"/>
    <w:rsid w:val="004D6718"/>
    <w:rsid w:val="004D6CCC"/>
    <w:rsid w:val="004D6E33"/>
    <w:rsid w:val="004D741E"/>
    <w:rsid w:val="004D77B2"/>
    <w:rsid w:val="004E0A0B"/>
    <w:rsid w:val="004E157E"/>
    <w:rsid w:val="004E2C6F"/>
    <w:rsid w:val="004E30E9"/>
    <w:rsid w:val="004E415C"/>
    <w:rsid w:val="004E4E24"/>
    <w:rsid w:val="004E5522"/>
    <w:rsid w:val="004E5BD4"/>
    <w:rsid w:val="004E5D52"/>
    <w:rsid w:val="004E659F"/>
    <w:rsid w:val="004E6C72"/>
    <w:rsid w:val="004E71CA"/>
    <w:rsid w:val="004E772B"/>
    <w:rsid w:val="004F040B"/>
    <w:rsid w:val="004F113A"/>
    <w:rsid w:val="004F11B7"/>
    <w:rsid w:val="004F14DF"/>
    <w:rsid w:val="004F17B7"/>
    <w:rsid w:val="004F18AF"/>
    <w:rsid w:val="004F1A27"/>
    <w:rsid w:val="004F1DCF"/>
    <w:rsid w:val="004F2E52"/>
    <w:rsid w:val="004F3850"/>
    <w:rsid w:val="004F3ECC"/>
    <w:rsid w:val="004F4249"/>
    <w:rsid w:val="004F5F6C"/>
    <w:rsid w:val="004F76C5"/>
    <w:rsid w:val="004F7AA2"/>
    <w:rsid w:val="004F7B33"/>
    <w:rsid w:val="004F7FB6"/>
    <w:rsid w:val="00500BF3"/>
    <w:rsid w:val="00501B7C"/>
    <w:rsid w:val="00501FC4"/>
    <w:rsid w:val="00502534"/>
    <w:rsid w:val="0050388D"/>
    <w:rsid w:val="0050449C"/>
    <w:rsid w:val="00504B0D"/>
    <w:rsid w:val="00506C94"/>
    <w:rsid w:val="00507A6A"/>
    <w:rsid w:val="005105C0"/>
    <w:rsid w:val="00511007"/>
    <w:rsid w:val="00511923"/>
    <w:rsid w:val="00511AC0"/>
    <w:rsid w:val="005130FA"/>
    <w:rsid w:val="00514869"/>
    <w:rsid w:val="00514E6D"/>
    <w:rsid w:val="00514ECC"/>
    <w:rsid w:val="005158D0"/>
    <w:rsid w:val="00515A51"/>
    <w:rsid w:val="00515CFC"/>
    <w:rsid w:val="0051778D"/>
    <w:rsid w:val="00520B3E"/>
    <w:rsid w:val="005212F5"/>
    <w:rsid w:val="00521418"/>
    <w:rsid w:val="00522256"/>
    <w:rsid w:val="00522F1E"/>
    <w:rsid w:val="00523493"/>
    <w:rsid w:val="0052363D"/>
    <w:rsid w:val="005249FA"/>
    <w:rsid w:val="00524C7F"/>
    <w:rsid w:val="005251DC"/>
    <w:rsid w:val="00525319"/>
    <w:rsid w:val="00525383"/>
    <w:rsid w:val="005263D6"/>
    <w:rsid w:val="00526BEE"/>
    <w:rsid w:val="005302DD"/>
    <w:rsid w:val="005305C2"/>
    <w:rsid w:val="0053082F"/>
    <w:rsid w:val="00530E30"/>
    <w:rsid w:val="005310C2"/>
    <w:rsid w:val="00531603"/>
    <w:rsid w:val="005316B9"/>
    <w:rsid w:val="00532FF3"/>
    <w:rsid w:val="00534BDD"/>
    <w:rsid w:val="00534CFE"/>
    <w:rsid w:val="00535AC0"/>
    <w:rsid w:val="00535F3F"/>
    <w:rsid w:val="005366F4"/>
    <w:rsid w:val="005370CC"/>
    <w:rsid w:val="005411D4"/>
    <w:rsid w:val="0054338A"/>
    <w:rsid w:val="005433CE"/>
    <w:rsid w:val="0054445E"/>
    <w:rsid w:val="00544F14"/>
    <w:rsid w:val="00545680"/>
    <w:rsid w:val="00546ACA"/>
    <w:rsid w:val="00546BCA"/>
    <w:rsid w:val="005470B2"/>
    <w:rsid w:val="0054720E"/>
    <w:rsid w:val="00547463"/>
    <w:rsid w:val="005475E0"/>
    <w:rsid w:val="00547631"/>
    <w:rsid w:val="00547CD7"/>
    <w:rsid w:val="005505B2"/>
    <w:rsid w:val="00550952"/>
    <w:rsid w:val="005512CC"/>
    <w:rsid w:val="00551720"/>
    <w:rsid w:val="0055243C"/>
    <w:rsid w:val="005525B1"/>
    <w:rsid w:val="0055286E"/>
    <w:rsid w:val="00552DB4"/>
    <w:rsid w:val="00553A6E"/>
    <w:rsid w:val="00553F48"/>
    <w:rsid w:val="00555CE8"/>
    <w:rsid w:val="00557DA9"/>
    <w:rsid w:val="0056025D"/>
    <w:rsid w:val="005611CC"/>
    <w:rsid w:val="00561B83"/>
    <w:rsid w:val="00561E69"/>
    <w:rsid w:val="00562197"/>
    <w:rsid w:val="0056254C"/>
    <w:rsid w:val="005628E6"/>
    <w:rsid w:val="005629DF"/>
    <w:rsid w:val="005633CB"/>
    <w:rsid w:val="00563F2C"/>
    <w:rsid w:val="005644D1"/>
    <w:rsid w:val="00564689"/>
    <w:rsid w:val="00564983"/>
    <w:rsid w:val="00564CB3"/>
    <w:rsid w:val="00564EA8"/>
    <w:rsid w:val="00565A1B"/>
    <w:rsid w:val="005661C5"/>
    <w:rsid w:val="00570632"/>
    <w:rsid w:val="00571532"/>
    <w:rsid w:val="005722A4"/>
    <w:rsid w:val="0057245A"/>
    <w:rsid w:val="00572C8D"/>
    <w:rsid w:val="00572D50"/>
    <w:rsid w:val="00573619"/>
    <w:rsid w:val="00573737"/>
    <w:rsid w:val="00573750"/>
    <w:rsid w:val="00573909"/>
    <w:rsid w:val="00573FC6"/>
    <w:rsid w:val="00574AC8"/>
    <w:rsid w:val="005751B0"/>
    <w:rsid w:val="005755B5"/>
    <w:rsid w:val="00576086"/>
    <w:rsid w:val="00576144"/>
    <w:rsid w:val="00576552"/>
    <w:rsid w:val="00576554"/>
    <w:rsid w:val="00576DC5"/>
    <w:rsid w:val="0057708C"/>
    <w:rsid w:val="00577F86"/>
    <w:rsid w:val="005801C5"/>
    <w:rsid w:val="0058147D"/>
    <w:rsid w:val="005814FC"/>
    <w:rsid w:val="005818E9"/>
    <w:rsid w:val="00582EFD"/>
    <w:rsid w:val="005836F5"/>
    <w:rsid w:val="0058376D"/>
    <w:rsid w:val="00583AD0"/>
    <w:rsid w:val="00584723"/>
    <w:rsid w:val="0058632A"/>
    <w:rsid w:val="00587881"/>
    <w:rsid w:val="00590E99"/>
    <w:rsid w:val="00591504"/>
    <w:rsid w:val="0059157E"/>
    <w:rsid w:val="005922B6"/>
    <w:rsid w:val="00593F8C"/>
    <w:rsid w:val="005941DC"/>
    <w:rsid w:val="00594E5C"/>
    <w:rsid w:val="00594F5C"/>
    <w:rsid w:val="00594F81"/>
    <w:rsid w:val="005952C4"/>
    <w:rsid w:val="00596E70"/>
    <w:rsid w:val="00597DFB"/>
    <w:rsid w:val="00597EA6"/>
    <w:rsid w:val="005A0435"/>
    <w:rsid w:val="005A05FA"/>
    <w:rsid w:val="005A061A"/>
    <w:rsid w:val="005A0A30"/>
    <w:rsid w:val="005A1F7E"/>
    <w:rsid w:val="005A2389"/>
    <w:rsid w:val="005A2643"/>
    <w:rsid w:val="005A288F"/>
    <w:rsid w:val="005A2899"/>
    <w:rsid w:val="005A38AC"/>
    <w:rsid w:val="005A456B"/>
    <w:rsid w:val="005A4741"/>
    <w:rsid w:val="005A5286"/>
    <w:rsid w:val="005A53C4"/>
    <w:rsid w:val="005A58FB"/>
    <w:rsid w:val="005A678C"/>
    <w:rsid w:val="005A6CAA"/>
    <w:rsid w:val="005A7198"/>
    <w:rsid w:val="005A7D5F"/>
    <w:rsid w:val="005B02CC"/>
    <w:rsid w:val="005B0404"/>
    <w:rsid w:val="005B089E"/>
    <w:rsid w:val="005B19AC"/>
    <w:rsid w:val="005B1E82"/>
    <w:rsid w:val="005B2AFE"/>
    <w:rsid w:val="005B2B17"/>
    <w:rsid w:val="005B3542"/>
    <w:rsid w:val="005B3BA3"/>
    <w:rsid w:val="005B3D01"/>
    <w:rsid w:val="005B4237"/>
    <w:rsid w:val="005B4CAE"/>
    <w:rsid w:val="005B5261"/>
    <w:rsid w:val="005B5363"/>
    <w:rsid w:val="005B637E"/>
    <w:rsid w:val="005B64AB"/>
    <w:rsid w:val="005B6D6F"/>
    <w:rsid w:val="005B79EF"/>
    <w:rsid w:val="005C0523"/>
    <w:rsid w:val="005C0CA1"/>
    <w:rsid w:val="005C1874"/>
    <w:rsid w:val="005C3B0F"/>
    <w:rsid w:val="005C3C16"/>
    <w:rsid w:val="005C3C7A"/>
    <w:rsid w:val="005C48B3"/>
    <w:rsid w:val="005C5653"/>
    <w:rsid w:val="005C58F2"/>
    <w:rsid w:val="005C58F8"/>
    <w:rsid w:val="005C5D36"/>
    <w:rsid w:val="005C5DC4"/>
    <w:rsid w:val="005C5DDC"/>
    <w:rsid w:val="005C7996"/>
    <w:rsid w:val="005C7AEE"/>
    <w:rsid w:val="005D0C5D"/>
    <w:rsid w:val="005D1DF5"/>
    <w:rsid w:val="005D3BD8"/>
    <w:rsid w:val="005D4A7F"/>
    <w:rsid w:val="005D5004"/>
    <w:rsid w:val="005D5526"/>
    <w:rsid w:val="005D611C"/>
    <w:rsid w:val="005D626D"/>
    <w:rsid w:val="005D6431"/>
    <w:rsid w:val="005D6986"/>
    <w:rsid w:val="005D6D3C"/>
    <w:rsid w:val="005D6D74"/>
    <w:rsid w:val="005D7016"/>
    <w:rsid w:val="005D77B7"/>
    <w:rsid w:val="005D7F03"/>
    <w:rsid w:val="005E00E0"/>
    <w:rsid w:val="005E044F"/>
    <w:rsid w:val="005E06B2"/>
    <w:rsid w:val="005E0BA6"/>
    <w:rsid w:val="005E0F0E"/>
    <w:rsid w:val="005E10F1"/>
    <w:rsid w:val="005E139F"/>
    <w:rsid w:val="005E21A0"/>
    <w:rsid w:val="005E22F7"/>
    <w:rsid w:val="005E32AF"/>
    <w:rsid w:val="005E3498"/>
    <w:rsid w:val="005E46DE"/>
    <w:rsid w:val="005E4E57"/>
    <w:rsid w:val="005E4E67"/>
    <w:rsid w:val="005E5B63"/>
    <w:rsid w:val="005E5CA3"/>
    <w:rsid w:val="005E5DE4"/>
    <w:rsid w:val="005E64DD"/>
    <w:rsid w:val="005E6C25"/>
    <w:rsid w:val="005E7293"/>
    <w:rsid w:val="005E7ACF"/>
    <w:rsid w:val="005F102C"/>
    <w:rsid w:val="005F11FB"/>
    <w:rsid w:val="005F1A1A"/>
    <w:rsid w:val="005F1A3F"/>
    <w:rsid w:val="005F27EC"/>
    <w:rsid w:val="005F2B77"/>
    <w:rsid w:val="005F352C"/>
    <w:rsid w:val="005F36E1"/>
    <w:rsid w:val="005F4422"/>
    <w:rsid w:val="005F496F"/>
    <w:rsid w:val="005F4C63"/>
    <w:rsid w:val="005F5443"/>
    <w:rsid w:val="005F5F07"/>
    <w:rsid w:val="005F61D7"/>
    <w:rsid w:val="005F62E6"/>
    <w:rsid w:val="005F649F"/>
    <w:rsid w:val="005F7329"/>
    <w:rsid w:val="005F7558"/>
    <w:rsid w:val="006010BE"/>
    <w:rsid w:val="00601702"/>
    <w:rsid w:val="00601C40"/>
    <w:rsid w:val="006026FE"/>
    <w:rsid w:val="0060294D"/>
    <w:rsid w:val="00602970"/>
    <w:rsid w:val="00603583"/>
    <w:rsid w:val="00604633"/>
    <w:rsid w:val="00605725"/>
    <w:rsid w:val="00605DB0"/>
    <w:rsid w:val="00606081"/>
    <w:rsid w:val="00606416"/>
    <w:rsid w:val="006064EB"/>
    <w:rsid w:val="00607024"/>
    <w:rsid w:val="0060770E"/>
    <w:rsid w:val="006077F9"/>
    <w:rsid w:val="006101FB"/>
    <w:rsid w:val="006106DC"/>
    <w:rsid w:val="00610B82"/>
    <w:rsid w:val="00611829"/>
    <w:rsid w:val="00612C65"/>
    <w:rsid w:val="00612F13"/>
    <w:rsid w:val="006148E7"/>
    <w:rsid w:val="00616E5B"/>
    <w:rsid w:val="00620008"/>
    <w:rsid w:val="00620053"/>
    <w:rsid w:val="006204A8"/>
    <w:rsid w:val="006210A2"/>
    <w:rsid w:val="00621816"/>
    <w:rsid w:val="00622077"/>
    <w:rsid w:val="00623B01"/>
    <w:rsid w:val="00623C4F"/>
    <w:rsid w:val="0062402E"/>
    <w:rsid w:val="0062469D"/>
    <w:rsid w:val="0062472F"/>
    <w:rsid w:val="0062489A"/>
    <w:rsid w:val="00624B40"/>
    <w:rsid w:val="00625987"/>
    <w:rsid w:val="00626C91"/>
    <w:rsid w:val="0062787F"/>
    <w:rsid w:val="0063068C"/>
    <w:rsid w:val="00630750"/>
    <w:rsid w:val="00630AE1"/>
    <w:rsid w:val="00630F7C"/>
    <w:rsid w:val="00630FFB"/>
    <w:rsid w:val="0063274D"/>
    <w:rsid w:val="00632EC7"/>
    <w:rsid w:val="0063472B"/>
    <w:rsid w:val="0063561E"/>
    <w:rsid w:val="00635B53"/>
    <w:rsid w:val="00636221"/>
    <w:rsid w:val="006372E5"/>
    <w:rsid w:val="006373E7"/>
    <w:rsid w:val="00640130"/>
    <w:rsid w:val="00640A62"/>
    <w:rsid w:val="00641076"/>
    <w:rsid w:val="00641282"/>
    <w:rsid w:val="006418DD"/>
    <w:rsid w:val="00641E38"/>
    <w:rsid w:val="00642BAA"/>
    <w:rsid w:val="00644F1D"/>
    <w:rsid w:val="0064542E"/>
    <w:rsid w:val="0064644F"/>
    <w:rsid w:val="00646E8B"/>
    <w:rsid w:val="00646F71"/>
    <w:rsid w:val="0064730C"/>
    <w:rsid w:val="006475DB"/>
    <w:rsid w:val="00647B05"/>
    <w:rsid w:val="00650939"/>
    <w:rsid w:val="006510B6"/>
    <w:rsid w:val="0065185D"/>
    <w:rsid w:val="00652609"/>
    <w:rsid w:val="00652FD1"/>
    <w:rsid w:val="00653850"/>
    <w:rsid w:val="00654A6D"/>
    <w:rsid w:val="0065659F"/>
    <w:rsid w:val="00656674"/>
    <w:rsid w:val="00656A89"/>
    <w:rsid w:val="006609DA"/>
    <w:rsid w:val="0066181E"/>
    <w:rsid w:val="00662C7C"/>
    <w:rsid w:val="006634C0"/>
    <w:rsid w:val="0066560B"/>
    <w:rsid w:val="00666002"/>
    <w:rsid w:val="00666F11"/>
    <w:rsid w:val="00667799"/>
    <w:rsid w:val="006678D2"/>
    <w:rsid w:val="00671697"/>
    <w:rsid w:val="00671CE5"/>
    <w:rsid w:val="006730B3"/>
    <w:rsid w:val="0067360F"/>
    <w:rsid w:val="00673770"/>
    <w:rsid w:val="0067413E"/>
    <w:rsid w:val="00674372"/>
    <w:rsid w:val="00674519"/>
    <w:rsid w:val="00674EDF"/>
    <w:rsid w:val="00675C94"/>
    <w:rsid w:val="00676FA8"/>
    <w:rsid w:val="0068133C"/>
    <w:rsid w:val="006816FB"/>
    <w:rsid w:val="00681752"/>
    <w:rsid w:val="006817E4"/>
    <w:rsid w:val="0068203F"/>
    <w:rsid w:val="00682592"/>
    <w:rsid w:val="00682679"/>
    <w:rsid w:val="00682A90"/>
    <w:rsid w:val="006831EF"/>
    <w:rsid w:val="0068356E"/>
    <w:rsid w:val="006839DF"/>
    <w:rsid w:val="00685049"/>
    <w:rsid w:val="00685A25"/>
    <w:rsid w:val="00685BF6"/>
    <w:rsid w:val="0068612B"/>
    <w:rsid w:val="00687482"/>
    <w:rsid w:val="006909F0"/>
    <w:rsid w:val="00690AA8"/>
    <w:rsid w:val="006911E0"/>
    <w:rsid w:val="00691512"/>
    <w:rsid w:val="006915AC"/>
    <w:rsid w:val="00692110"/>
    <w:rsid w:val="00693B07"/>
    <w:rsid w:val="0069458C"/>
    <w:rsid w:val="00695847"/>
    <w:rsid w:val="006966E0"/>
    <w:rsid w:val="00696C66"/>
    <w:rsid w:val="00697450"/>
    <w:rsid w:val="00697872"/>
    <w:rsid w:val="006A000B"/>
    <w:rsid w:val="006A0040"/>
    <w:rsid w:val="006A0480"/>
    <w:rsid w:val="006A04CE"/>
    <w:rsid w:val="006A0B84"/>
    <w:rsid w:val="006A1BA6"/>
    <w:rsid w:val="006A1F7D"/>
    <w:rsid w:val="006A28EB"/>
    <w:rsid w:val="006A2D5C"/>
    <w:rsid w:val="006A3094"/>
    <w:rsid w:val="006A383D"/>
    <w:rsid w:val="006A39D7"/>
    <w:rsid w:val="006A4302"/>
    <w:rsid w:val="006A4324"/>
    <w:rsid w:val="006A47F5"/>
    <w:rsid w:val="006A4DB1"/>
    <w:rsid w:val="006A5590"/>
    <w:rsid w:val="006A59E8"/>
    <w:rsid w:val="006A5BA4"/>
    <w:rsid w:val="006A636C"/>
    <w:rsid w:val="006A7499"/>
    <w:rsid w:val="006A7BC9"/>
    <w:rsid w:val="006B01CD"/>
    <w:rsid w:val="006B0D6B"/>
    <w:rsid w:val="006B110B"/>
    <w:rsid w:val="006B1B3A"/>
    <w:rsid w:val="006B1FC3"/>
    <w:rsid w:val="006B2BD1"/>
    <w:rsid w:val="006B392B"/>
    <w:rsid w:val="006B3A06"/>
    <w:rsid w:val="006B430F"/>
    <w:rsid w:val="006B4408"/>
    <w:rsid w:val="006B443D"/>
    <w:rsid w:val="006B4A91"/>
    <w:rsid w:val="006B4F5A"/>
    <w:rsid w:val="006B5D3D"/>
    <w:rsid w:val="006B67E1"/>
    <w:rsid w:val="006B690C"/>
    <w:rsid w:val="006B7616"/>
    <w:rsid w:val="006B771B"/>
    <w:rsid w:val="006B77E9"/>
    <w:rsid w:val="006B7947"/>
    <w:rsid w:val="006B7FB1"/>
    <w:rsid w:val="006C147B"/>
    <w:rsid w:val="006C33E1"/>
    <w:rsid w:val="006C4525"/>
    <w:rsid w:val="006C4A10"/>
    <w:rsid w:val="006C5982"/>
    <w:rsid w:val="006C6CB0"/>
    <w:rsid w:val="006C6DE1"/>
    <w:rsid w:val="006C72E0"/>
    <w:rsid w:val="006C7797"/>
    <w:rsid w:val="006C7868"/>
    <w:rsid w:val="006D00AF"/>
    <w:rsid w:val="006D0770"/>
    <w:rsid w:val="006D1476"/>
    <w:rsid w:val="006D2086"/>
    <w:rsid w:val="006D2966"/>
    <w:rsid w:val="006D2FDB"/>
    <w:rsid w:val="006D4149"/>
    <w:rsid w:val="006D4438"/>
    <w:rsid w:val="006D445B"/>
    <w:rsid w:val="006D4FB3"/>
    <w:rsid w:val="006D6248"/>
    <w:rsid w:val="006D636B"/>
    <w:rsid w:val="006E01BB"/>
    <w:rsid w:val="006E04E8"/>
    <w:rsid w:val="006E122C"/>
    <w:rsid w:val="006E15F3"/>
    <w:rsid w:val="006E2388"/>
    <w:rsid w:val="006E2B46"/>
    <w:rsid w:val="006E393A"/>
    <w:rsid w:val="006E42EC"/>
    <w:rsid w:val="006E4E61"/>
    <w:rsid w:val="006E4EFF"/>
    <w:rsid w:val="006E51D8"/>
    <w:rsid w:val="006E5AE0"/>
    <w:rsid w:val="006E687D"/>
    <w:rsid w:val="006E71C6"/>
    <w:rsid w:val="006E740D"/>
    <w:rsid w:val="006F03BE"/>
    <w:rsid w:val="006F0CC6"/>
    <w:rsid w:val="006F165C"/>
    <w:rsid w:val="006F1672"/>
    <w:rsid w:val="006F17EC"/>
    <w:rsid w:val="006F1BF7"/>
    <w:rsid w:val="006F1F85"/>
    <w:rsid w:val="006F23BB"/>
    <w:rsid w:val="006F2BED"/>
    <w:rsid w:val="006F2D8D"/>
    <w:rsid w:val="006F304F"/>
    <w:rsid w:val="006F3873"/>
    <w:rsid w:val="006F39B7"/>
    <w:rsid w:val="006F52C0"/>
    <w:rsid w:val="006F52EF"/>
    <w:rsid w:val="006F6091"/>
    <w:rsid w:val="006F6855"/>
    <w:rsid w:val="006F6E70"/>
    <w:rsid w:val="006F77C1"/>
    <w:rsid w:val="006F7CAD"/>
    <w:rsid w:val="00700B63"/>
    <w:rsid w:val="00700C5D"/>
    <w:rsid w:val="00701AC0"/>
    <w:rsid w:val="00701B60"/>
    <w:rsid w:val="00702564"/>
    <w:rsid w:val="00702D3C"/>
    <w:rsid w:val="007038BB"/>
    <w:rsid w:val="007039EA"/>
    <w:rsid w:val="00703BD6"/>
    <w:rsid w:val="007048D3"/>
    <w:rsid w:val="00704D1A"/>
    <w:rsid w:val="00704EB5"/>
    <w:rsid w:val="00705B34"/>
    <w:rsid w:val="00706FD3"/>
    <w:rsid w:val="00707496"/>
    <w:rsid w:val="007076B4"/>
    <w:rsid w:val="00707B58"/>
    <w:rsid w:val="00707BA9"/>
    <w:rsid w:val="00707C19"/>
    <w:rsid w:val="007111F6"/>
    <w:rsid w:val="00711308"/>
    <w:rsid w:val="00711565"/>
    <w:rsid w:val="0071243E"/>
    <w:rsid w:val="00712F91"/>
    <w:rsid w:val="00712F9A"/>
    <w:rsid w:val="00713A5B"/>
    <w:rsid w:val="00713CB2"/>
    <w:rsid w:val="00714107"/>
    <w:rsid w:val="00714CC2"/>
    <w:rsid w:val="00714D64"/>
    <w:rsid w:val="00715148"/>
    <w:rsid w:val="00715290"/>
    <w:rsid w:val="00715A48"/>
    <w:rsid w:val="00715CAE"/>
    <w:rsid w:val="00716872"/>
    <w:rsid w:val="00720264"/>
    <w:rsid w:val="007215D9"/>
    <w:rsid w:val="00721840"/>
    <w:rsid w:val="00721B7F"/>
    <w:rsid w:val="00721B9A"/>
    <w:rsid w:val="0072246D"/>
    <w:rsid w:val="00722A1F"/>
    <w:rsid w:val="00724E45"/>
    <w:rsid w:val="00724F90"/>
    <w:rsid w:val="0072512F"/>
    <w:rsid w:val="007253A9"/>
    <w:rsid w:val="00726CC8"/>
    <w:rsid w:val="00726E0F"/>
    <w:rsid w:val="00727699"/>
    <w:rsid w:val="00727E01"/>
    <w:rsid w:val="007305ED"/>
    <w:rsid w:val="00730E75"/>
    <w:rsid w:val="007313D7"/>
    <w:rsid w:val="00731DD3"/>
    <w:rsid w:val="007320A3"/>
    <w:rsid w:val="00732465"/>
    <w:rsid w:val="00732518"/>
    <w:rsid w:val="00732A5F"/>
    <w:rsid w:val="00732E45"/>
    <w:rsid w:val="007333A6"/>
    <w:rsid w:val="007333A7"/>
    <w:rsid w:val="007335D3"/>
    <w:rsid w:val="00733692"/>
    <w:rsid w:val="00733B71"/>
    <w:rsid w:val="007347D3"/>
    <w:rsid w:val="00734800"/>
    <w:rsid w:val="00734C53"/>
    <w:rsid w:val="007350F9"/>
    <w:rsid w:val="00736029"/>
    <w:rsid w:val="0073622E"/>
    <w:rsid w:val="007365A7"/>
    <w:rsid w:val="00736DD7"/>
    <w:rsid w:val="007413F6"/>
    <w:rsid w:val="00742D0E"/>
    <w:rsid w:val="00743719"/>
    <w:rsid w:val="0074375D"/>
    <w:rsid w:val="007451A3"/>
    <w:rsid w:val="00746325"/>
    <w:rsid w:val="00747331"/>
    <w:rsid w:val="0074733F"/>
    <w:rsid w:val="0074739F"/>
    <w:rsid w:val="00747E30"/>
    <w:rsid w:val="00747EF0"/>
    <w:rsid w:val="0075013C"/>
    <w:rsid w:val="00750581"/>
    <w:rsid w:val="007507D5"/>
    <w:rsid w:val="0075086A"/>
    <w:rsid w:val="00751128"/>
    <w:rsid w:val="007513F8"/>
    <w:rsid w:val="00751489"/>
    <w:rsid w:val="00751772"/>
    <w:rsid w:val="00753817"/>
    <w:rsid w:val="00753932"/>
    <w:rsid w:val="00754AF8"/>
    <w:rsid w:val="00754C13"/>
    <w:rsid w:val="007553A8"/>
    <w:rsid w:val="00755697"/>
    <w:rsid w:val="00755829"/>
    <w:rsid w:val="00756475"/>
    <w:rsid w:val="00756A51"/>
    <w:rsid w:val="00756D71"/>
    <w:rsid w:val="007570CA"/>
    <w:rsid w:val="0075774A"/>
    <w:rsid w:val="0076022C"/>
    <w:rsid w:val="00760883"/>
    <w:rsid w:val="00761143"/>
    <w:rsid w:val="00761A7A"/>
    <w:rsid w:val="00762139"/>
    <w:rsid w:val="00762464"/>
    <w:rsid w:val="007629BE"/>
    <w:rsid w:val="00763509"/>
    <w:rsid w:val="00763A34"/>
    <w:rsid w:val="00763E8A"/>
    <w:rsid w:val="00764608"/>
    <w:rsid w:val="007648E2"/>
    <w:rsid w:val="007651A2"/>
    <w:rsid w:val="0076547B"/>
    <w:rsid w:val="00766D1D"/>
    <w:rsid w:val="00767F0E"/>
    <w:rsid w:val="00770302"/>
    <w:rsid w:val="00770B41"/>
    <w:rsid w:val="00770B6C"/>
    <w:rsid w:val="00770C45"/>
    <w:rsid w:val="00770F12"/>
    <w:rsid w:val="007711FE"/>
    <w:rsid w:val="00771B8A"/>
    <w:rsid w:val="00772288"/>
    <w:rsid w:val="00772607"/>
    <w:rsid w:val="00772D89"/>
    <w:rsid w:val="007740C3"/>
    <w:rsid w:val="00774124"/>
    <w:rsid w:val="0077481E"/>
    <w:rsid w:val="00774C2D"/>
    <w:rsid w:val="00775187"/>
    <w:rsid w:val="007751E5"/>
    <w:rsid w:val="00776139"/>
    <w:rsid w:val="007768B8"/>
    <w:rsid w:val="00776EC6"/>
    <w:rsid w:val="00777805"/>
    <w:rsid w:val="0077781F"/>
    <w:rsid w:val="0077790E"/>
    <w:rsid w:val="007816C8"/>
    <w:rsid w:val="00781738"/>
    <w:rsid w:val="007829E2"/>
    <w:rsid w:val="007837ED"/>
    <w:rsid w:val="00783962"/>
    <w:rsid w:val="00783964"/>
    <w:rsid w:val="00783B8F"/>
    <w:rsid w:val="00783FA9"/>
    <w:rsid w:val="00784305"/>
    <w:rsid w:val="00784896"/>
    <w:rsid w:val="00784A22"/>
    <w:rsid w:val="00786D41"/>
    <w:rsid w:val="00787250"/>
    <w:rsid w:val="007872D6"/>
    <w:rsid w:val="00787B8C"/>
    <w:rsid w:val="0079143E"/>
    <w:rsid w:val="00793055"/>
    <w:rsid w:val="007936E4"/>
    <w:rsid w:val="00793B67"/>
    <w:rsid w:val="0079493A"/>
    <w:rsid w:val="00794EC3"/>
    <w:rsid w:val="007954F4"/>
    <w:rsid w:val="00795E56"/>
    <w:rsid w:val="007965F9"/>
    <w:rsid w:val="00797167"/>
    <w:rsid w:val="007973EF"/>
    <w:rsid w:val="007A06AA"/>
    <w:rsid w:val="007A0891"/>
    <w:rsid w:val="007A0ABF"/>
    <w:rsid w:val="007A0E45"/>
    <w:rsid w:val="007A1C7E"/>
    <w:rsid w:val="007A201B"/>
    <w:rsid w:val="007A445C"/>
    <w:rsid w:val="007A5958"/>
    <w:rsid w:val="007A5CF5"/>
    <w:rsid w:val="007B0013"/>
    <w:rsid w:val="007B04B0"/>
    <w:rsid w:val="007B08CA"/>
    <w:rsid w:val="007B094F"/>
    <w:rsid w:val="007B1475"/>
    <w:rsid w:val="007B1597"/>
    <w:rsid w:val="007B1A35"/>
    <w:rsid w:val="007B22BA"/>
    <w:rsid w:val="007B234A"/>
    <w:rsid w:val="007B24AF"/>
    <w:rsid w:val="007B2FAB"/>
    <w:rsid w:val="007B3DE8"/>
    <w:rsid w:val="007B424D"/>
    <w:rsid w:val="007B42CB"/>
    <w:rsid w:val="007B4324"/>
    <w:rsid w:val="007B4768"/>
    <w:rsid w:val="007B5516"/>
    <w:rsid w:val="007B61F0"/>
    <w:rsid w:val="007B7754"/>
    <w:rsid w:val="007B7AA5"/>
    <w:rsid w:val="007C02D3"/>
    <w:rsid w:val="007C03D5"/>
    <w:rsid w:val="007C11A7"/>
    <w:rsid w:val="007C1873"/>
    <w:rsid w:val="007C1BD6"/>
    <w:rsid w:val="007C22F3"/>
    <w:rsid w:val="007C2B54"/>
    <w:rsid w:val="007C30EC"/>
    <w:rsid w:val="007C3429"/>
    <w:rsid w:val="007C3827"/>
    <w:rsid w:val="007C3A06"/>
    <w:rsid w:val="007C49B3"/>
    <w:rsid w:val="007C526F"/>
    <w:rsid w:val="007C57A5"/>
    <w:rsid w:val="007C6756"/>
    <w:rsid w:val="007C7A34"/>
    <w:rsid w:val="007D081F"/>
    <w:rsid w:val="007D0C82"/>
    <w:rsid w:val="007D191A"/>
    <w:rsid w:val="007D1C8E"/>
    <w:rsid w:val="007D2087"/>
    <w:rsid w:val="007D2973"/>
    <w:rsid w:val="007D38C3"/>
    <w:rsid w:val="007D412F"/>
    <w:rsid w:val="007D428E"/>
    <w:rsid w:val="007D47D3"/>
    <w:rsid w:val="007D62CF"/>
    <w:rsid w:val="007D72A2"/>
    <w:rsid w:val="007D7D97"/>
    <w:rsid w:val="007E0170"/>
    <w:rsid w:val="007E0257"/>
    <w:rsid w:val="007E06B7"/>
    <w:rsid w:val="007E07D0"/>
    <w:rsid w:val="007E1D9B"/>
    <w:rsid w:val="007E33AF"/>
    <w:rsid w:val="007E3B7E"/>
    <w:rsid w:val="007E5918"/>
    <w:rsid w:val="007E599F"/>
    <w:rsid w:val="007E6028"/>
    <w:rsid w:val="007E6AC5"/>
    <w:rsid w:val="007E6D39"/>
    <w:rsid w:val="007F08E2"/>
    <w:rsid w:val="007F0D7A"/>
    <w:rsid w:val="007F0FC7"/>
    <w:rsid w:val="007F14FE"/>
    <w:rsid w:val="007F166C"/>
    <w:rsid w:val="007F1CBB"/>
    <w:rsid w:val="007F2748"/>
    <w:rsid w:val="007F2E57"/>
    <w:rsid w:val="007F374D"/>
    <w:rsid w:val="007F438C"/>
    <w:rsid w:val="007F4530"/>
    <w:rsid w:val="007F5F04"/>
    <w:rsid w:val="007F7231"/>
    <w:rsid w:val="007F73D9"/>
    <w:rsid w:val="0080010D"/>
    <w:rsid w:val="00800F4C"/>
    <w:rsid w:val="00801FFD"/>
    <w:rsid w:val="0080250D"/>
    <w:rsid w:val="00802ABC"/>
    <w:rsid w:val="008034D0"/>
    <w:rsid w:val="00803AB7"/>
    <w:rsid w:val="00803BF4"/>
    <w:rsid w:val="00803D86"/>
    <w:rsid w:val="00804B83"/>
    <w:rsid w:val="00805A38"/>
    <w:rsid w:val="00805A60"/>
    <w:rsid w:val="00805F96"/>
    <w:rsid w:val="0080624A"/>
    <w:rsid w:val="008063AA"/>
    <w:rsid w:val="008063FB"/>
    <w:rsid w:val="00807289"/>
    <w:rsid w:val="00807773"/>
    <w:rsid w:val="0081001F"/>
    <w:rsid w:val="0081034E"/>
    <w:rsid w:val="00810847"/>
    <w:rsid w:val="008110CE"/>
    <w:rsid w:val="008112AB"/>
    <w:rsid w:val="00811661"/>
    <w:rsid w:val="00811CFD"/>
    <w:rsid w:val="00812419"/>
    <w:rsid w:val="00812E51"/>
    <w:rsid w:val="00813D49"/>
    <w:rsid w:val="008145FF"/>
    <w:rsid w:val="00815A0F"/>
    <w:rsid w:val="00816336"/>
    <w:rsid w:val="008172B0"/>
    <w:rsid w:val="008201F9"/>
    <w:rsid w:val="00821402"/>
    <w:rsid w:val="00821427"/>
    <w:rsid w:val="00822932"/>
    <w:rsid w:val="00822C95"/>
    <w:rsid w:val="008230E1"/>
    <w:rsid w:val="00823AA0"/>
    <w:rsid w:val="00824558"/>
    <w:rsid w:val="00824CB6"/>
    <w:rsid w:val="008252A4"/>
    <w:rsid w:val="00826F7B"/>
    <w:rsid w:val="008302C5"/>
    <w:rsid w:val="008303A8"/>
    <w:rsid w:val="00830789"/>
    <w:rsid w:val="0083086B"/>
    <w:rsid w:val="00831351"/>
    <w:rsid w:val="0083141A"/>
    <w:rsid w:val="008314E2"/>
    <w:rsid w:val="00832376"/>
    <w:rsid w:val="00832D0B"/>
    <w:rsid w:val="00833145"/>
    <w:rsid w:val="00833C88"/>
    <w:rsid w:val="0083527C"/>
    <w:rsid w:val="00835501"/>
    <w:rsid w:val="008371D8"/>
    <w:rsid w:val="008375D0"/>
    <w:rsid w:val="008379BB"/>
    <w:rsid w:val="00837E0A"/>
    <w:rsid w:val="0084030E"/>
    <w:rsid w:val="00840C53"/>
    <w:rsid w:val="00840C64"/>
    <w:rsid w:val="00841316"/>
    <w:rsid w:val="00841749"/>
    <w:rsid w:val="00842946"/>
    <w:rsid w:val="00842DC7"/>
    <w:rsid w:val="00843164"/>
    <w:rsid w:val="0084328C"/>
    <w:rsid w:val="00843E8B"/>
    <w:rsid w:val="00843F16"/>
    <w:rsid w:val="0084463D"/>
    <w:rsid w:val="008447C8"/>
    <w:rsid w:val="00846A25"/>
    <w:rsid w:val="00846E5C"/>
    <w:rsid w:val="008477F1"/>
    <w:rsid w:val="00850100"/>
    <w:rsid w:val="00850C52"/>
    <w:rsid w:val="0085108B"/>
    <w:rsid w:val="0085129A"/>
    <w:rsid w:val="00851C2A"/>
    <w:rsid w:val="00852204"/>
    <w:rsid w:val="00852C85"/>
    <w:rsid w:val="008536AD"/>
    <w:rsid w:val="00853B41"/>
    <w:rsid w:val="008541F7"/>
    <w:rsid w:val="0085452D"/>
    <w:rsid w:val="008546D9"/>
    <w:rsid w:val="008546FC"/>
    <w:rsid w:val="00855109"/>
    <w:rsid w:val="00855D0B"/>
    <w:rsid w:val="008561FE"/>
    <w:rsid w:val="00856457"/>
    <w:rsid w:val="008567FA"/>
    <w:rsid w:val="00857028"/>
    <w:rsid w:val="00857660"/>
    <w:rsid w:val="00857E8B"/>
    <w:rsid w:val="008605D8"/>
    <w:rsid w:val="00862937"/>
    <w:rsid w:val="00862B38"/>
    <w:rsid w:val="0086313D"/>
    <w:rsid w:val="00863EAC"/>
    <w:rsid w:val="00863F57"/>
    <w:rsid w:val="00864268"/>
    <w:rsid w:val="008646B3"/>
    <w:rsid w:val="00864B45"/>
    <w:rsid w:val="00865379"/>
    <w:rsid w:val="00865C3A"/>
    <w:rsid w:val="008662B0"/>
    <w:rsid w:val="008663D0"/>
    <w:rsid w:val="00866F02"/>
    <w:rsid w:val="00867D9D"/>
    <w:rsid w:val="008706F2"/>
    <w:rsid w:val="00871673"/>
    <w:rsid w:val="0087230E"/>
    <w:rsid w:val="00872546"/>
    <w:rsid w:val="00873784"/>
    <w:rsid w:val="00873A33"/>
    <w:rsid w:val="00874937"/>
    <w:rsid w:val="00875D4E"/>
    <w:rsid w:val="00876CA5"/>
    <w:rsid w:val="00876E2F"/>
    <w:rsid w:val="008772EF"/>
    <w:rsid w:val="00877C0F"/>
    <w:rsid w:val="00880113"/>
    <w:rsid w:val="008803D6"/>
    <w:rsid w:val="0088068D"/>
    <w:rsid w:val="00881345"/>
    <w:rsid w:val="00881956"/>
    <w:rsid w:val="008826BF"/>
    <w:rsid w:val="00882CC3"/>
    <w:rsid w:val="00883722"/>
    <w:rsid w:val="008843DC"/>
    <w:rsid w:val="008845C6"/>
    <w:rsid w:val="0088510E"/>
    <w:rsid w:val="0088536A"/>
    <w:rsid w:val="008854B3"/>
    <w:rsid w:val="00885503"/>
    <w:rsid w:val="00886758"/>
    <w:rsid w:val="00887AF2"/>
    <w:rsid w:val="00887B0B"/>
    <w:rsid w:val="00887F63"/>
    <w:rsid w:val="008910CA"/>
    <w:rsid w:val="0089158A"/>
    <w:rsid w:val="008915F5"/>
    <w:rsid w:val="00891DE3"/>
    <w:rsid w:val="008920C1"/>
    <w:rsid w:val="00892551"/>
    <w:rsid w:val="00892571"/>
    <w:rsid w:val="00893CB1"/>
    <w:rsid w:val="00893CDD"/>
    <w:rsid w:val="00894756"/>
    <w:rsid w:val="008949C4"/>
    <w:rsid w:val="00895171"/>
    <w:rsid w:val="008961FC"/>
    <w:rsid w:val="00896207"/>
    <w:rsid w:val="008A108C"/>
    <w:rsid w:val="008A12DA"/>
    <w:rsid w:val="008A1545"/>
    <w:rsid w:val="008A1587"/>
    <w:rsid w:val="008A17FF"/>
    <w:rsid w:val="008A1E52"/>
    <w:rsid w:val="008A281F"/>
    <w:rsid w:val="008A2B6D"/>
    <w:rsid w:val="008A2B74"/>
    <w:rsid w:val="008A3091"/>
    <w:rsid w:val="008A344E"/>
    <w:rsid w:val="008A46C1"/>
    <w:rsid w:val="008A48CC"/>
    <w:rsid w:val="008A4937"/>
    <w:rsid w:val="008A5555"/>
    <w:rsid w:val="008A6283"/>
    <w:rsid w:val="008A6B87"/>
    <w:rsid w:val="008A6F28"/>
    <w:rsid w:val="008A72DA"/>
    <w:rsid w:val="008A7557"/>
    <w:rsid w:val="008B00EC"/>
    <w:rsid w:val="008B0B0F"/>
    <w:rsid w:val="008B12BF"/>
    <w:rsid w:val="008B24F8"/>
    <w:rsid w:val="008B2512"/>
    <w:rsid w:val="008B315B"/>
    <w:rsid w:val="008B3F88"/>
    <w:rsid w:val="008B411D"/>
    <w:rsid w:val="008B4488"/>
    <w:rsid w:val="008B4A3D"/>
    <w:rsid w:val="008B4ABE"/>
    <w:rsid w:val="008B580E"/>
    <w:rsid w:val="008B5E5A"/>
    <w:rsid w:val="008B7BD8"/>
    <w:rsid w:val="008C0A12"/>
    <w:rsid w:val="008C170B"/>
    <w:rsid w:val="008C1970"/>
    <w:rsid w:val="008C1F90"/>
    <w:rsid w:val="008C2CE7"/>
    <w:rsid w:val="008C3594"/>
    <w:rsid w:val="008C36A8"/>
    <w:rsid w:val="008C3812"/>
    <w:rsid w:val="008C4C6B"/>
    <w:rsid w:val="008C4DEA"/>
    <w:rsid w:val="008C5061"/>
    <w:rsid w:val="008C5F1E"/>
    <w:rsid w:val="008C627E"/>
    <w:rsid w:val="008C6783"/>
    <w:rsid w:val="008C7163"/>
    <w:rsid w:val="008C7E50"/>
    <w:rsid w:val="008D013A"/>
    <w:rsid w:val="008D0247"/>
    <w:rsid w:val="008D084A"/>
    <w:rsid w:val="008D1BC8"/>
    <w:rsid w:val="008D2E2A"/>
    <w:rsid w:val="008D3D64"/>
    <w:rsid w:val="008D4416"/>
    <w:rsid w:val="008D4444"/>
    <w:rsid w:val="008D5899"/>
    <w:rsid w:val="008D5F70"/>
    <w:rsid w:val="008D60CB"/>
    <w:rsid w:val="008D6628"/>
    <w:rsid w:val="008D6BF9"/>
    <w:rsid w:val="008D73A2"/>
    <w:rsid w:val="008E01DA"/>
    <w:rsid w:val="008E0497"/>
    <w:rsid w:val="008E0A17"/>
    <w:rsid w:val="008E11E2"/>
    <w:rsid w:val="008E21DE"/>
    <w:rsid w:val="008E2C8E"/>
    <w:rsid w:val="008E3AF0"/>
    <w:rsid w:val="008E3BFC"/>
    <w:rsid w:val="008E4E67"/>
    <w:rsid w:val="008E51AA"/>
    <w:rsid w:val="008E5662"/>
    <w:rsid w:val="008E58FE"/>
    <w:rsid w:val="008E59C0"/>
    <w:rsid w:val="008E5FA1"/>
    <w:rsid w:val="008E61B9"/>
    <w:rsid w:val="008E6959"/>
    <w:rsid w:val="008E6CF9"/>
    <w:rsid w:val="008F02A4"/>
    <w:rsid w:val="008F0EB7"/>
    <w:rsid w:val="008F2F71"/>
    <w:rsid w:val="008F3493"/>
    <w:rsid w:val="008F423F"/>
    <w:rsid w:val="008F5389"/>
    <w:rsid w:val="008F6764"/>
    <w:rsid w:val="008F68ED"/>
    <w:rsid w:val="008F6B73"/>
    <w:rsid w:val="008F6FF5"/>
    <w:rsid w:val="00900A97"/>
    <w:rsid w:val="00901C5F"/>
    <w:rsid w:val="0090219F"/>
    <w:rsid w:val="009031BD"/>
    <w:rsid w:val="0090331D"/>
    <w:rsid w:val="00903A3E"/>
    <w:rsid w:val="00903FE7"/>
    <w:rsid w:val="009041F3"/>
    <w:rsid w:val="0090543B"/>
    <w:rsid w:val="00905820"/>
    <w:rsid w:val="00905984"/>
    <w:rsid w:val="0090683F"/>
    <w:rsid w:val="0091036E"/>
    <w:rsid w:val="00910398"/>
    <w:rsid w:val="00910FB1"/>
    <w:rsid w:val="009115A2"/>
    <w:rsid w:val="009115D9"/>
    <w:rsid w:val="009123E9"/>
    <w:rsid w:val="009126CC"/>
    <w:rsid w:val="009134F1"/>
    <w:rsid w:val="00913763"/>
    <w:rsid w:val="00913DA6"/>
    <w:rsid w:val="00913DFF"/>
    <w:rsid w:val="0091484D"/>
    <w:rsid w:val="009155B8"/>
    <w:rsid w:val="0091592B"/>
    <w:rsid w:val="00915B50"/>
    <w:rsid w:val="00915F44"/>
    <w:rsid w:val="009172DB"/>
    <w:rsid w:val="00917952"/>
    <w:rsid w:val="00917C9F"/>
    <w:rsid w:val="009211C1"/>
    <w:rsid w:val="00922DDA"/>
    <w:rsid w:val="0092379D"/>
    <w:rsid w:val="00923867"/>
    <w:rsid w:val="00923C08"/>
    <w:rsid w:val="00924B15"/>
    <w:rsid w:val="009259C1"/>
    <w:rsid w:val="00926006"/>
    <w:rsid w:val="00926881"/>
    <w:rsid w:val="009274FE"/>
    <w:rsid w:val="00930F8D"/>
    <w:rsid w:val="00931B8D"/>
    <w:rsid w:val="00935840"/>
    <w:rsid w:val="00935D4C"/>
    <w:rsid w:val="009371FB"/>
    <w:rsid w:val="009372CE"/>
    <w:rsid w:val="00937BB7"/>
    <w:rsid w:val="009404C7"/>
    <w:rsid w:val="00941645"/>
    <w:rsid w:val="00941DF9"/>
    <w:rsid w:val="00941FA0"/>
    <w:rsid w:val="00942243"/>
    <w:rsid w:val="009433D1"/>
    <w:rsid w:val="009434AA"/>
    <w:rsid w:val="00943598"/>
    <w:rsid w:val="00944C13"/>
    <w:rsid w:val="00947098"/>
    <w:rsid w:val="00947A5B"/>
    <w:rsid w:val="00947DC0"/>
    <w:rsid w:val="00950CC8"/>
    <w:rsid w:val="00950D61"/>
    <w:rsid w:val="0095141C"/>
    <w:rsid w:val="00952BFE"/>
    <w:rsid w:val="00953288"/>
    <w:rsid w:val="00953835"/>
    <w:rsid w:val="00954475"/>
    <w:rsid w:val="00955ACB"/>
    <w:rsid w:val="0095652E"/>
    <w:rsid w:val="00956904"/>
    <w:rsid w:val="00957393"/>
    <w:rsid w:val="00957798"/>
    <w:rsid w:val="00960088"/>
    <w:rsid w:val="0096074C"/>
    <w:rsid w:val="00960F82"/>
    <w:rsid w:val="00961011"/>
    <w:rsid w:val="009612C0"/>
    <w:rsid w:val="009614B0"/>
    <w:rsid w:val="00963E42"/>
    <w:rsid w:val="00963F5C"/>
    <w:rsid w:val="00964259"/>
    <w:rsid w:val="009643D8"/>
    <w:rsid w:val="009656D7"/>
    <w:rsid w:val="00965880"/>
    <w:rsid w:val="00965EDE"/>
    <w:rsid w:val="009660E8"/>
    <w:rsid w:val="0096640B"/>
    <w:rsid w:val="00966DD0"/>
    <w:rsid w:val="0096790B"/>
    <w:rsid w:val="00967C95"/>
    <w:rsid w:val="00967E9E"/>
    <w:rsid w:val="00970444"/>
    <w:rsid w:val="0097044E"/>
    <w:rsid w:val="00970B0D"/>
    <w:rsid w:val="00970FC4"/>
    <w:rsid w:val="00971339"/>
    <w:rsid w:val="00972601"/>
    <w:rsid w:val="0097286D"/>
    <w:rsid w:val="00973293"/>
    <w:rsid w:val="009736A7"/>
    <w:rsid w:val="00973E4D"/>
    <w:rsid w:val="009743A6"/>
    <w:rsid w:val="00974C45"/>
    <w:rsid w:val="00974D8E"/>
    <w:rsid w:val="00975F44"/>
    <w:rsid w:val="0097663B"/>
    <w:rsid w:val="00977FFE"/>
    <w:rsid w:val="0098035F"/>
    <w:rsid w:val="00980621"/>
    <w:rsid w:val="009806D5"/>
    <w:rsid w:val="00980926"/>
    <w:rsid w:val="00980BA1"/>
    <w:rsid w:val="00980EA2"/>
    <w:rsid w:val="00981385"/>
    <w:rsid w:val="009814ED"/>
    <w:rsid w:val="00983EB3"/>
    <w:rsid w:val="0098444B"/>
    <w:rsid w:val="00984821"/>
    <w:rsid w:val="00984950"/>
    <w:rsid w:val="00984A16"/>
    <w:rsid w:val="00984CFE"/>
    <w:rsid w:val="00985DB1"/>
    <w:rsid w:val="00986079"/>
    <w:rsid w:val="00987940"/>
    <w:rsid w:val="00987A5E"/>
    <w:rsid w:val="00987BA2"/>
    <w:rsid w:val="00987FDC"/>
    <w:rsid w:val="00991505"/>
    <w:rsid w:val="00992576"/>
    <w:rsid w:val="00992D8A"/>
    <w:rsid w:val="00993017"/>
    <w:rsid w:val="009935A0"/>
    <w:rsid w:val="00993B8D"/>
    <w:rsid w:val="009942F7"/>
    <w:rsid w:val="009956BF"/>
    <w:rsid w:val="009958B7"/>
    <w:rsid w:val="009964F4"/>
    <w:rsid w:val="009966AC"/>
    <w:rsid w:val="00997561"/>
    <w:rsid w:val="009A0AD6"/>
    <w:rsid w:val="009A0E7F"/>
    <w:rsid w:val="009A1391"/>
    <w:rsid w:val="009A1B4D"/>
    <w:rsid w:val="009A2276"/>
    <w:rsid w:val="009A2498"/>
    <w:rsid w:val="009A2761"/>
    <w:rsid w:val="009A2B82"/>
    <w:rsid w:val="009A2C0F"/>
    <w:rsid w:val="009A330C"/>
    <w:rsid w:val="009A41FB"/>
    <w:rsid w:val="009A49A7"/>
    <w:rsid w:val="009A4F0F"/>
    <w:rsid w:val="009A5406"/>
    <w:rsid w:val="009A54B2"/>
    <w:rsid w:val="009A5677"/>
    <w:rsid w:val="009A573B"/>
    <w:rsid w:val="009A62B7"/>
    <w:rsid w:val="009A78BC"/>
    <w:rsid w:val="009A78F8"/>
    <w:rsid w:val="009A7D10"/>
    <w:rsid w:val="009B0F00"/>
    <w:rsid w:val="009B1C4D"/>
    <w:rsid w:val="009B20DD"/>
    <w:rsid w:val="009B2B3A"/>
    <w:rsid w:val="009B3118"/>
    <w:rsid w:val="009B3A82"/>
    <w:rsid w:val="009B498A"/>
    <w:rsid w:val="009B5C79"/>
    <w:rsid w:val="009B5D35"/>
    <w:rsid w:val="009B6AAA"/>
    <w:rsid w:val="009B6CDE"/>
    <w:rsid w:val="009B79D0"/>
    <w:rsid w:val="009C0E1E"/>
    <w:rsid w:val="009C1530"/>
    <w:rsid w:val="009C20B1"/>
    <w:rsid w:val="009C269F"/>
    <w:rsid w:val="009C29BD"/>
    <w:rsid w:val="009C3E96"/>
    <w:rsid w:val="009C41D0"/>
    <w:rsid w:val="009C4652"/>
    <w:rsid w:val="009C55A1"/>
    <w:rsid w:val="009C620D"/>
    <w:rsid w:val="009C6551"/>
    <w:rsid w:val="009C7050"/>
    <w:rsid w:val="009C7EB5"/>
    <w:rsid w:val="009D0BF1"/>
    <w:rsid w:val="009D0D68"/>
    <w:rsid w:val="009D0DCA"/>
    <w:rsid w:val="009D0E66"/>
    <w:rsid w:val="009D0F91"/>
    <w:rsid w:val="009D1903"/>
    <w:rsid w:val="009D197D"/>
    <w:rsid w:val="009D1C43"/>
    <w:rsid w:val="009D1F7C"/>
    <w:rsid w:val="009D3904"/>
    <w:rsid w:val="009D3A86"/>
    <w:rsid w:val="009D3C3A"/>
    <w:rsid w:val="009D3FC8"/>
    <w:rsid w:val="009D4331"/>
    <w:rsid w:val="009D43BF"/>
    <w:rsid w:val="009D4D96"/>
    <w:rsid w:val="009D4F5A"/>
    <w:rsid w:val="009D5605"/>
    <w:rsid w:val="009D5BEE"/>
    <w:rsid w:val="009D5F92"/>
    <w:rsid w:val="009D6B2A"/>
    <w:rsid w:val="009D6D1A"/>
    <w:rsid w:val="009D6D33"/>
    <w:rsid w:val="009D7082"/>
    <w:rsid w:val="009E04D4"/>
    <w:rsid w:val="009E0537"/>
    <w:rsid w:val="009E06F6"/>
    <w:rsid w:val="009E0837"/>
    <w:rsid w:val="009E0BD4"/>
    <w:rsid w:val="009E1C34"/>
    <w:rsid w:val="009E1DA1"/>
    <w:rsid w:val="009E1E1B"/>
    <w:rsid w:val="009E3068"/>
    <w:rsid w:val="009E3BDB"/>
    <w:rsid w:val="009E4981"/>
    <w:rsid w:val="009E4B76"/>
    <w:rsid w:val="009E579A"/>
    <w:rsid w:val="009E61E4"/>
    <w:rsid w:val="009E6253"/>
    <w:rsid w:val="009E62DF"/>
    <w:rsid w:val="009E67A8"/>
    <w:rsid w:val="009E6ECC"/>
    <w:rsid w:val="009E722C"/>
    <w:rsid w:val="009E73ED"/>
    <w:rsid w:val="009E75F2"/>
    <w:rsid w:val="009E7B2A"/>
    <w:rsid w:val="009F1319"/>
    <w:rsid w:val="009F1B86"/>
    <w:rsid w:val="009F1C2C"/>
    <w:rsid w:val="009F2FE8"/>
    <w:rsid w:val="009F3F1D"/>
    <w:rsid w:val="009F47DF"/>
    <w:rsid w:val="009F519C"/>
    <w:rsid w:val="009F64B5"/>
    <w:rsid w:val="009F66FB"/>
    <w:rsid w:val="009F68DF"/>
    <w:rsid w:val="009F739B"/>
    <w:rsid w:val="009F7672"/>
    <w:rsid w:val="009F7701"/>
    <w:rsid w:val="009F7B7C"/>
    <w:rsid w:val="00A01CEC"/>
    <w:rsid w:val="00A029CA"/>
    <w:rsid w:val="00A030DD"/>
    <w:rsid w:val="00A03D2C"/>
    <w:rsid w:val="00A041DB"/>
    <w:rsid w:val="00A043B0"/>
    <w:rsid w:val="00A048F0"/>
    <w:rsid w:val="00A04B46"/>
    <w:rsid w:val="00A05401"/>
    <w:rsid w:val="00A056BC"/>
    <w:rsid w:val="00A0592F"/>
    <w:rsid w:val="00A062E5"/>
    <w:rsid w:val="00A072C0"/>
    <w:rsid w:val="00A076C8"/>
    <w:rsid w:val="00A07F1C"/>
    <w:rsid w:val="00A11062"/>
    <w:rsid w:val="00A114E5"/>
    <w:rsid w:val="00A1250A"/>
    <w:rsid w:val="00A12B9A"/>
    <w:rsid w:val="00A12C01"/>
    <w:rsid w:val="00A14144"/>
    <w:rsid w:val="00A142BB"/>
    <w:rsid w:val="00A1486B"/>
    <w:rsid w:val="00A20137"/>
    <w:rsid w:val="00A203F8"/>
    <w:rsid w:val="00A22A6D"/>
    <w:rsid w:val="00A23046"/>
    <w:rsid w:val="00A23194"/>
    <w:rsid w:val="00A242FB"/>
    <w:rsid w:val="00A24904"/>
    <w:rsid w:val="00A25459"/>
    <w:rsid w:val="00A27157"/>
    <w:rsid w:val="00A27440"/>
    <w:rsid w:val="00A27EC1"/>
    <w:rsid w:val="00A3071D"/>
    <w:rsid w:val="00A3074F"/>
    <w:rsid w:val="00A31CB7"/>
    <w:rsid w:val="00A31E02"/>
    <w:rsid w:val="00A32865"/>
    <w:rsid w:val="00A32B34"/>
    <w:rsid w:val="00A32B97"/>
    <w:rsid w:val="00A333D2"/>
    <w:rsid w:val="00A3450D"/>
    <w:rsid w:val="00A345C3"/>
    <w:rsid w:val="00A346C0"/>
    <w:rsid w:val="00A34B5B"/>
    <w:rsid w:val="00A34BA0"/>
    <w:rsid w:val="00A34C75"/>
    <w:rsid w:val="00A356C0"/>
    <w:rsid w:val="00A3595F"/>
    <w:rsid w:val="00A35E50"/>
    <w:rsid w:val="00A3654C"/>
    <w:rsid w:val="00A373E5"/>
    <w:rsid w:val="00A37739"/>
    <w:rsid w:val="00A3773E"/>
    <w:rsid w:val="00A378C6"/>
    <w:rsid w:val="00A40706"/>
    <w:rsid w:val="00A40840"/>
    <w:rsid w:val="00A40EC0"/>
    <w:rsid w:val="00A412C7"/>
    <w:rsid w:val="00A426BC"/>
    <w:rsid w:val="00A4325D"/>
    <w:rsid w:val="00A4335A"/>
    <w:rsid w:val="00A44338"/>
    <w:rsid w:val="00A45065"/>
    <w:rsid w:val="00A456F5"/>
    <w:rsid w:val="00A465C3"/>
    <w:rsid w:val="00A46A6E"/>
    <w:rsid w:val="00A46E76"/>
    <w:rsid w:val="00A472B8"/>
    <w:rsid w:val="00A47E4A"/>
    <w:rsid w:val="00A50644"/>
    <w:rsid w:val="00A50A28"/>
    <w:rsid w:val="00A50D97"/>
    <w:rsid w:val="00A51105"/>
    <w:rsid w:val="00A51BCE"/>
    <w:rsid w:val="00A52EA5"/>
    <w:rsid w:val="00A538BB"/>
    <w:rsid w:val="00A53CB0"/>
    <w:rsid w:val="00A54720"/>
    <w:rsid w:val="00A549D0"/>
    <w:rsid w:val="00A55029"/>
    <w:rsid w:val="00A5510F"/>
    <w:rsid w:val="00A554A9"/>
    <w:rsid w:val="00A56729"/>
    <w:rsid w:val="00A56A34"/>
    <w:rsid w:val="00A57662"/>
    <w:rsid w:val="00A60203"/>
    <w:rsid w:val="00A61250"/>
    <w:rsid w:val="00A614A1"/>
    <w:rsid w:val="00A615D8"/>
    <w:rsid w:val="00A61818"/>
    <w:rsid w:val="00A62683"/>
    <w:rsid w:val="00A62C74"/>
    <w:rsid w:val="00A63DA7"/>
    <w:rsid w:val="00A63EAA"/>
    <w:rsid w:val="00A64DA1"/>
    <w:rsid w:val="00A65345"/>
    <w:rsid w:val="00A6541B"/>
    <w:rsid w:val="00A66591"/>
    <w:rsid w:val="00A67BD4"/>
    <w:rsid w:val="00A7049D"/>
    <w:rsid w:val="00A707F9"/>
    <w:rsid w:val="00A713CC"/>
    <w:rsid w:val="00A71A4D"/>
    <w:rsid w:val="00A72F53"/>
    <w:rsid w:val="00A73383"/>
    <w:rsid w:val="00A73990"/>
    <w:rsid w:val="00A7416D"/>
    <w:rsid w:val="00A747AE"/>
    <w:rsid w:val="00A75571"/>
    <w:rsid w:val="00A75F2A"/>
    <w:rsid w:val="00A766AB"/>
    <w:rsid w:val="00A769DE"/>
    <w:rsid w:val="00A77C44"/>
    <w:rsid w:val="00A77E61"/>
    <w:rsid w:val="00A80049"/>
    <w:rsid w:val="00A805AC"/>
    <w:rsid w:val="00A80722"/>
    <w:rsid w:val="00A822FA"/>
    <w:rsid w:val="00A8264F"/>
    <w:rsid w:val="00A827DA"/>
    <w:rsid w:val="00A82D31"/>
    <w:rsid w:val="00A83AC1"/>
    <w:rsid w:val="00A84049"/>
    <w:rsid w:val="00A851FE"/>
    <w:rsid w:val="00A85DBA"/>
    <w:rsid w:val="00A87375"/>
    <w:rsid w:val="00A876B1"/>
    <w:rsid w:val="00A87A0F"/>
    <w:rsid w:val="00A87BEA"/>
    <w:rsid w:val="00A90016"/>
    <w:rsid w:val="00A905B4"/>
    <w:rsid w:val="00A91260"/>
    <w:rsid w:val="00A91E97"/>
    <w:rsid w:val="00A91FDA"/>
    <w:rsid w:val="00A92539"/>
    <w:rsid w:val="00A929C4"/>
    <w:rsid w:val="00A92E43"/>
    <w:rsid w:val="00A933AC"/>
    <w:rsid w:val="00A93D03"/>
    <w:rsid w:val="00A94262"/>
    <w:rsid w:val="00A9441D"/>
    <w:rsid w:val="00A950EB"/>
    <w:rsid w:val="00A9610D"/>
    <w:rsid w:val="00A96420"/>
    <w:rsid w:val="00A969C9"/>
    <w:rsid w:val="00A97A4B"/>
    <w:rsid w:val="00AA0AC2"/>
    <w:rsid w:val="00AA1AD4"/>
    <w:rsid w:val="00AA1B83"/>
    <w:rsid w:val="00AA2576"/>
    <w:rsid w:val="00AA2B8D"/>
    <w:rsid w:val="00AA2D6B"/>
    <w:rsid w:val="00AA35F9"/>
    <w:rsid w:val="00AA3669"/>
    <w:rsid w:val="00AA58C4"/>
    <w:rsid w:val="00AA604A"/>
    <w:rsid w:val="00AA65CC"/>
    <w:rsid w:val="00AA6E58"/>
    <w:rsid w:val="00AA7CD6"/>
    <w:rsid w:val="00AA7F2A"/>
    <w:rsid w:val="00AB0078"/>
    <w:rsid w:val="00AB0589"/>
    <w:rsid w:val="00AB090A"/>
    <w:rsid w:val="00AB0E47"/>
    <w:rsid w:val="00AB12D8"/>
    <w:rsid w:val="00AB1423"/>
    <w:rsid w:val="00AB16E6"/>
    <w:rsid w:val="00AB1E54"/>
    <w:rsid w:val="00AB262D"/>
    <w:rsid w:val="00AB2E97"/>
    <w:rsid w:val="00AB4C11"/>
    <w:rsid w:val="00AB50EA"/>
    <w:rsid w:val="00AB54D2"/>
    <w:rsid w:val="00AB5B6E"/>
    <w:rsid w:val="00AB6CC0"/>
    <w:rsid w:val="00AB7BF0"/>
    <w:rsid w:val="00AC0EB8"/>
    <w:rsid w:val="00AC1153"/>
    <w:rsid w:val="00AC14A9"/>
    <w:rsid w:val="00AC1653"/>
    <w:rsid w:val="00AC19D2"/>
    <w:rsid w:val="00AC1B89"/>
    <w:rsid w:val="00AC2372"/>
    <w:rsid w:val="00AC2B29"/>
    <w:rsid w:val="00AC2E06"/>
    <w:rsid w:val="00AC3EAD"/>
    <w:rsid w:val="00AC47E0"/>
    <w:rsid w:val="00AC4E2D"/>
    <w:rsid w:val="00AC5FB2"/>
    <w:rsid w:val="00AC6B17"/>
    <w:rsid w:val="00AC713C"/>
    <w:rsid w:val="00AC75FE"/>
    <w:rsid w:val="00AD0131"/>
    <w:rsid w:val="00AD0326"/>
    <w:rsid w:val="00AD04DD"/>
    <w:rsid w:val="00AD0888"/>
    <w:rsid w:val="00AD0CCF"/>
    <w:rsid w:val="00AD1F13"/>
    <w:rsid w:val="00AD2118"/>
    <w:rsid w:val="00AD3550"/>
    <w:rsid w:val="00AD3794"/>
    <w:rsid w:val="00AD41F2"/>
    <w:rsid w:val="00AD4380"/>
    <w:rsid w:val="00AE00DB"/>
    <w:rsid w:val="00AE0309"/>
    <w:rsid w:val="00AE0473"/>
    <w:rsid w:val="00AE11CC"/>
    <w:rsid w:val="00AE3440"/>
    <w:rsid w:val="00AE3F87"/>
    <w:rsid w:val="00AE42A6"/>
    <w:rsid w:val="00AE45D4"/>
    <w:rsid w:val="00AE4618"/>
    <w:rsid w:val="00AE5634"/>
    <w:rsid w:val="00AE5A81"/>
    <w:rsid w:val="00AE5CBC"/>
    <w:rsid w:val="00AE6F19"/>
    <w:rsid w:val="00AE7EA2"/>
    <w:rsid w:val="00AF01EA"/>
    <w:rsid w:val="00AF0D64"/>
    <w:rsid w:val="00AF1263"/>
    <w:rsid w:val="00AF14AB"/>
    <w:rsid w:val="00AF210A"/>
    <w:rsid w:val="00AF28E3"/>
    <w:rsid w:val="00AF2B6D"/>
    <w:rsid w:val="00AF3EB8"/>
    <w:rsid w:val="00AF42D0"/>
    <w:rsid w:val="00AF45CE"/>
    <w:rsid w:val="00AF5EAA"/>
    <w:rsid w:val="00AF7537"/>
    <w:rsid w:val="00B00362"/>
    <w:rsid w:val="00B00420"/>
    <w:rsid w:val="00B00CCC"/>
    <w:rsid w:val="00B02970"/>
    <w:rsid w:val="00B02A51"/>
    <w:rsid w:val="00B03A97"/>
    <w:rsid w:val="00B04EC4"/>
    <w:rsid w:val="00B0507E"/>
    <w:rsid w:val="00B05B42"/>
    <w:rsid w:val="00B0609A"/>
    <w:rsid w:val="00B06925"/>
    <w:rsid w:val="00B06C94"/>
    <w:rsid w:val="00B07675"/>
    <w:rsid w:val="00B101D4"/>
    <w:rsid w:val="00B10248"/>
    <w:rsid w:val="00B1029C"/>
    <w:rsid w:val="00B10DF5"/>
    <w:rsid w:val="00B1127B"/>
    <w:rsid w:val="00B11AEC"/>
    <w:rsid w:val="00B11D87"/>
    <w:rsid w:val="00B11EEE"/>
    <w:rsid w:val="00B13354"/>
    <w:rsid w:val="00B14AB8"/>
    <w:rsid w:val="00B15DE6"/>
    <w:rsid w:val="00B166E1"/>
    <w:rsid w:val="00B16C41"/>
    <w:rsid w:val="00B16F38"/>
    <w:rsid w:val="00B1774B"/>
    <w:rsid w:val="00B17FCA"/>
    <w:rsid w:val="00B20513"/>
    <w:rsid w:val="00B20F63"/>
    <w:rsid w:val="00B211AC"/>
    <w:rsid w:val="00B21934"/>
    <w:rsid w:val="00B21F2C"/>
    <w:rsid w:val="00B2279A"/>
    <w:rsid w:val="00B23326"/>
    <w:rsid w:val="00B23A23"/>
    <w:rsid w:val="00B244CF"/>
    <w:rsid w:val="00B24D61"/>
    <w:rsid w:val="00B24FFD"/>
    <w:rsid w:val="00B25456"/>
    <w:rsid w:val="00B260D4"/>
    <w:rsid w:val="00B27307"/>
    <w:rsid w:val="00B27C7A"/>
    <w:rsid w:val="00B3148B"/>
    <w:rsid w:val="00B32ED0"/>
    <w:rsid w:val="00B33F50"/>
    <w:rsid w:val="00B33FF3"/>
    <w:rsid w:val="00B34298"/>
    <w:rsid w:val="00B34C5E"/>
    <w:rsid w:val="00B3666E"/>
    <w:rsid w:val="00B36F63"/>
    <w:rsid w:val="00B37762"/>
    <w:rsid w:val="00B37EED"/>
    <w:rsid w:val="00B37F5C"/>
    <w:rsid w:val="00B40080"/>
    <w:rsid w:val="00B40219"/>
    <w:rsid w:val="00B40736"/>
    <w:rsid w:val="00B419E5"/>
    <w:rsid w:val="00B41AEE"/>
    <w:rsid w:val="00B41DED"/>
    <w:rsid w:val="00B41ECC"/>
    <w:rsid w:val="00B4284F"/>
    <w:rsid w:val="00B43849"/>
    <w:rsid w:val="00B45456"/>
    <w:rsid w:val="00B46BF9"/>
    <w:rsid w:val="00B472BC"/>
    <w:rsid w:val="00B4747C"/>
    <w:rsid w:val="00B478E9"/>
    <w:rsid w:val="00B47C63"/>
    <w:rsid w:val="00B50A9E"/>
    <w:rsid w:val="00B50C2F"/>
    <w:rsid w:val="00B50DAA"/>
    <w:rsid w:val="00B51368"/>
    <w:rsid w:val="00B51B58"/>
    <w:rsid w:val="00B51C1D"/>
    <w:rsid w:val="00B51DAC"/>
    <w:rsid w:val="00B52765"/>
    <w:rsid w:val="00B52E76"/>
    <w:rsid w:val="00B53876"/>
    <w:rsid w:val="00B540DC"/>
    <w:rsid w:val="00B54AD9"/>
    <w:rsid w:val="00B55109"/>
    <w:rsid w:val="00B557A3"/>
    <w:rsid w:val="00B55BCF"/>
    <w:rsid w:val="00B55D58"/>
    <w:rsid w:val="00B574DD"/>
    <w:rsid w:val="00B604BC"/>
    <w:rsid w:val="00B60DA6"/>
    <w:rsid w:val="00B617B0"/>
    <w:rsid w:val="00B620A2"/>
    <w:rsid w:val="00B629CF"/>
    <w:rsid w:val="00B62ED6"/>
    <w:rsid w:val="00B631B5"/>
    <w:rsid w:val="00B6336C"/>
    <w:rsid w:val="00B63671"/>
    <w:rsid w:val="00B64748"/>
    <w:rsid w:val="00B73CAC"/>
    <w:rsid w:val="00B758B0"/>
    <w:rsid w:val="00B76344"/>
    <w:rsid w:val="00B7661D"/>
    <w:rsid w:val="00B7700B"/>
    <w:rsid w:val="00B77092"/>
    <w:rsid w:val="00B7797A"/>
    <w:rsid w:val="00B802C3"/>
    <w:rsid w:val="00B802F7"/>
    <w:rsid w:val="00B81A0A"/>
    <w:rsid w:val="00B824E9"/>
    <w:rsid w:val="00B82E01"/>
    <w:rsid w:val="00B833DB"/>
    <w:rsid w:val="00B86628"/>
    <w:rsid w:val="00B878EC"/>
    <w:rsid w:val="00B9074E"/>
    <w:rsid w:val="00B9141C"/>
    <w:rsid w:val="00B9147B"/>
    <w:rsid w:val="00B914A4"/>
    <w:rsid w:val="00B91E2B"/>
    <w:rsid w:val="00B92FA1"/>
    <w:rsid w:val="00B93346"/>
    <w:rsid w:val="00B94A5E"/>
    <w:rsid w:val="00B94BFB"/>
    <w:rsid w:val="00B94D34"/>
    <w:rsid w:val="00B959E8"/>
    <w:rsid w:val="00B962C9"/>
    <w:rsid w:val="00B96FAE"/>
    <w:rsid w:val="00B97118"/>
    <w:rsid w:val="00B97BA5"/>
    <w:rsid w:val="00BA00A3"/>
    <w:rsid w:val="00BA0760"/>
    <w:rsid w:val="00BA0D52"/>
    <w:rsid w:val="00BA0FC6"/>
    <w:rsid w:val="00BA157C"/>
    <w:rsid w:val="00BA18BA"/>
    <w:rsid w:val="00BA2C0D"/>
    <w:rsid w:val="00BA5CE9"/>
    <w:rsid w:val="00BA5F07"/>
    <w:rsid w:val="00BA6FCE"/>
    <w:rsid w:val="00BA7038"/>
    <w:rsid w:val="00BA7B23"/>
    <w:rsid w:val="00BB0D02"/>
    <w:rsid w:val="00BB0D96"/>
    <w:rsid w:val="00BB1A5C"/>
    <w:rsid w:val="00BB227B"/>
    <w:rsid w:val="00BB31E1"/>
    <w:rsid w:val="00BB3310"/>
    <w:rsid w:val="00BB3848"/>
    <w:rsid w:val="00BB4EF5"/>
    <w:rsid w:val="00BB5000"/>
    <w:rsid w:val="00BB534B"/>
    <w:rsid w:val="00BB6610"/>
    <w:rsid w:val="00BB6B58"/>
    <w:rsid w:val="00BB72C1"/>
    <w:rsid w:val="00BB7752"/>
    <w:rsid w:val="00BC0C69"/>
    <w:rsid w:val="00BC26DB"/>
    <w:rsid w:val="00BC2A92"/>
    <w:rsid w:val="00BC2D9E"/>
    <w:rsid w:val="00BC2DF7"/>
    <w:rsid w:val="00BC3966"/>
    <w:rsid w:val="00BC3FB5"/>
    <w:rsid w:val="00BC429A"/>
    <w:rsid w:val="00BC4333"/>
    <w:rsid w:val="00BC5360"/>
    <w:rsid w:val="00BC644B"/>
    <w:rsid w:val="00BC6F16"/>
    <w:rsid w:val="00BC7FC1"/>
    <w:rsid w:val="00BD07EC"/>
    <w:rsid w:val="00BD0E78"/>
    <w:rsid w:val="00BD1A26"/>
    <w:rsid w:val="00BD1C53"/>
    <w:rsid w:val="00BD2F4F"/>
    <w:rsid w:val="00BD3BE2"/>
    <w:rsid w:val="00BD3E0C"/>
    <w:rsid w:val="00BD4211"/>
    <w:rsid w:val="00BD48A6"/>
    <w:rsid w:val="00BD57FF"/>
    <w:rsid w:val="00BD6278"/>
    <w:rsid w:val="00BD664B"/>
    <w:rsid w:val="00BD6E38"/>
    <w:rsid w:val="00BD7B3F"/>
    <w:rsid w:val="00BD7CDF"/>
    <w:rsid w:val="00BE01F8"/>
    <w:rsid w:val="00BE0342"/>
    <w:rsid w:val="00BE06B6"/>
    <w:rsid w:val="00BE0CCB"/>
    <w:rsid w:val="00BE0DD9"/>
    <w:rsid w:val="00BE0E8D"/>
    <w:rsid w:val="00BE0FE9"/>
    <w:rsid w:val="00BE32C6"/>
    <w:rsid w:val="00BE41A6"/>
    <w:rsid w:val="00BE495E"/>
    <w:rsid w:val="00BE4EF9"/>
    <w:rsid w:val="00BE5A95"/>
    <w:rsid w:val="00BE5AA5"/>
    <w:rsid w:val="00BE5CA9"/>
    <w:rsid w:val="00BE63C3"/>
    <w:rsid w:val="00BE6489"/>
    <w:rsid w:val="00BE6CEB"/>
    <w:rsid w:val="00BE6D16"/>
    <w:rsid w:val="00BE7642"/>
    <w:rsid w:val="00BE7859"/>
    <w:rsid w:val="00BF1DB6"/>
    <w:rsid w:val="00BF2008"/>
    <w:rsid w:val="00BF26B7"/>
    <w:rsid w:val="00BF2962"/>
    <w:rsid w:val="00BF3A18"/>
    <w:rsid w:val="00BF3E8B"/>
    <w:rsid w:val="00BF40EC"/>
    <w:rsid w:val="00BF4800"/>
    <w:rsid w:val="00BF515D"/>
    <w:rsid w:val="00BF5D7F"/>
    <w:rsid w:val="00BF6411"/>
    <w:rsid w:val="00BF7021"/>
    <w:rsid w:val="00BF776F"/>
    <w:rsid w:val="00BF7DC4"/>
    <w:rsid w:val="00C008A5"/>
    <w:rsid w:val="00C0155E"/>
    <w:rsid w:val="00C0210C"/>
    <w:rsid w:val="00C021CD"/>
    <w:rsid w:val="00C02294"/>
    <w:rsid w:val="00C02AD1"/>
    <w:rsid w:val="00C0308E"/>
    <w:rsid w:val="00C0318E"/>
    <w:rsid w:val="00C05572"/>
    <w:rsid w:val="00C05A41"/>
    <w:rsid w:val="00C0600D"/>
    <w:rsid w:val="00C10247"/>
    <w:rsid w:val="00C106A2"/>
    <w:rsid w:val="00C108B9"/>
    <w:rsid w:val="00C10970"/>
    <w:rsid w:val="00C10AB4"/>
    <w:rsid w:val="00C11751"/>
    <w:rsid w:val="00C1224B"/>
    <w:rsid w:val="00C12621"/>
    <w:rsid w:val="00C13058"/>
    <w:rsid w:val="00C150C6"/>
    <w:rsid w:val="00C1512A"/>
    <w:rsid w:val="00C1698D"/>
    <w:rsid w:val="00C16FAF"/>
    <w:rsid w:val="00C20620"/>
    <w:rsid w:val="00C21723"/>
    <w:rsid w:val="00C21F96"/>
    <w:rsid w:val="00C224F4"/>
    <w:rsid w:val="00C2331D"/>
    <w:rsid w:val="00C23A5F"/>
    <w:rsid w:val="00C23B5C"/>
    <w:rsid w:val="00C25313"/>
    <w:rsid w:val="00C26149"/>
    <w:rsid w:val="00C2704B"/>
    <w:rsid w:val="00C27683"/>
    <w:rsid w:val="00C302B2"/>
    <w:rsid w:val="00C30603"/>
    <w:rsid w:val="00C318B4"/>
    <w:rsid w:val="00C31BF6"/>
    <w:rsid w:val="00C32DBF"/>
    <w:rsid w:val="00C3399B"/>
    <w:rsid w:val="00C33C28"/>
    <w:rsid w:val="00C346F5"/>
    <w:rsid w:val="00C347F3"/>
    <w:rsid w:val="00C351D2"/>
    <w:rsid w:val="00C35686"/>
    <w:rsid w:val="00C359B2"/>
    <w:rsid w:val="00C35E68"/>
    <w:rsid w:val="00C36425"/>
    <w:rsid w:val="00C375DE"/>
    <w:rsid w:val="00C37B33"/>
    <w:rsid w:val="00C409DA"/>
    <w:rsid w:val="00C40E5E"/>
    <w:rsid w:val="00C41161"/>
    <w:rsid w:val="00C4155A"/>
    <w:rsid w:val="00C41CA4"/>
    <w:rsid w:val="00C42292"/>
    <w:rsid w:val="00C42A27"/>
    <w:rsid w:val="00C4362B"/>
    <w:rsid w:val="00C43789"/>
    <w:rsid w:val="00C4453B"/>
    <w:rsid w:val="00C4554A"/>
    <w:rsid w:val="00C457AF"/>
    <w:rsid w:val="00C4607C"/>
    <w:rsid w:val="00C46384"/>
    <w:rsid w:val="00C46605"/>
    <w:rsid w:val="00C4757C"/>
    <w:rsid w:val="00C47748"/>
    <w:rsid w:val="00C4786B"/>
    <w:rsid w:val="00C5164B"/>
    <w:rsid w:val="00C51A46"/>
    <w:rsid w:val="00C528FA"/>
    <w:rsid w:val="00C5402B"/>
    <w:rsid w:val="00C546F9"/>
    <w:rsid w:val="00C54E7E"/>
    <w:rsid w:val="00C55050"/>
    <w:rsid w:val="00C56B34"/>
    <w:rsid w:val="00C56BF3"/>
    <w:rsid w:val="00C5776D"/>
    <w:rsid w:val="00C57821"/>
    <w:rsid w:val="00C6034B"/>
    <w:rsid w:val="00C608E1"/>
    <w:rsid w:val="00C61715"/>
    <w:rsid w:val="00C6271D"/>
    <w:rsid w:val="00C62A7D"/>
    <w:rsid w:val="00C62B4C"/>
    <w:rsid w:val="00C62D9A"/>
    <w:rsid w:val="00C62E39"/>
    <w:rsid w:val="00C63BF2"/>
    <w:rsid w:val="00C644FD"/>
    <w:rsid w:val="00C658A7"/>
    <w:rsid w:val="00C65AEC"/>
    <w:rsid w:val="00C65FFC"/>
    <w:rsid w:val="00C671D7"/>
    <w:rsid w:val="00C67496"/>
    <w:rsid w:val="00C7013D"/>
    <w:rsid w:val="00C70541"/>
    <w:rsid w:val="00C71298"/>
    <w:rsid w:val="00C71A8D"/>
    <w:rsid w:val="00C725AC"/>
    <w:rsid w:val="00C72D2F"/>
    <w:rsid w:val="00C7386D"/>
    <w:rsid w:val="00C73B4B"/>
    <w:rsid w:val="00C745EF"/>
    <w:rsid w:val="00C7499C"/>
    <w:rsid w:val="00C75068"/>
    <w:rsid w:val="00C764D0"/>
    <w:rsid w:val="00C7657C"/>
    <w:rsid w:val="00C76682"/>
    <w:rsid w:val="00C76F31"/>
    <w:rsid w:val="00C7718A"/>
    <w:rsid w:val="00C77EF4"/>
    <w:rsid w:val="00C80D48"/>
    <w:rsid w:val="00C82858"/>
    <w:rsid w:val="00C82E22"/>
    <w:rsid w:val="00C83519"/>
    <w:rsid w:val="00C83DB8"/>
    <w:rsid w:val="00C84304"/>
    <w:rsid w:val="00C845BF"/>
    <w:rsid w:val="00C8553B"/>
    <w:rsid w:val="00C86DD8"/>
    <w:rsid w:val="00C87459"/>
    <w:rsid w:val="00C8762A"/>
    <w:rsid w:val="00C87B61"/>
    <w:rsid w:val="00C87D5F"/>
    <w:rsid w:val="00C909F6"/>
    <w:rsid w:val="00C90A14"/>
    <w:rsid w:val="00C90AC5"/>
    <w:rsid w:val="00C90C39"/>
    <w:rsid w:val="00C924C7"/>
    <w:rsid w:val="00C92AD3"/>
    <w:rsid w:val="00C93235"/>
    <w:rsid w:val="00C94384"/>
    <w:rsid w:val="00C94828"/>
    <w:rsid w:val="00C949F8"/>
    <w:rsid w:val="00C94C73"/>
    <w:rsid w:val="00C951D4"/>
    <w:rsid w:val="00C97604"/>
    <w:rsid w:val="00C97DE6"/>
    <w:rsid w:val="00CA042F"/>
    <w:rsid w:val="00CA0791"/>
    <w:rsid w:val="00CA0803"/>
    <w:rsid w:val="00CA09FC"/>
    <w:rsid w:val="00CA1C60"/>
    <w:rsid w:val="00CA1CBF"/>
    <w:rsid w:val="00CA2B80"/>
    <w:rsid w:val="00CA3026"/>
    <w:rsid w:val="00CA32FA"/>
    <w:rsid w:val="00CA33CE"/>
    <w:rsid w:val="00CA3BDA"/>
    <w:rsid w:val="00CA420A"/>
    <w:rsid w:val="00CA44AA"/>
    <w:rsid w:val="00CA4DF3"/>
    <w:rsid w:val="00CA515E"/>
    <w:rsid w:val="00CA597A"/>
    <w:rsid w:val="00CA5D36"/>
    <w:rsid w:val="00CA6151"/>
    <w:rsid w:val="00CA63A5"/>
    <w:rsid w:val="00CA6ADF"/>
    <w:rsid w:val="00CB0EA9"/>
    <w:rsid w:val="00CB116D"/>
    <w:rsid w:val="00CB1325"/>
    <w:rsid w:val="00CB14A6"/>
    <w:rsid w:val="00CB18BE"/>
    <w:rsid w:val="00CB1BCC"/>
    <w:rsid w:val="00CB2280"/>
    <w:rsid w:val="00CB2690"/>
    <w:rsid w:val="00CB2DA5"/>
    <w:rsid w:val="00CB339E"/>
    <w:rsid w:val="00CB34D7"/>
    <w:rsid w:val="00CB41D4"/>
    <w:rsid w:val="00CB470D"/>
    <w:rsid w:val="00CB482F"/>
    <w:rsid w:val="00CB4D92"/>
    <w:rsid w:val="00CB5001"/>
    <w:rsid w:val="00CB535A"/>
    <w:rsid w:val="00CB5C97"/>
    <w:rsid w:val="00CB6070"/>
    <w:rsid w:val="00CB74AA"/>
    <w:rsid w:val="00CB7DA2"/>
    <w:rsid w:val="00CB7F15"/>
    <w:rsid w:val="00CC052F"/>
    <w:rsid w:val="00CC0EAD"/>
    <w:rsid w:val="00CC10F9"/>
    <w:rsid w:val="00CC1912"/>
    <w:rsid w:val="00CC1CF1"/>
    <w:rsid w:val="00CC1D8F"/>
    <w:rsid w:val="00CC3B23"/>
    <w:rsid w:val="00CC471E"/>
    <w:rsid w:val="00CC534C"/>
    <w:rsid w:val="00CC5387"/>
    <w:rsid w:val="00CC56E2"/>
    <w:rsid w:val="00CC67ED"/>
    <w:rsid w:val="00CC75DE"/>
    <w:rsid w:val="00CC76ED"/>
    <w:rsid w:val="00CC7A03"/>
    <w:rsid w:val="00CD03B8"/>
    <w:rsid w:val="00CD0A52"/>
    <w:rsid w:val="00CD0CDA"/>
    <w:rsid w:val="00CD3D7C"/>
    <w:rsid w:val="00CD3E42"/>
    <w:rsid w:val="00CD410F"/>
    <w:rsid w:val="00CD4165"/>
    <w:rsid w:val="00CD4930"/>
    <w:rsid w:val="00CD5935"/>
    <w:rsid w:val="00CD5980"/>
    <w:rsid w:val="00CD662A"/>
    <w:rsid w:val="00CD7902"/>
    <w:rsid w:val="00CE0A91"/>
    <w:rsid w:val="00CE1E31"/>
    <w:rsid w:val="00CE2623"/>
    <w:rsid w:val="00CE269F"/>
    <w:rsid w:val="00CE2D8C"/>
    <w:rsid w:val="00CE3986"/>
    <w:rsid w:val="00CE3D08"/>
    <w:rsid w:val="00CE47CC"/>
    <w:rsid w:val="00CE4ABA"/>
    <w:rsid w:val="00CE6183"/>
    <w:rsid w:val="00CE61DE"/>
    <w:rsid w:val="00CE64A8"/>
    <w:rsid w:val="00CE6517"/>
    <w:rsid w:val="00CE67F3"/>
    <w:rsid w:val="00CE6821"/>
    <w:rsid w:val="00CE6DE6"/>
    <w:rsid w:val="00CE6EFD"/>
    <w:rsid w:val="00CE708A"/>
    <w:rsid w:val="00CE7F52"/>
    <w:rsid w:val="00CF03C6"/>
    <w:rsid w:val="00CF07FC"/>
    <w:rsid w:val="00CF0D98"/>
    <w:rsid w:val="00CF1025"/>
    <w:rsid w:val="00CF2DC9"/>
    <w:rsid w:val="00CF3DB2"/>
    <w:rsid w:val="00CF50D6"/>
    <w:rsid w:val="00CF5391"/>
    <w:rsid w:val="00CF5C12"/>
    <w:rsid w:val="00CF62F4"/>
    <w:rsid w:val="00CF69FF"/>
    <w:rsid w:val="00CF6EFE"/>
    <w:rsid w:val="00CF769B"/>
    <w:rsid w:val="00D00037"/>
    <w:rsid w:val="00D0022A"/>
    <w:rsid w:val="00D01505"/>
    <w:rsid w:val="00D022F1"/>
    <w:rsid w:val="00D023A6"/>
    <w:rsid w:val="00D024F6"/>
    <w:rsid w:val="00D02EA1"/>
    <w:rsid w:val="00D043D3"/>
    <w:rsid w:val="00D04630"/>
    <w:rsid w:val="00D0501A"/>
    <w:rsid w:val="00D0516A"/>
    <w:rsid w:val="00D05187"/>
    <w:rsid w:val="00D05A59"/>
    <w:rsid w:val="00D06684"/>
    <w:rsid w:val="00D06743"/>
    <w:rsid w:val="00D06DB4"/>
    <w:rsid w:val="00D07AA7"/>
    <w:rsid w:val="00D106F8"/>
    <w:rsid w:val="00D108B7"/>
    <w:rsid w:val="00D10D8A"/>
    <w:rsid w:val="00D13270"/>
    <w:rsid w:val="00D13589"/>
    <w:rsid w:val="00D14456"/>
    <w:rsid w:val="00D14623"/>
    <w:rsid w:val="00D15F29"/>
    <w:rsid w:val="00D15FFF"/>
    <w:rsid w:val="00D16DAD"/>
    <w:rsid w:val="00D17355"/>
    <w:rsid w:val="00D17430"/>
    <w:rsid w:val="00D17480"/>
    <w:rsid w:val="00D1766E"/>
    <w:rsid w:val="00D20083"/>
    <w:rsid w:val="00D2080D"/>
    <w:rsid w:val="00D20F3F"/>
    <w:rsid w:val="00D215D4"/>
    <w:rsid w:val="00D218A5"/>
    <w:rsid w:val="00D21D98"/>
    <w:rsid w:val="00D21EF6"/>
    <w:rsid w:val="00D22CC2"/>
    <w:rsid w:val="00D23166"/>
    <w:rsid w:val="00D259BC"/>
    <w:rsid w:val="00D268B2"/>
    <w:rsid w:val="00D26E96"/>
    <w:rsid w:val="00D27398"/>
    <w:rsid w:val="00D303FE"/>
    <w:rsid w:val="00D30971"/>
    <w:rsid w:val="00D311C3"/>
    <w:rsid w:val="00D31516"/>
    <w:rsid w:val="00D315ED"/>
    <w:rsid w:val="00D3197B"/>
    <w:rsid w:val="00D31E3D"/>
    <w:rsid w:val="00D322DE"/>
    <w:rsid w:val="00D323CE"/>
    <w:rsid w:val="00D324E3"/>
    <w:rsid w:val="00D32B2D"/>
    <w:rsid w:val="00D332A8"/>
    <w:rsid w:val="00D343FF"/>
    <w:rsid w:val="00D345B6"/>
    <w:rsid w:val="00D34713"/>
    <w:rsid w:val="00D3493C"/>
    <w:rsid w:val="00D351D9"/>
    <w:rsid w:val="00D35D46"/>
    <w:rsid w:val="00D36732"/>
    <w:rsid w:val="00D37201"/>
    <w:rsid w:val="00D37FB4"/>
    <w:rsid w:val="00D40924"/>
    <w:rsid w:val="00D4121E"/>
    <w:rsid w:val="00D4183B"/>
    <w:rsid w:val="00D41959"/>
    <w:rsid w:val="00D41F72"/>
    <w:rsid w:val="00D41F9D"/>
    <w:rsid w:val="00D42721"/>
    <w:rsid w:val="00D4282B"/>
    <w:rsid w:val="00D42A25"/>
    <w:rsid w:val="00D43183"/>
    <w:rsid w:val="00D433A1"/>
    <w:rsid w:val="00D4392D"/>
    <w:rsid w:val="00D43FFB"/>
    <w:rsid w:val="00D45AFF"/>
    <w:rsid w:val="00D45BC8"/>
    <w:rsid w:val="00D45BCB"/>
    <w:rsid w:val="00D46BD5"/>
    <w:rsid w:val="00D470D2"/>
    <w:rsid w:val="00D5033E"/>
    <w:rsid w:val="00D50492"/>
    <w:rsid w:val="00D50927"/>
    <w:rsid w:val="00D514E2"/>
    <w:rsid w:val="00D51E70"/>
    <w:rsid w:val="00D52CEC"/>
    <w:rsid w:val="00D53E80"/>
    <w:rsid w:val="00D54BD3"/>
    <w:rsid w:val="00D54F55"/>
    <w:rsid w:val="00D55374"/>
    <w:rsid w:val="00D55A9F"/>
    <w:rsid w:val="00D562A1"/>
    <w:rsid w:val="00D56858"/>
    <w:rsid w:val="00D5691E"/>
    <w:rsid w:val="00D56C22"/>
    <w:rsid w:val="00D56C65"/>
    <w:rsid w:val="00D56F9F"/>
    <w:rsid w:val="00D570C8"/>
    <w:rsid w:val="00D570DA"/>
    <w:rsid w:val="00D579D1"/>
    <w:rsid w:val="00D60120"/>
    <w:rsid w:val="00D60E79"/>
    <w:rsid w:val="00D61540"/>
    <w:rsid w:val="00D61591"/>
    <w:rsid w:val="00D64CDB"/>
    <w:rsid w:val="00D65B76"/>
    <w:rsid w:val="00D66A79"/>
    <w:rsid w:val="00D6775A"/>
    <w:rsid w:val="00D70001"/>
    <w:rsid w:val="00D700BA"/>
    <w:rsid w:val="00D703FD"/>
    <w:rsid w:val="00D71C9B"/>
    <w:rsid w:val="00D72237"/>
    <w:rsid w:val="00D72D29"/>
    <w:rsid w:val="00D7451A"/>
    <w:rsid w:val="00D74749"/>
    <w:rsid w:val="00D74AF3"/>
    <w:rsid w:val="00D7650D"/>
    <w:rsid w:val="00D76AFB"/>
    <w:rsid w:val="00D76B70"/>
    <w:rsid w:val="00D77240"/>
    <w:rsid w:val="00D77257"/>
    <w:rsid w:val="00D775A2"/>
    <w:rsid w:val="00D809A9"/>
    <w:rsid w:val="00D80B73"/>
    <w:rsid w:val="00D82B97"/>
    <w:rsid w:val="00D82D30"/>
    <w:rsid w:val="00D8381B"/>
    <w:rsid w:val="00D83FB8"/>
    <w:rsid w:val="00D84DAC"/>
    <w:rsid w:val="00D84E94"/>
    <w:rsid w:val="00D85591"/>
    <w:rsid w:val="00D857BB"/>
    <w:rsid w:val="00D87E86"/>
    <w:rsid w:val="00D90D54"/>
    <w:rsid w:val="00D90EBB"/>
    <w:rsid w:val="00D914E2"/>
    <w:rsid w:val="00D91DC2"/>
    <w:rsid w:val="00D920A6"/>
    <w:rsid w:val="00D92DF9"/>
    <w:rsid w:val="00D92E41"/>
    <w:rsid w:val="00D93EE6"/>
    <w:rsid w:val="00D944E4"/>
    <w:rsid w:val="00D947B9"/>
    <w:rsid w:val="00D949FE"/>
    <w:rsid w:val="00D94AF2"/>
    <w:rsid w:val="00D95479"/>
    <w:rsid w:val="00D956C1"/>
    <w:rsid w:val="00D97173"/>
    <w:rsid w:val="00D972EC"/>
    <w:rsid w:val="00D97A33"/>
    <w:rsid w:val="00DA0106"/>
    <w:rsid w:val="00DA0F0C"/>
    <w:rsid w:val="00DA1A9A"/>
    <w:rsid w:val="00DA1B9E"/>
    <w:rsid w:val="00DA24E2"/>
    <w:rsid w:val="00DA3328"/>
    <w:rsid w:val="00DA3AC9"/>
    <w:rsid w:val="00DA3C46"/>
    <w:rsid w:val="00DA40E5"/>
    <w:rsid w:val="00DA4461"/>
    <w:rsid w:val="00DA5ACB"/>
    <w:rsid w:val="00DA5B04"/>
    <w:rsid w:val="00DA7BFA"/>
    <w:rsid w:val="00DB055E"/>
    <w:rsid w:val="00DB0784"/>
    <w:rsid w:val="00DB07D4"/>
    <w:rsid w:val="00DB0816"/>
    <w:rsid w:val="00DB0982"/>
    <w:rsid w:val="00DB09B5"/>
    <w:rsid w:val="00DB1110"/>
    <w:rsid w:val="00DB1203"/>
    <w:rsid w:val="00DB1BBD"/>
    <w:rsid w:val="00DB1C80"/>
    <w:rsid w:val="00DB217E"/>
    <w:rsid w:val="00DB33DD"/>
    <w:rsid w:val="00DB36C7"/>
    <w:rsid w:val="00DB37B9"/>
    <w:rsid w:val="00DB3E4C"/>
    <w:rsid w:val="00DB54A0"/>
    <w:rsid w:val="00DB5B93"/>
    <w:rsid w:val="00DB6346"/>
    <w:rsid w:val="00DB6B1E"/>
    <w:rsid w:val="00DC0024"/>
    <w:rsid w:val="00DC0189"/>
    <w:rsid w:val="00DC095B"/>
    <w:rsid w:val="00DC1A34"/>
    <w:rsid w:val="00DC2606"/>
    <w:rsid w:val="00DC27EC"/>
    <w:rsid w:val="00DC2AD8"/>
    <w:rsid w:val="00DC2EC3"/>
    <w:rsid w:val="00DC3265"/>
    <w:rsid w:val="00DC4D11"/>
    <w:rsid w:val="00DC59F3"/>
    <w:rsid w:val="00DC62B1"/>
    <w:rsid w:val="00DC6789"/>
    <w:rsid w:val="00DC775F"/>
    <w:rsid w:val="00DD08C2"/>
    <w:rsid w:val="00DD178E"/>
    <w:rsid w:val="00DD29A1"/>
    <w:rsid w:val="00DD3DBE"/>
    <w:rsid w:val="00DD41E0"/>
    <w:rsid w:val="00DD4CED"/>
    <w:rsid w:val="00DD5176"/>
    <w:rsid w:val="00DD6757"/>
    <w:rsid w:val="00DD6947"/>
    <w:rsid w:val="00DE00FF"/>
    <w:rsid w:val="00DE029B"/>
    <w:rsid w:val="00DE054B"/>
    <w:rsid w:val="00DE2FB4"/>
    <w:rsid w:val="00DE30FC"/>
    <w:rsid w:val="00DE3646"/>
    <w:rsid w:val="00DE4236"/>
    <w:rsid w:val="00DE454E"/>
    <w:rsid w:val="00DE4DCD"/>
    <w:rsid w:val="00DE5042"/>
    <w:rsid w:val="00DE557E"/>
    <w:rsid w:val="00DE5774"/>
    <w:rsid w:val="00DE5932"/>
    <w:rsid w:val="00DE614F"/>
    <w:rsid w:val="00DE67BB"/>
    <w:rsid w:val="00DE6BF5"/>
    <w:rsid w:val="00DE6D7E"/>
    <w:rsid w:val="00DE73D2"/>
    <w:rsid w:val="00DE7412"/>
    <w:rsid w:val="00DE7C10"/>
    <w:rsid w:val="00DF14C6"/>
    <w:rsid w:val="00DF21D0"/>
    <w:rsid w:val="00DF38AF"/>
    <w:rsid w:val="00DF3FC7"/>
    <w:rsid w:val="00DF456A"/>
    <w:rsid w:val="00DF4765"/>
    <w:rsid w:val="00DF4A53"/>
    <w:rsid w:val="00DF4AD6"/>
    <w:rsid w:val="00DF4B12"/>
    <w:rsid w:val="00DF4CE8"/>
    <w:rsid w:val="00DF7548"/>
    <w:rsid w:val="00DF7A11"/>
    <w:rsid w:val="00DF7DDA"/>
    <w:rsid w:val="00E002C2"/>
    <w:rsid w:val="00E01591"/>
    <w:rsid w:val="00E019DC"/>
    <w:rsid w:val="00E01A73"/>
    <w:rsid w:val="00E02B0E"/>
    <w:rsid w:val="00E02C3B"/>
    <w:rsid w:val="00E030ED"/>
    <w:rsid w:val="00E031A2"/>
    <w:rsid w:val="00E03E9F"/>
    <w:rsid w:val="00E0443E"/>
    <w:rsid w:val="00E046A1"/>
    <w:rsid w:val="00E04B83"/>
    <w:rsid w:val="00E04F69"/>
    <w:rsid w:val="00E051E4"/>
    <w:rsid w:val="00E054C8"/>
    <w:rsid w:val="00E059BD"/>
    <w:rsid w:val="00E0699A"/>
    <w:rsid w:val="00E06E62"/>
    <w:rsid w:val="00E06F38"/>
    <w:rsid w:val="00E07EF3"/>
    <w:rsid w:val="00E10987"/>
    <w:rsid w:val="00E10A9A"/>
    <w:rsid w:val="00E10CB5"/>
    <w:rsid w:val="00E12EDC"/>
    <w:rsid w:val="00E13E67"/>
    <w:rsid w:val="00E1498C"/>
    <w:rsid w:val="00E14AF4"/>
    <w:rsid w:val="00E15293"/>
    <w:rsid w:val="00E15AF9"/>
    <w:rsid w:val="00E16AAB"/>
    <w:rsid w:val="00E16FF3"/>
    <w:rsid w:val="00E1786A"/>
    <w:rsid w:val="00E20469"/>
    <w:rsid w:val="00E20B3F"/>
    <w:rsid w:val="00E21149"/>
    <w:rsid w:val="00E21EA3"/>
    <w:rsid w:val="00E22D1A"/>
    <w:rsid w:val="00E22F03"/>
    <w:rsid w:val="00E24B4D"/>
    <w:rsid w:val="00E255AC"/>
    <w:rsid w:val="00E25976"/>
    <w:rsid w:val="00E25AF4"/>
    <w:rsid w:val="00E2637C"/>
    <w:rsid w:val="00E26C94"/>
    <w:rsid w:val="00E26FEE"/>
    <w:rsid w:val="00E27113"/>
    <w:rsid w:val="00E2764A"/>
    <w:rsid w:val="00E27A0A"/>
    <w:rsid w:val="00E30B1F"/>
    <w:rsid w:val="00E30C7F"/>
    <w:rsid w:val="00E31670"/>
    <w:rsid w:val="00E31A42"/>
    <w:rsid w:val="00E31D57"/>
    <w:rsid w:val="00E31EBB"/>
    <w:rsid w:val="00E32112"/>
    <w:rsid w:val="00E32329"/>
    <w:rsid w:val="00E32F15"/>
    <w:rsid w:val="00E336E6"/>
    <w:rsid w:val="00E33746"/>
    <w:rsid w:val="00E338B0"/>
    <w:rsid w:val="00E33BE2"/>
    <w:rsid w:val="00E341E5"/>
    <w:rsid w:val="00E34965"/>
    <w:rsid w:val="00E349D0"/>
    <w:rsid w:val="00E34CAE"/>
    <w:rsid w:val="00E35106"/>
    <w:rsid w:val="00E356C1"/>
    <w:rsid w:val="00E35D5E"/>
    <w:rsid w:val="00E3655B"/>
    <w:rsid w:val="00E37271"/>
    <w:rsid w:val="00E407BF"/>
    <w:rsid w:val="00E40DA2"/>
    <w:rsid w:val="00E40E34"/>
    <w:rsid w:val="00E4102D"/>
    <w:rsid w:val="00E410C5"/>
    <w:rsid w:val="00E41FBD"/>
    <w:rsid w:val="00E42203"/>
    <w:rsid w:val="00E42218"/>
    <w:rsid w:val="00E426E1"/>
    <w:rsid w:val="00E4367F"/>
    <w:rsid w:val="00E43AF4"/>
    <w:rsid w:val="00E43FB7"/>
    <w:rsid w:val="00E44C96"/>
    <w:rsid w:val="00E44EF9"/>
    <w:rsid w:val="00E45B88"/>
    <w:rsid w:val="00E45C2A"/>
    <w:rsid w:val="00E45DEA"/>
    <w:rsid w:val="00E45FAE"/>
    <w:rsid w:val="00E46C6F"/>
    <w:rsid w:val="00E46FD2"/>
    <w:rsid w:val="00E5014A"/>
    <w:rsid w:val="00E512B9"/>
    <w:rsid w:val="00E53083"/>
    <w:rsid w:val="00E5355B"/>
    <w:rsid w:val="00E538BE"/>
    <w:rsid w:val="00E54049"/>
    <w:rsid w:val="00E544CE"/>
    <w:rsid w:val="00E5496B"/>
    <w:rsid w:val="00E5555D"/>
    <w:rsid w:val="00E57B99"/>
    <w:rsid w:val="00E57EDE"/>
    <w:rsid w:val="00E60112"/>
    <w:rsid w:val="00E60C70"/>
    <w:rsid w:val="00E60DE2"/>
    <w:rsid w:val="00E61AD5"/>
    <w:rsid w:val="00E62223"/>
    <w:rsid w:val="00E62878"/>
    <w:rsid w:val="00E62A6B"/>
    <w:rsid w:val="00E63759"/>
    <w:rsid w:val="00E637DC"/>
    <w:rsid w:val="00E64A71"/>
    <w:rsid w:val="00E6500A"/>
    <w:rsid w:val="00E6662E"/>
    <w:rsid w:val="00E66B86"/>
    <w:rsid w:val="00E7177F"/>
    <w:rsid w:val="00E71D18"/>
    <w:rsid w:val="00E71F66"/>
    <w:rsid w:val="00E72E6E"/>
    <w:rsid w:val="00E73DB2"/>
    <w:rsid w:val="00E7422F"/>
    <w:rsid w:val="00E74382"/>
    <w:rsid w:val="00E74D4A"/>
    <w:rsid w:val="00E75863"/>
    <w:rsid w:val="00E75EF5"/>
    <w:rsid w:val="00E76AD9"/>
    <w:rsid w:val="00E76C95"/>
    <w:rsid w:val="00E7771D"/>
    <w:rsid w:val="00E77734"/>
    <w:rsid w:val="00E778C0"/>
    <w:rsid w:val="00E7793D"/>
    <w:rsid w:val="00E8028F"/>
    <w:rsid w:val="00E807EA"/>
    <w:rsid w:val="00E809A6"/>
    <w:rsid w:val="00E810C4"/>
    <w:rsid w:val="00E813E5"/>
    <w:rsid w:val="00E816CA"/>
    <w:rsid w:val="00E822CF"/>
    <w:rsid w:val="00E8237C"/>
    <w:rsid w:val="00E82687"/>
    <w:rsid w:val="00E83A23"/>
    <w:rsid w:val="00E83C85"/>
    <w:rsid w:val="00E83DF4"/>
    <w:rsid w:val="00E84A65"/>
    <w:rsid w:val="00E84BAE"/>
    <w:rsid w:val="00E85164"/>
    <w:rsid w:val="00E85898"/>
    <w:rsid w:val="00E85C00"/>
    <w:rsid w:val="00E871EC"/>
    <w:rsid w:val="00E874E6"/>
    <w:rsid w:val="00E87CE2"/>
    <w:rsid w:val="00E87D19"/>
    <w:rsid w:val="00E9012B"/>
    <w:rsid w:val="00E902DB"/>
    <w:rsid w:val="00E91528"/>
    <w:rsid w:val="00E916D8"/>
    <w:rsid w:val="00E928D6"/>
    <w:rsid w:val="00E92A8F"/>
    <w:rsid w:val="00E92DD9"/>
    <w:rsid w:val="00E93EFB"/>
    <w:rsid w:val="00E940CA"/>
    <w:rsid w:val="00E94944"/>
    <w:rsid w:val="00E94AA4"/>
    <w:rsid w:val="00E94AD5"/>
    <w:rsid w:val="00E9505B"/>
    <w:rsid w:val="00E950F8"/>
    <w:rsid w:val="00E95A48"/>
    <w:rsid w:val="00E96C18"/>
    <w:rsid w:val="00E97382"/>
    <w:rsid w:val="00EA0222"/>
    <w:rsid w:val="00EA0AEF"/>
    <w:rsid w:val="00EA1126"/>
    <w:rsid w:val="00EA163B"/>
    <w:rsid w:val="00EA269F"/>
    <w:rsid w:val="00EA2AA0"/>
    <w:rsid w:val="00EA2AE6"/>
    <w:rsid w:val="00EA2CD4"/>
    <w:rsid w:val="00EA4AF7"/>
    <w:rsid w:val="00EA577F"/>
    <w:rsid w:val="00EA615D"/>
    <w:rsid w:val="00EA6EFC"/>
    <w:rsid w:val="00EA7FE0"/>
    <w:rsid w:val="00EB2031"/>
    <w:rsid w:val="00EB2179"/>
    <w:rsid w:val="00EB2A0D"/>
    <w:rsid w:val="00EB2DCC"/>
    <w:rsid w:val="00EB34DF"/>
    <w:rsid w:val="00EB46BC"/>
    <w:rsid w:val="00EB50F5"/>
    <w:rsid w:val="00EB55B0"/>
    <w:rsid w:val="00EB62BC"/>
    <w:rsid w:val="00EB63E4"/>
    <w:rsid w:val="00EB6D7F"/>
    <w:rsid w:val="00EB7943"/>
    <w:rsid w:val="00EB7C8F"/>
    <w:rsid w:val="00EC00AC"/>
    <w:rsid w:val="00EC078B"/>
    <w:rsid w:val="00EC0E60"/>
    <w:rsid w:val="00EC1259"/>
    <w:rsid w:val="00EC1F0D"/>
    <w:rsid w:val="00EC252A"/>
    <w:rsid w:val="00EC364B"/>
    <w:rsid w:val="00EC3B8F"/>
    <w:rsid w:val="00EC49FD"/>
    <w:rsid w:val="00EC5229"/>
    <w:rsid w:val="00EC54EA"/>
    <w:rsid w:val="00EC6162"/>
    <w:rsid w:val="00EC63F7"/>
    <w:rsid w:val="00EC678E"/>
    <w:rsid w:val="00EC6B9C"/>
    <w:rsid w:val="00EC7DF6"/>
    <w:rsid w:val="00ED1370"/>
    <w:rsid w:val="00ED1719"/>
    <w:rsid w:val="00ED1DD9"/>
    <w:rsid w:val="00ED274C"/>
    <w:rsid w:val="00ED3238"/>
    <w:rsid w:val="00ED3AFF"/>
    <w:rsid w:val="00ED3B95"/>
    <w:rsid w:val="00ED43F6"/>
    <w:rsid w:val="00ED48A5"/>
    <w:rsid w:val="00ED4CE2"/>
    <w:rsid w:val="00ED52C5"/>
    <w:rsid w:val="00ED628D"/>
    <w:rsid w:val="00ED6BDA"/>
    <w:rsid w:val="00ED7067"/>
    <w:rsid w:val="00ED7209"/>
    <w:rsid w:val="00EE07C3"/>
    <w:rsid w:val="00EE2284"/>
    <w:rsid w:val="00EE3AD8"/>
    <w:rsid w:val="00EE451D"/>
    <w:rsid w:val="00EE4A7D"/>
    <w:rsid w:val="00EE52E4"/>
    <w:rsid w:val="00EE54D4"/>
    <w:rsid w:val="00EE57C9"/>
    <w:rsid w:val="00EE5FB9"/>
    <w:rsid w:val="00EE5FBD"/>
    <w:rsid w:val="00EE7220"/>
    <w:rsid w:val="00EE76C8"/>
    <w:rsid w:val="00EE7FAE"/>
    <w:rsid w:val="00EF00C4"/>
    <w:rsid w:val="00EF098B"/>
    <w:rsid w:val="00EF37AE"/>
    <w:rsid w:val="00EF4A02"/>
    <w:rsid w:val="00EF508E"/>
    <w:rsid w:val="00EF52DF"/>
    <w:rsid w:val="00EF6B71"/>
    <w:rsid w:val="00EF7243"/>
    <w:rsid w:val="00EF7E0C"/>
    <w:rsid w:val="00EF7F4F"/>
    <w:rsid w:val="00F00D97"/>
    <w:rsid w:val="00F0181E"/>
    <w:rsid w:val="00F01D59"/>
    <w:rsid w:val="00F022B2"/>
    <w:rsid w:val="00F023A1"/>
    <w:rsid w:val="00F03CAF"/>
    <w:rsid w:val="00F03CFB"/>
    <w:rsid w:val="00F04BEE"/>
    <w:rsid w:val="00F04C38"/>
    <w:rsid w:val="00F04FBF"/>
    <w:rsid w:val="00F0502E"/>
    <w:rsid w:val="00F06395"/>
    <w:rsid w:val="00F06E74"/>
    <w:rsid w:val="00F101CE"/>
    <w:rsid w:val="00F1043B"/>
    <w:rsid w:val="00F1121D"/>
    <w:rsid w:val="00F116DB"/>
    <w:rsid w:val="00F11D69"/>
    <w:rsid w:val="00F1245B"/>
    <w:rsid w:val="00F12527"/>
    <w:rsid w:val="00F125EB"/>
    <w:rsid w:val="00F12985"/>
    <w:rsid w:val="00F12A63"/>
    <w:rsid w:val="00F12DD5"/>
    <w:rsid w:val="00F12DF8"/>
    <w:rsid w:val="00F12EA1"/>
    <w:rsid w:val="00F13BDC"/>
    <w:rsid w:val="00F13EB1"/>
    <w:rsid w:val="00F15319"/>
    <w:rsid w:val="00F15B0A"/>
    <w:rsid w:val="00F179C2"/>
    <w:rsid w:val="00F20230"/>
    <w:rsid w:val="00F204C6"/>
    <w:rsid w:val="00F20642"/>
    <w:rsid w:val="00F21136"/>
    <w:rsid w:val="00F212ED"/>
    <w:rsid w:val="00F21E05"/>
    <w:rsid w:val="00F227D5"/>
    <w:rsid w:val="00F229AC"/>
    <w:rsid w:val="00F23875"/>
    <w:rsid w:val="00F24135"/>
    <w:rsid w:val="00F246FD"/>
    <w:rsid w:val="00F24987"/>
    <w:rsid w:val="00F24D92"/>
    <w:rsid w:val="00F24EA3"/>
    <w:rsid w:val="00F25A01"/>
    <w:rsid w:val="00F25EF4"/>
    <w:rsid w:val="00F26408"/>
    <w:rsid w:val="00F26C30"/>
    <w:rsid w:val="00F26E40"/>
    <w:rsid w:val="00F27C5E"/>
    <w:rsid w:val="00F3032D"/>
    <w:rsid w:val="00F3091B"/>
    <w:rsid w:val="00F31388"/>
    <w:rsid w:val="00F31802"/>
    <w:rsid w:val="00F31C63"/>
    <w:rsid w:val="00F32163"/>
    <w:rsid w:val="00F33544"/>
    <w:rsid w:val="00F338CE"/>
    <w:rsid w:val="00F33E60"/>
    <w:rsid w:val="00F352C2"/>
    <w:rsid w:val="00F354AB"/>
    <w:rsid w:val="00F35B72"/>
    <w:rsid w:val="00F35F2A"/>
    <w:rsid w:val="00F36AED"/>
    <w:rsid w:val="00F36D0F"/>
    <w:rsid w:val="00F4074F"/>
    <w:rsid w:val="00F408ED"/>
    <w:rsid w:val="00F40969"/>
    <w:rsid w:val="00F40CD1"/>
    <w:rsid w:val="00F40E16"/>
    <w:rsid w:val="00F4151F"/>
    <w:rsid w:val="00F41C91"/>
    <w:rsid w:val="00F42626"/>
    <w:rsid w:val="00F43597"/>
    <w:rsid w:val="00F4449F"/>
    <w:rsid w:val="00F44852"/>
    <w:rsid w:val="00F44F87"/>
    <w:rsid w:val="00F47AE1"/>
    <w:rsid w:val="00F47BA6"/>
    <w:rsid w:val="00F50FF8"/>
    <w:rsid w:val="00F51772"/>
    <w:rsid w:val="00F51BCB"/>
    <w:rsid w:val="00F52251"/>
    <w:rsid w:val="00F5230B"/>
    <w:rsid w:val="00F52D23"/>
    <w:rsid w:val="00F53170"/>
    <w:rsid w:val="00F531A0"/>
    <w:rsid w:val="00F53716"/>
    <w:rsid w:val="00F54189"/>
    <w:rsid w:val="00F5467C"/>
    <w:rsid w:val="00F546E6"/>
    <w:rsid w:val="00F55121"/>
    <w:rsid w:val="00F55CAB"/>
    <w:rsid w:val="00F56078"/>
    <w:rsid w:val="00F5650D"/>
    <w:rsid w:val="00F5659B"/>
    <w:rsid w:val="00F568E5"/>
    <w:rsid w:val="00F57AC6"/>
    <w:rsid w:val="00F57F44"/>
    <w:rsid w:val="00F57F89"/>
    <w:rsid w:val="00F61CE9"/>
    <w:rsid w:val="00F622CA"/>
    <w:rsid w:val="00F62C42"/>
    <w:rsid w:val="00F62DF5"/>
    <w:rsid w:val="00F63653"/>
    <w:rsid w:val="00F6392F"/>
    <w:rsid w:val="00F63D0E"/>
    <w:rsid w:val="00F640F0"/>
    <w:rsid w:val="00F64684"/>
    <w:rsid w:val="00F64863"/>
    <w:rsid w:val="00F64F3C"/>
    <w:rsid w:val="00F65517"/>
    <w:rsid w:val="00F66465"/>
    <w:rsid w:val="00F670C2"/>
    <w:rsid w:val="00F67524"/>
    <w:rsid w:val="00F67861"/>
    <w:rsid w:val="00F70222"/>
    <w:rsid w:val="00F71341"/>
    <w:rsid w:val="00F71FB8"/>
    <w:rsid w:val="00F723F3"/>
    <w:rsid w:val="00F72AD0"/>
    <w:rsid w:val="00F73B70"/>
    <w:rsid w:val="00F749CE"/>
    <w:rsid w:val="00F758E0"/>
    <w:rsid w:val="00F75B96"/>
    <w:rsid w:val="00F75D20"/>
    <w:rsid w:val="00F76041"/>
    <w:rsid w:val="00F76AF1"/>
    <w:rsid w:val="00F76EEA"/>
    <w:rsid w:val="00F77ED7"/>
    <w:rsid w:val="00F77EFE"/>
    <w:rsid w:val="00F81446"/>
    <w:rsid w:val="00F82B4A"/>
    <w:rsid w:val="00F8394B"/>
    <w:rsid w:val="00F83A5F"/>
    <w:rsid w:val="00F83BBB"/>
    <w:rsid w:val="00F84C65"/>
    <w:rsid w:val="00F854DE"/>
    <w:rsid w:val="00F861DF"/>
    <w:rsid w:val="00F869DB"/>
    <w:rsid w:val="00F86D71"/>
    <w:rsid w:val="00F8733C"/>
    <w:rsid w:val="00F904FA"/>
    <w:rsid w:val="00F90A90"/>
    <w:rsid w:val="00F90F49"/>
    <w:rsid w:val="00F92335"/>
    <w:rsid w:val="00F93605"/>
    <w:rsid w:val="00F9434F"/>
    <w:rsid w:val="00F94EBC"/>
    <w:rsid w:val="00F95BF3"/>
    <w:rsid w:val="00F95C6F"/>
    <w:rsid w:val="00F95D76"/>
    <w:rsid w:val="00F9612C"/>
    <w:rsid w:val="00F96683"/>
    <w:rsid w:val="00F967C7"/>
    <w:rsid w:val="00F9692A"/>
    <w:rsid w:val="00F974D5"/>
    <w:rsid w:val="00F9785D"/>
    <w:rsid w:val="00F97C17"/>
    <w:rsid w:val="00FA0451"/>
    <w:rsid w:val="00FA05D1"/>
    <w:rsid w:val="00FA07DA"/>
    <w:rsid w:val="00FA247B"/>
    <w:rsid w:val="00FA2523"/>
    <w:rsid w:val="00FA2BC7"/>
    <w:rsid w:val="00FA2F25"/>
    <w:rsid w:val="00FA3114"/>
    <w:rsid w:val="00FA35D5"/>
    <w:rsid w:val="00FA3701"/>
    <w:rsid w:val="00FA4263"/>
    <w:rsid w:val="00FA528C"/>
    <w:rsid w:val="00FA589F"/>
    <w:rsid w:val="00FA5F9B"/>
    <w:rsid w:val="00FA6D22"/>
    <w:rsid w:val="00FA74D5"/>
    <w:rsid w:val="00FA753B"/>
    <w:rsid w:val="00FA7630"/>
    <w:rsid w:val="00FA796D"/>
    <w:rsid w:val="00FB0F2F"/>
    <w:rsid w:val="00FB1864"/>
    <w:rsid w:val="00FB1F3D"/>
    <w:rsid w:val="00FB200D"/>
    <w:rsid w:val="00FB2106"/>
    <w:rsid w:val="00FB3CC2"/>
    <w:rsid w:val="00FB418D"/>
    <w:rsid w:val="00FB5249"/>
    <w:rsid w:val="00FB55D3"/>
    <w:rsid w:val="00FB655C"/>
    <w:rsid w:val="00FB67F0"/>
    <w:rsid w:val="00FB6B78"/>
    <w:rsid w:val="00FB7522"/>
    <w:rsid w:val="00FC0749"/>
    <w:rsid w:val="00FC074B"/>
    <w:rsid w:val="00FC1224"/>
    <w:rsid w:val="00FC23B3"/>
    <w:rsid w:val="00FC2494"/>
    <w:rsid w:val="00FC259A"/>
    <w:rsid w:val="00FC333F"/>
    <w:rsid w:val="00FC39AB"/>
    <w:rsid w:val="00FC3CBE"/>
    <w:rsid w:val="00FC3DAA"/>
    <w:rsid w:val="00FC41E5"/>
    <w:rsid w:val="00FC4840"/>
    <w:rsid w:val="00FC53E3"/>
    <w:rsid w:val="00FC6871"/>
    <w:rsid w:val="00FC71C0"/>
    <w:rsid w:val="00FC758A"/>
    <w:rsid w:val="00FD0AA2"/>
    <w:rsid w:val="00FD1224"/>
    <w:rsid w:val="00FD287E"/>
    <w:rsid w:val="00FD298B"/>
    <w:rsid w:val="00FD5C3F"/>
    <w:rsid w:val="00FD62E1"/>
    <w:rsid w:val="00FD69A2"/>
    <w:rsid w:val="00FD6DBD"/>
    <w:rsid w:val="00FE08D6"/>
    <w:rsid w:val="00FE096B"/>
    <w:rsid w:val="00FE0A03"/>
    <w:rsid w:val="00FE0C61"/>
    <w:rsid w:val="00FE1E9C"/>
    <w:rsid w:val="00FE24B0"/>
    <w:rsid w:val="00FE2792"/>
    <w:rsid w:val="00FE2E7F"/>
    <w:rsid w:val="00FE375E"/>
    <w:rsid w:val="00FE37EE"/>
    <w:rsid w:val="00FE4230"/>
    <w:rsid w:val="00FE42F6"/>
    <w:rsid w:val="00FE4999"/>
    <w:rsid w:val="00FE574F"/>
    <w:rsid w:val="00FE581A"/>
    <w:rsid w:val="00FE6394"/>
    <w:rsid w:val="00FE65AB"/>
    <w:rsid w:val="00FE6B0E"/>
    <w:rsid w:val="00FF01CD"/>
    <w:rsid w:val="00FF046F"/>
    <w:rsid w:val="00FF1088"/>
    <w:rsid w:val="00FF1102"/>
    <w:rsid w:val="00FF1110"/>
    <w:rsid w:val="00FF12ED"/>
    <w:rsid w:val="00FF1514"/>
    <w:rsid w:val="00FF2700"/>
    <w:rsid w:val="00FF3387"/>
    <w:rsid w:val="00FF3CC4"/>
    <w:rsid w:val="00FF4426"/>
    <w:rsid w:val="00FF444F"/>
    <w:rsid w:val="00FF52B0"/>
    <w:rsid w:val="00FF5D55"/>
    <w:rsid w:val="00FF74D7"/>
    <w:rsid w:val="00FF7F37"/>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76B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82">
    <w:lsdException w:name="Normal" w:qFormat="1"/>
    <w:lsdException w:name="heading 1" w:uiPriority="9"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96190"/>
    <w:pPr>
      <w:spacing w:after="240"/>
      <w:jc w:val="both"/>
    </w:pPr>
    <w:rPr>
      <w:rFonts w:ascii="Times New Roman" w:hAnsi="Times New Roman" w:cs="Segoe UI"/>
      <w:color w:val="212121"/>
      <w:shd w:val="clear" w:color="auto" w:fill="FFFFFF"/>
      <w:lang w:val="en-GB" w:eastAsia="en-GB"/>
    </w:rPr>
  </w:style>
  <w:style w:type="paragraph" w:styleId="Heading1">
    <w:name w:val="heading 1"/>
    <w:basedOn w:val="Normal"/>
    <w:next w:val="Normal"/>
    <w:link w:val="Heading1Char"/>
    <w:uiPriority w:val="9"/>
    <w:qFormat/>
    <w:rsid w:val="002B40F5"/>
    <w:pPr>
      <w:keepNext/>
      <w:keepLines/>
      <w:pageBreakBefore/>
      <w:pBdr>
        <w:bottom w:val="dotted" w:sz="4" w:space="1" w:color="auto"/>
      </w:pBdr>
      <w:spacing w:before="360"/>
      <w:jc w:val="left"/>
      <w:outlineLvl w:val="0"/>
    </w:pPr>
    <w:rPr>
      <w:rFonts w:eastAsiaTheme="majorEastAsia" w:cstheme="majorBidi"/>
      <w:b/>
      <w:bCs/>
      <w:color w:val="000000" w:themeColor="text1"/>
      <w:sz w:val="40"/>
      <w:szCs w:val="32"/>
      <w:lang w:val="en-AU" w:eastAsia="ja-JP"/>
    </w:rPr>
  </w:style>
  <w:style w:type="paragraph" w:styleId="Heading2">
    <w:name w:val="heading 2"/>
    <w:basedOn w:val="Normal"/>
    <w:next w:val="Normal"/>
    <w:link w:val="Heading2Char"/>
    <w:rsid w:val="00161356"/>
    <w:pPr>
      <w:keepNext/>
      <w:keepLines/>
      <w:spacing w:before="240" w:after="180"/>
      <w:jc w:val="left"/>
      <w:outlineLvl w:val="1"/>
    </w:pPr>
    <w:rPr>
      <w:rFonts w:eastAsiaTheme="majorEastAsia" w:cstheme="majorBidi"/>
      <w:b/>
      <w:bCs/>
      <w:color w:val="000000" w:themeColor="text1"/>
      <w:sz w:val="32"/>
      <w:szCs w:val="26"/>
      <w:lang w:val="en-AU" w:eastAsia="ja-JP"/>
    </w:rPr>
  </w:style>
  <w:style w:type="paragraph" w:styleId="Heading3">
    <w:name w:val="heading 3"/>
    <w:basedOn w:val="Normal"/>
    <w:next w:val="Normal"/>
    <w:link w:val="Heading3Char"/>
    <w:rsid w:val="0065659F"/>
    <w:pPr>
      <w:keepNext/>
      <w:keepLines/>
      <w:spacing w:before="40"/>
      <w:jc w:val="left"/>
      <w:outlineLvl w:val="2"/>
    </w:pPr>
    <w:rPr>
      <w:rFonts w:eastAsiaTheme="majorEastAsia" w:cstheme="majorBidi"/>
      <w:b/>
      <w:bCs/>
      <w:i/>
      <w:iCs/>
      <w:color w:val="000000" w:themeColor="text1"/>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73A2"/>
    <w:rPr>
      <w:color w:val="0000FF" w:themeColor="hyperlink"/>
      <w:u w:val="single"/>
    </w:rPr>
  </w:style>
  <w:style w:type="paragraph" w:styleId="ListParagraph">
    <w:name w:val="List Paragraph"/>
    <w:basedOn w:val="Normal"/>
    <w:uiPriority w:val="34"/>
    <w:qFormat/>
    <w:rsid w:val="00396190"/>
    <w:pPr>
      <w:numPr>
        <w:numId w:val="22"/>
      </w:numPr>
      <w:contextualSpacing/>
    </w:pPr>
    <w:rPr>
      <w:rFonts w:cs="Times New Roman"/>
      <w:lang w:val="en-AU" w:eastAsia="ja-JP"/>
    </w:rPr>
  </w:style>
  <w:style w:type="character" w:styleId="FollowedHyperlink">
    <w:name w:val="FollowedHyperlink"/>
    <w:basedOn w:val="DefaultParagraphFont"/>
    <w:uiPriority w:val="99"/>
    <w:semiHidden/>
    <w:unhideWhenUsed/>
    <w:rsid w:val="00C83519"/>
    <w:rPr>
      <w:color w:val="800080" w:themeColor="followedHyperlink"/>
      <w:u w:val="single"/>
    </w:rPr>
  </w:style>
  <w:style w:type="paragraph" w:styleId="FootnoteText">
    <w:name w:val="footnote text"/>
    <w:basedOn w:val="Normal"/>
    <w:link w:val="FootnoteTextChar"/>
    <w:uiPriority w:val="99"/>
    <w:unhideWhenUsed/>
    <w:rsid w:val="004758FB"/>
    <w:pPr>
      <w:ind w:left="567" w:hanging="567"/>
      <w:jc w:val="left"/>
    </w:pPr>
    <w:rPr>
      <w:rFonts w:cstheme="minorBidi"/>
      <w:sz w:val="20"/>
      <w:szCs w:val="20"/>
      <w:lang w:val="en-AU" w:eastAsia="ja-JP"/>
    </w:rPr>
  </w:style>
  <w:style w:type="character" w:customStyle="1" w:styleId="FootnoteTextChar">
    <w:name w:val="Footnote Text Char"/>
    <w:basedOn w:val="DefaultParagraphFont"/>
    <w:link w:val="FootnoteText"/>
    <w:uiPriority w:val="99"/>
    <w:rsid w:val="004758FB"/>
    <w:rPr>
      <w:rFonts w:ascii="Times New Roman" w:hAnsi="Times New Roman"/>
      <w:color w:val="212121"/>
      <w:sz w:val="20"/>
      <w:szCs w:val="20"/>
    </w:rPr>
  </w:style>
  <w:style w:type="character" w:styleId="FootnoteReference">
    <w:name w:val="footnote reference"/>
    <w:basedOn w:val="DefaultParagraphFont"/>
    <w:uiPriority w:val="99"/>
    <w:unhideWhenUsed/>
    <w:rsid w:val="00B24D61"/>
    <w:rPr>
      <w:vertAlign w:val="superscript"/>
    </w:rPr>
  </w:style>
  <w:style w:type="character" w:styleId="CommentReference">
    <w:name w:val="annotation reference"/>
    <w:basedOn w:val="DefaultParagraphFont"/>
    <w:uiPriority w:val="99"/>
    <w:semiHidden/>
    <w:unhideWhenUsed/>
    <w:rsid w:val="00F5650D"/>
    <w:rPr>
      <w:sz w:val="16"/>
      <w:szCs w:val="16"/>
    </w:rPr>
  </w:style>
  <w:style w:type="paragraph" w:styleId="CommentText">
    <w:name w:val="annotation text"/>
    <w:basedOn w:val="Normal"/>
    <w:link w:val="CommentTextChar"/>
    <w:uiPriority w:val="99"/>
    <w:unhideWhenUsed/>
    <w:rsid w:val="00F5650D"/>
    <w:pPr>
      <w:spacing w:after="160"/>
    </w:pPr>
    <w:rPr>
      <w:rFonts w:asciiTheme="minorHAnsi" w:eastAsiaTheme="minorHAnsi" w:hAnsiTheme="minorHAnsi" w:cstheme="minorBidi"/>
      <w:sz w:val="20"/>
      <w:szCs w:val="20"/>
      <w:lang w:val="en-AU" w:eastAsia="ja-JP"/>
    </w:rPr>
  </w:style>
  <w:style w:type="character" w:customStyle="1" w:styleId="CommentTextChar">
    <w:name w:val="Comment Text Char"/>
    <w:basedOn w:val="DefaultParagraphFont"/>
    <w:link w:val="CommentText"/>
    <w:uiPriority w:val="99"/>
    <w:rsid w:val="00F5650D"/>
    <w:rPr>
      <w:rFonts w:eastAsiaTheme="minorHAnsi"/>
      <w:sz w:val="20"/>
      <w:szCs w:val="20"/>
    </w:rPr>
  </w:style>
  <w:style w:type="paragraph" w:styleId="BalloonText">
    <w:name w:val="Balloon Text"/>
    <w:basedOn w:val="Normal"/>
    <w:link w:val="BalloonTextChar"/>
    <w:uiPriority w:val="99"/>
    <w:semiHidden/>
    <w:unhideWhenUsed/>
    <w:rsid w:val="00F5650D"/>
    <w:rPr>
      <w:rFonts w:ascii="Segoe UI" w:hAnsi="Segoe UI"/>
      <w:sz w:val="18"/>
      <w:szCs w:val="18"/>
      <w:lang w:val="en-AU" w:eastAsia="ja-JP"/>
    </w:rPr>
  </w:style>
  <w:style w:type="character" w:customStyle="1" w:styleId="BalloonTextChar">
    <w:name w:val="Balloon Text Char"/>
    <w:basedOn w:val="DefaultParagraphFont"/>
    <w:link w:val="BalloonText"/>
    <w:uiPriority w:val="99"/>
    <w:semiHidden/>
    <w:rsid w:val="00F5650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5502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55029"/>
    <w:rPr>
      <w:rFonts w:eastAsiaTheme="minorHAnsi"/>
      <w:b/>
      <w:bCs/>
      <w:sz w:val="20"/>
      <w:szCs w:val="20"/>
    </w:rPr>
  </w:style>
  <w:style w:type="paragraph" w:styleId="Revision">
    <w:name w:val="Revision"/>
    <w:hidden/>
    <w:rsid w:val="005F496F"/>
  </w:style>
  <w:style w:type="paragraph" w:styleId="NormalWeb">
    <w:name w:val="Normal (Web)"/>
    <w:basedOn w:val="Normal"/>
    <w:uiPriority w:val="99"/>
    <w:unhideWhenUsed/>
    <w:rsid w:val="00AE45D4"/>
    <w:rPr>
      <w:lang w:val="en-AU" w:eastAsia="ja-JP"/>
    </w:rPr>
  </w:style>
  <w:style w:type="character" w:customStyle="1" w:styleId="Heading1Char">
    <w:name w:val="Heading 1 Char"/>
    <w:basedOn w:val="DefaultParagraphFont"/>
    <w:link w:val="Heading1"/>
    <w:uiPriority w:val="9"/>
    <w:rsid w:val="002B40F5"/>
    <w:rPr>
      <w:rFonts w:ascii="Times New Roman" w:eastAsiaTheme="majorEastAsia" w:hAnsi="Times New Roman" w:cstheme="majorBidi"/>
      <w:b/>
      <w:bCs/>
      <w:color w:val="000000" w:themeColor="text1"/>
      <w:sz w:val="40"/>
      <w:szCs w:val="32"/>
    </w:rPr>
  </w:style>
  <w:style w:type="paragraph" w:styleId="TOCHeading">
    <w:name w:val="TOC Heading"/>
    <w:basedOn w:val="Heading1"/>
    <w:next w:val="Normal"/>
    <w:uiPriority w:val="39"/>
    <w:unhideWhenUsed/>
    <w:qFormat/>
    <w:rsid w:val="005E46DE"/>
    <w:pPr>
      <w:spacing w:line="259" w:lineRule="auto"/>
      <w:jc w:val="both"/>
      <w:outlineLvl w:val="9"/>
    </w:pPr>
    <w:rPr>
      <w:rFonts w:eastAsiaTheme="minorEastAsia" w:cs="Segoe UI"/>
      <w:bCs w:val="0"/>
      <w:color w:val="212121"/>
      <w:sz w:val="36"/>
      <w:szCs w:val="36"/>
      <w:lang w:val="en-GB" w:eastAsia="en-GB"/>
    </w:rPr>
  </w:style>
  <w:style w:type="paragraph" w:styleId="TOC1">
    <w:name w:val="toc 1"/>
    <w:basedOn w:val="Normal"/>
    <w:next w:val="Normal"/>
    <w:autoRedefine/>
    <w:uiPriority w:val="39"/>
    <w:unhideWhenUsed/>
    <w:rsid w:val="005E46DE"/>
    <w:pPr>
      <w:tabs>
        <w:tab w:val="right" w:leader="dot" w:pos="8942"/>
      </w:tabs>
      <w:spacing w:after="100"/>
      <w:jc w:val="left"/>
    </w:pPr>
    <w:rPr>
      <w:rFonts w:cs="Times New Roman"/>
      <w:b/>
      <w:smallCaps/>
      <w:noProof/>
      <w:sz w:val="28"/>
      <w:szCs w:val="28"/>
      <w:lang w:val="en-AU" w:eastAsia="ja-JP"/>
    </w:rPr>
  </w:style>
  <w:style w:type="character" w:customStyle="1" w:styleId="Heading2Char">
    <w:name w:val="Heading 2 Char"/>
    <w:basedOn w:val="DefaultParagraphFont"/>
    <w:link w:val="Heading2"/>
    <w:rsid w:val="00161356"/>
    <w:rPr>
      <w:rFonts w:ascii="Times New Roman" w:eastAsiaTheme="majorEastAsia" w:hAnsi="Times New Roman" w:cstheme="majorBidi"/>
      <w:b/>
      <w:bCs/>
      <w:color w:val="000000" w:themeColor="text1"/>
      <w:sz w:val="32"/>
      <w:szCs w:val="26"/>
    </w:rPr>
  </w:style>
  <w:style w:type="paragraph" w:styleId="TOC2">
    <w:name w:val="toc 2"/>
    <w:basedOn w:val="Normal"/>
    <w:next w:val="Normal"/>
    <w:autoRedefine/>
    <w:uiPriority w:val="39"/>
    <w:unhideWhenUsed/>
    <w:rsid w:val="00AC4E2D"/>
    <w:pPr>
      <w:tabs>
        <w:tab w:val="right" w:leader="dot" w:pos="8942"/>
      </w:tabs>
      <w:spacing w:after="100"/>
      <w:ind w:left="240"/>
    </w:pPr>
    <w:rPr>
      <w:rFonts w:cs="Times New Roman"/>
      <w:noProof/>
      <w:lang w:val="en-AU" w:eastAsia="ja-JP"/>
    </w:rPr>
  </w:style>
  <w:style w:type="character" w:customStyle="1" w:styleId="Heading3Char">
    <w:name w:val="Heading 3 Char"/>
    <w:basedOn w:val="DefaultParagraphFont"/>
    <w:link w:val="Heading3"/>
    <w:rsid w:val="0065659F"/>
    <w:rPr>
      <w:rFonts w:ascii="Times New Roman" w:eastAsiaTheme="majorEastAsia" w:hAnsi="Times New Roman" w:cstheme="majorBidi"/>
      <w:b/>
      <w:bCs/>
      <w:i/>
      <w:iCs/>
      <w:color w:val="000000" w:themeColor="text1"/>
    </w:rPr>
  </w:style>
  <w:style w:type="paragraph" w:styleId="TOC3">
    <w:name w:val="toc 3"/>
    <w:basedOn w:val="Normal"/>
    <w:next w:val="Normal"/>
    <w:autoRedefine/>
    <w:uiPriority w:val="39"/>
    <w:unhideWhenUsed/>
    <w:rsid w:val="00AC4E2D"/>
    <w:pPr>
      <w:tabs>
        <w:tab w:val="right" w:leader="dot" w:pos="8942"/>
      </w:tabs>
      <w:spacing w:after="100"/>
      <w:ind w:left="480"/>
      <w:jc w:val="left"/>
    </w:pPr>
    <w:rPr>
      <w:rFonts w:asciiTheme="minorHAnsi" w:hAnsiTheme="minorHAnsi" w:cstheme="minorBidi"/>
      <w:lang w:val="en-AU" w:eastAsia="ja-JP"/>
    </w:rPr>
  </w:style>
  <w:style w:type="character" w:customStyle="1" w:styleId="date-display-single">
    <w:name w:val="date-display-single"/>
    <w:basedOn w:val="DefaultParagraphFont"/>
    <w:rsid w:val="00712F91"/>
  </w:style>
  <w:style w:type="character" w:customStyle="1" w:styleId="apple-converted-space">
    <w:name w:val="apple-converted-space"/>
    <w:basedOn w:val="DefaultParagraphFont"/>
    <w:rsid w:val="00712F91"/>
  </w:style>
  <w:style w:type="paragraph" w:styleId="Footer">
    <w:name w:val="footer"/>
    <w:basedOn w:val="Normal"/>
    <w:link w:val="FooterChar"/>
    <w:unhideWhenUsed/>
    <w:rsid w:val="001327B7"/>
    <w:pPr>
      <w:pBdr>
        <w:top w:val="dotted" w:sz="4" w:space="5" w:color="auto"/>
      </w:pBdr>
      <w:tabs>
        <w:tab w:val="center" w:pos="4320"/>
        <w:tab w:val="right" w:pos="8640"/>
      </w:tabs>
      <w:jc w:val="left"/>
    </w:pPr>
    <w:rPr>
      <w:rFonts w:cs="Times New Roman"/>
      <w:sz w:val="22"/>
      <w:szCs w:val="22"/>
      <w:lang w:val="en-AU" w:eastAsia="ja-JP"/>
    </w:rPr>
  </w:style>
  <w:style w:type="character" w:customStyle="1" w:styleId="FooterChar">
    <w:name w:val="Footer Char"/>
    <w:basedOn w:val="DefaultParagraphFont"/>
    <w:link w:val="Footer"/>
    <w:rsid w:val="001327B7"/>
    <w:rPr>
      <w:rFonts w:ascii="Times New Roman" w:hAnsi="Times New Roman" w:cs="Times New Roman"/>
      <w:color w:val="212121"/>
      <w:sz w:val="22"/>
      <w:szCs w:val="22"/>
    </w:rPr>
  </w:style>
  <w:style w:type="character" w:styleId="PageNumber">
    <w:name w:val="page number"/>
    <w:basedOn w:val="DefaultParagraphFont"/>
    <w:semiHidden/>
    <w:unhideWhenUsed/>
    <w:rsid w:val="00734C53"/>
  </w:style>
  <w:style w:type="character" w:customStyle="1" w:styleId="UnresolvedMention1">
    <w:name w:val="Unresolved Mention1"/>
    <w:basedOn w:val="DefaultParagraphFont"/>
    <w:uiPriority w:val="99"/>
    <w:semiHidden/>
    <w:unhideWhenUsed/>
    <w:rsid w:val="002B7382"/>
    <w:rPr>
      <w:color w:val="808080"/>
      <w:shd w:val="clear" w:color="auto" w:fill="E6E6E6"/>
    </w:rPr>
  </w:style>
  <w:style w:type="character" w:styleId="Emphasis">
    <w:name w:val="Emphasis"/>
    <w:basedOn w:val="DefaultParagraphFont"/>
    <w:uiPriority w:val="20"/>
    <w:qFormat/>
    <w:rsid w:val="00C87B61"/>
    <w:rPr>
      <w:i/>
      <w:iCs/>
    </w:rPr>
  </w:style>
  <w:style w:type="paragraph" w:styleId="Title">
    <w:name w:val="Title"/>
    <w:basedOn w:val="Normal"/>
    <w:next w:val="Normal"/>
    <w:link w:val="TitleChar"/>
    <w:rsid w:val="0054338A"/>
    <w:pPr>
      <w:spacing w:before="1440" w:after="600"/>
    </w:pPr>
    <w:rPr>
      <w:b/>
      <w:sz w:val="44"/>
      <w:szCs w:val="44"/>
    </w:rPr>
  </w:style>
  <w:style w:type="character" w:customStyle="1" w:styleId="TitleChar">
    <w:name w:val="Title Char"/>
    <w:basedOn w:val="DefaultParagraphFont"/>
    <w:link w:val="Title"/>
    <w:rsid w:val="0054338A"/>
    <w:rPr>
      <w:rFonts w:ascii="Times New Roman" w:hAnsi="Times New Roman" w:cs="Times New Roman"/>
      <w:b/>
      <w:sz w:val="44"/>
      <w:szCs w:val="44"/>
      <w:lang w:val="en-GB" w:eastAsia="en-GB"/>
    </w:rPr>
  </w:style>
  <w:style w:type="paragraph" w:customStyle="1" w:styleId="Documenttype">
    <w:name w:val="Document type"/>
    <w:basedOn w:val="Normal"/>
    <w:qFormat/>
    <w:rsid w:val="0065659F"/>
    <w:pPr>
      <w:spacing w:after="360"/>
      <w:jc w:val="left"/>
    </w:pPr>
    <w:rPr>
      <w:sz w:val="44"/>
      <w:szCs w:val="44"/>
    </w:rPr>
  </w:style>
  <w:style w:type="paragraph" w:styleId="Subtitle">
    <w:name w:val="Subtitle"/>
    <w:basedOn w:val="Normal"/>
    <w:next w:val="Normal"/>
    <w:link w:val="SubtitleChar"/>
    <w:rsid w:val="0054338A"/>
    <w:pPr>
      <w:spacing w:after="280"/>
    </w:pPr>
    <w:rPr>
      <w:b/>
      <w:sz w:val="28"/>
      <w:szCs w:val="28"/>
    </w:rPr>
  </w:style>
  <w:style w:type="character" w:customStyle="1" w:styleId="SubtitleChar">
    <w:name w:val="Subtitle Char"/>
    <w:basedOn w:val="DefaultParagraphFont"/>
    <w:link w:val="Subtitle"/>
    <w:rsid w:val="0054338A"/>
    <w:rPr>
      <w:rFonts w:ascii="Times New Roman" w:hAnsi="Times New Roman" w:cs="Times New Roman"/>
      <w:b/>
      <w:sz w:val="28"/>
      <w:szCs w:val="28"/>
      <w:lang w:val="en-GB" w:eastAsia="en-GB"/>
    </w:rPr>
  </w:style>
  <w:style w:type="paragraph" w:customStyle="1" w:styleId="Publicationdate">
    <w:name w:val="Publication date"/>
    <w:basedOn w:val="Subtitle"/>
    <w:qFormat/>
    <w:rsid w:val="0054338A"/>
    <w:pPr>
      <w:spacing w:before="480" w:after="1080"/>
    </w:pPr>
  </w:style>
  <w:style w:type="paragraph" w:customStyle="1" w:styleId="Authors">
    <w:name w:val="Authors"/>
    <w:basedOn w:val="Normal"/>
    <w:qFormat/>
    <w:rsid w:val="00AC4E2D"/>
    <w:pPr>
      <w:spacing w:after="0" w:line="360" w:lineRule="auto"/>
    </w:pPr>
    <w:rPr>
      <w:b/>
    </w:rPr>
  </w:style>
  <w:style w:type="paragraph" w:customStyle="1" w:styleId="Furthercredits">
    <w:name w:val="Further credits"/>
    <w:basedOn w:val="Normal"/>
    <w:qFormat/>
    <w:rsid w:val="0054338A"/>
    <w:pPr>
      <w:spacing w:before="480" w:line="360" w:lineRule="auto"/>
    </w:pPr>
    <w:rPr>
      <w:b/>
    </w:rPr>
  </w:style>
  <w:style w:type="paragraph" w:customStyle="1" w:styleId="Logos">
    <w:name w:val="Logos"/>
    <w:basedOn w:val="Normal"/>
    <w:qFormat/>
    <w:rsid w:val="0054338A"/>
    <w:pPr>
      <w:spacing w:before="1800" w:line="360" w:lineRule="auto"/>
    </w:pPr>
    <w:rPr>
      <w:b/>
      <w:noProof/>
    </w:rPr>
  </w:style>
  <w:style w:type="paragraph" w:styleId="Header">
    <w:name w:val="header"/>
    <w:basedOn w:val="Normal"/>
    <w:link w:val="HeaderChar"/>
    <w:unhideWhenUsed/>
    <w:rsid w:val="0054338A"/>
    <w:pPr>
      <w:tabs>
        <w:tab w:val="center" w:pos="4513"/>
        <w:tab w:val="right" w:pos="9026"/>
      </w:tabs>
    </w:pPr>
  </w:style>
  <w:style w:type="character" w:customStyle="1" w:styleId="HeaderChar">
    <w:name w:val="Header Char"/>
    <w:basedOn w:val="DefaultParagraphFont"/>
    <w:link w:val="Header"/>
    <w:rsid w:val="0054338A"/>
    <w:rPr>
      <w:rFonts w:ascii="Times New Roman" w:hAnsi="Times New Roman" w:cs="Times New Roman"/>
      <w:lang w:val="en-GB" w:eastAsia="en-GB"/>
    </w:rPr>
  </w:style>
  <w:style w:type="paragraph" w:styleId="Quote">
    <w:name w:val="Quote"/>
    <w:basedOn w:val="Normal"/>
    <w:next w:val="Normal"/>
    <w:link w:val="QuoteChar"/>
    <w:rsid w:val="00396190"/>
    <w:pPr>
      <w:spacing w:before="200" w:after="160"/>
      <w:ind w:left="567" w:right="567"/>
      <w:jc w:val="left"/>
    </w:pPr>
    <w:rPr>
      <w:iCs/>
      <w:color w:val="404040" w:themeColor="text1" w:themeTint="BF"/>
      <w:sz w:val="22"/>
    </w:rPr>
  </w:style>
  <w:style w:type="character" w:customStyle="1" w:styleId="QuoteChar">
    <w:name w:val="Quote Char"/>
    <w:basedOn w:val="DefaultParagraphFont"/>
    <w:link w:val="Quote"/>
    <w:rsid w:val="00396190"/>
    <w:rPr>
      <w:rFonts w:ascii="Times New Roman" w:hAnsi="Times New Roman" w:cs="Segoe UI"/>
      <w:iCs/>
      <w:color w:val="404040" w:themeColor="text1" w:themeTint="BF"/>
      <w:sz w:val="22"/>
      <w:lang w:val="en-GB" w:eastAsia="en-GB"/>
    </w:rPr>
  </w:style>
  <w:style w:type="paragraph" w:customStyle="1" w:styleId="Sourceofquote">
    <w:name w:val="Source of quote"/>
    <w:basedOn w:val="Normal"/>
    <w:qFormat/>
    <w:rsid w:val="00D01505"/>
    <w:pPr>
      <w:jc w:val="right"/>
    </w:pPr>
    <w:rPr>
      <w:sz w:val="22"/>
      <w:szCs w:val="22"/>
    </w:rPr>
  </w:style>
  <w:style w:type="paragraph" w:styleId="BlockText">
    <w:name w:val="Block Text"/>
    <w:basedOn w:val="Normal"/>
    <w:rsid w:val="00161356"/>
    <w:pPr>
      <w:pBdr>
        <w:top w:val="single" w:sz="2" w:space="10" w:color="4F81BD" w:themeColor="accent1"/>
        <w:left w:val="single" w:sz="2" w:space="10" w:color="4F81BD" w:themeColor="accent1"/>
        <w:bottom w:val="single" w:sz="2" w:space="10" w:color="4F81BD" w:themeColor="accent1"/>
        <w:right w:val="single" w:sz="2" w:space="31" w:color="4F81BD" w:themeColor="accent1"/>
      </w:pBdr>
      <w:ind w:left="567" w:right="1152"/>
    </w:pPr>
    <w:rPr>
      <w:rFonts w:cs="Times New Roman"/>
      <w:color w:val="000000" w:themeColor="text1"/>
    </w:rPr>
  </w:style>
  <w:style w:type="paragraph" w:customStyle="1" w:styleId="Recommendations">
    <w:name w:val="Recommendations"/>
    <w:basedOn w:val="ListParagraph"/>
    <w:qFormat/>
    <w:rsid w:val="00FE2792"/>
    <w:pPr>
      <w:numPr>
        <w:numId w:val="23"/>
      </w:numPr>
      <w:ind w:left="426" w:hanging="426"/>
    </w:pPr>
  </w:style>
  <w:style w:type="paragraph" w:customStyle="1" w:styleId="Recommendation-sub-paragraph">
    <w:name w:val="Recommendation - sub-paragraph"/>
    <w:basedOn w:val="ListParagraph"/>
    <w:qFormat/>
    <w:rsid w:val="00F50FF8"/>
    <w:pPr>
      <w:numPr>
        <w:numId w:val="24"/>
      </w:numPr>
      <w:ind w:left="1134"/>
    </w:pPr>
  </w:style>
  <w:style w:type="paragraph" w:styleId="EndnoteText">
    <w:name w:val="endnote text"/>
    <w:basedOn w:val="Normal"/>
    <w:link w:val="EndnoteTextChar"/>
    <w:unhideWhenUsed/>
    <w:rsid w:val="00EB2A0D"/>
    <w:pPr>
      <w:spacing w:after="0"/>
    </w:pPr>
  </w:style>
  <w:style w:type="character" w:customStyle="1" w:styleId="EndnoteTextChar">
    <w:name w:val="Endnote Text Char"/>
    <w:basedOn w:val="DefaultParagraphFont"/>
    <w:link w:val="EndnoteText"/>
    <w:rsid w:val="00EB2A0D"/>
    <w:rPr>
      <w:rFonts w:ascii="Times New Roman" w:hAnsi="Times New Roman" w:cs="Segoe UI"/>
      <w:color w:val="212121"/>
      <w:lang w:val="en-GB" w:eastAsia="en-GB"/>
    </w:rPr>
  </w:style>
  <w:style w:type="character" w:styleId="EndnoteReference">
    <w:name w:val="endnote reference"/>
    <w:basedOn w:val="DefaultParagraphFont"/>
    <w:unhideWhenUsed/>
    <w:rsid w:val="00EB2A0D"/>
    <w:rPr>
      <w:vertAlign w:val="superscript"/>
    </w:rPr>
  </w:style>
  <w:style w:type="character" w:customStyle="1" w:styleId="personname">
    <w:name w:val="person_name"/>
    <w:basedOn w:val="DefaultParagraphFont"/>
    <w:rsid w:val="00761A7A"/>
  </w:style>
  <w:style w:type="paragraph" w:customStyle="1" w:styleId="Footer-right">
    <w:name w:val="Footer - right"/>
    <w:basedOn w:val="Footer"/>
    <w:qFormat/>
    <w:rsid w:val="001327B7"/>
    <w:pPr>
      <w:jc w:val="right"/>
    </w:pPr>
  </w:style>
  <w:style w:type="paragraph" w:styleId="BodyText3">
    <w:name w:val="Body Text 3"/>
    <w:basedOn w:val="Normal"/>
    <w:link w:val="BodyText3Char"/>
    <w:unhideWhenUsed/>
    <w:rsid w:val="00AC4E2D"/>
    <w:pPr>
      <w:spacing w:after="120"/>
    </w:pPr>
    <w:rPr>
      <w:sz w:val="16"/>
      <w:szCs w:val="16"/>
    </w:rPr>
  </w:style>
  <w:style w:type="character" w:customStyle="1" w:styleId="BodyText3Char">
    <w:name w:val="Body Text 3 Char"/>
    <w:basedOn w:val="DefaultParagraphFont"/>
    <w:link w:val="BodyText3"/>
    <w:rsid w:val="00AC4E2D"/>
    <w:rPr>
      <w:rFonts w:ascii="Times New Roman" w:hAnsi="Times New Roman" w:cs="Segoe UI"/>
      <w:color w:val="212121"/>
      <w:sz w:val="16"/>
      <w:szCs w:val="16"/>
      <w:lang w:val="en-GB" w:eastAsia="en-GB"/>
    </w:rPr>
  </w:style>
  <w:style w:type="paragraph" w:styleId="BodyText">
    <w:name w:val="Body Text"/>
    <w:basedOn w:val="Normal"/>
    <w:link w:val="BodyTextChar"/>
    <w:unhideWhenUsed/>
    <w:rsid w:val="00AC4E2D"/>
    <w:pPr>
      <w:spacing w:after="120"/>
    </w:pPr>
  </w:style>
  <w:style w:type="character" w:customStyle="1" w:styleId="BodyTextChar">
    <w:name w:val="Body Text Char"/>
    <w:basedOn w:val="DefaultParagraphFont"/>
    <w:link w:val="BodyText"/>
    <w:rsid w:val="00AC4E2D"/>
    <w:rPr>
      <w:rFonts w:ascii="Times New Roman" w:hAnsi="Times New Roman" w:cs="Segoe UI"/>
      <w:color w:val="212121"/>
      <w:lang w:val="en-GB" w:eastAsia="en-GB"/>
    </w:rPr>
  </w:style>
  <w:style w:type="character" w:customStyle="1" w:styleId="UnresolvedMention2">
    <w:name w:val="Unresolved Mention2"/>
    <w:basedOn w:val="DefaultParagraphFont"/>
    <w:rsid w:val="00F67524"/>
    <w:rPr>
      <w:color w:val="808080"/>
      <w:shd w:val="clear" w:color="auto" w:fill="E6E6E6"/>
    </w:rPr>
  </w:style>
  <w:style w:type="paragraph" w:styleId="Bibliography">
    <w:name w:val="Bibliography"/>
    <w:basedOn w:val="Normal"/>
    <w:next w:val="Normal"/>
    <w:unhideWhenUsed/>
    <w:rsid w:val="005251DC"/>
    <w:pPr>
      <w:keepLines/>
      <w:ind w:left="851" w:hanging="85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5288">
      <w:bodyDiv w:val="1"/>
      <w:marLeft w:val="0"/>
      <w:marRight w:val="0"/>
      <w:marTop w:val="0"/>
      <w:marBottom w:val="0"/>
      <w:divBdr>
        <w:top w:val="none" w:sz="0" w:space="0" w:color="auto"/>
        <w:left w:val="none" w:sz="0" w:space="0" w:color="auto"/>
        <w:bottom w:val="none" w:sz="0" w:space="0" w:color="auto"/>
        <w:right w:val="none" w:sz="0" w:space="0" w:color="auto"/>
      </w:divBdr>
    </w:div>
    <w:div w:id="86343081">
      <w:bodyDiv w:val="1"/>
      <w:marLeft w:val="0"/>
      <w:marRight w:val="0"/>
      <w:marTop w:val="0"/>
      <w:marBottom w:val="0"/>
      <w:divBdr>
        <w:top w:val="none" w:sz="0" w:space="0" w:color="auto"/>
        <w:left w:val="none" w:sz="0" w:space="0" w:color="auto"/>
        <w:bottom w:val="none" w:sz="0" w:space="0" w:color="auto"/>
        <w:right w:val="none" w:sz="0" w:space="0" w:color="auto"/>
      </w:divBdr>
    </w:div>
    <w:div w:id="115876532">
      <w:bodyDiv w:val="1"/>
      <w:marLeft w:val="0"/>
      <w:marRight w:val="0"/>
      <w:marTop w:val="0"/>
      <w:marBottom w:val="0"/>
      <w:divBdr>
        <w:top w:val="none" w:sz="0" w:space="0" w:color="auto"/>
        <w:left w:val="none" w:sz="0" w:space="0" w:color="auto"/>
        <w:bottom w:val="none" w:sz="0" w:space="0" w:color="auto"/>
        <w:right w:val="none" w:sz="0" w:space="0" w:color="auto"/>
      </w:divBdr>
    </w:div>
    <w:div w:id="144589997">
      <w:bodyDiv w:val="1"/>
      <w:marLeft w:val="0"/>
      <w:marRight w:val="0"/>
      <w:marTop w:val="0"/>
      <w:marBottom w:val="0"/>
      <w:divBdr>
        <w:top w:val="none" w:sz="0" w:space="0" w:color="auto"/>
        <w:left w:val="none" w:sz="0" w:space="0" w:color="auto"/>
        <w:bottom w:val="none" w:sz="0" w:space="0" w:color="auto"/>
        <w:right w:val="none" w:sz="0" w:space="0" w:color="auto"/>
      </w:divBdr>
    </w:div>
    <w:div w:id="177307085">
      <w:bodyDiv w:val="1"/>
      <w:marLeft w:val="0"/>
      <w:marRight w:val="0"/>
      <w:marTop w:val="0"/>
      <w:marBottom w:val="0"/>
      <w:divBdr>
        <w:top w:val="none" w:sz="0" w:space="0" w:color="auto"/>
        <w:left w:val="none" w:sz="0" w:space="0" w:color="auto"/>
        <w:bottom w:val="none" w:sz="0" w:space="0" w:color="auto"/>
        <w:right w:val="none" w:sz="0" w:space="0" w:color="auto"/>
      </w:divBdr>
    </w:div>
    <w:div w:id="177697864">
      <w:bodyDiv w:val="1"/>
      <w:marLeft w:val="0"/>
      <w:marRight w:val="0"/>
      <w:marTop w:val="0"/>
      <w:marBottom w:val="0"/>
      <w:divBdr>
        <w:top w:val="none" w:sz="0" w:space="0" w:color="auto"/>
        <w:left w:val="none" w:sz="0" w:space="0" w:color="auto"/>
        <w:bottom w:val="none" w:sz="0" w:space="0" w:color="auto"/>
        <w:right w:val="none" w:sz="0" w:space="0" w:color="auto"/>
      </w:divBdr>
    </w:div>
    <w:div w:id="198862293">
      <w:bodyDiv w:val="1"/>
      <w:marLeft w:val="0"/>
      <w:marRight w:val="0"/>
      <w:marTop w:val="0"/>
      <w:marBottom w:val="0"/>
      <w:divBdr>
        <w:top w:val="none" w:sz="0" w:space="0" w:color="auto"/>
        <w:left w:val="none" w:sz="0" w:space="0" w:color="auto"/>
        <w:bottom w:val="none" w:sz="0" w:space="0" w:color="auto"/>
        <w:right w:val="none" w:sz="0" w:space="0" w:color="auto"/>
      </w:divBdr>
    </w:div>
    <w:div w:id="212275877">
      <w:bodyDiv w:val="1"/>
      <w:marLeft w:val="0"/>
      <w:marRight w:val="0"/>
      <w:marTop w:val="0"/>
      <w:marBottom w:val="0"/>
      <w:divBdr>
        <w:top w:val="none" w:sz="0" w:space="0" w:color="auto"/>
        <w:left w:val="none" w:sz="0" w:space="0" w:color="auto"/>
        <w:bottom w:val="none" w:sz="0" w:space="0" w:color="auto"/>
        <w:right w:val="none" w:sz="0" w:space="0" w:color="auto"/>
      </w:divBdr>
    </w:div>
    <w:div w:id="237205007">
      <w:bodyDiv w:val="1"/>
      <w:marLeft w:val="0"/>
      <w:marRight w:val="0"/>
      <w:marTop w:val="0"/>
      <w:marBottom w:val="0"/>
      <w:divBdr>
        <w:top w:val="none" w:sz="0" w:space="0" w:color="auto"/>
        <w:left w:val="none" w:sz="0" w:space="0" w:color="auto"/>
        <w:bottom w:val="none" w:sz="0" w:space="0" w:color="auto"/>
        <w:right w:val="none" w:sz="0" w:space="0" w:color="auto"/>
      </w:divBdr>
    </w:div>
    <w:div w:id="237862074">
      <w:bodyDiv w:val="1"/>
      <w:marLeft w:val="0"/>
      <w:marRight w:val="0"/>
      <w:marTop w:val="0"/>
      <w:marBottom w:val="0"/>
      <w:divBdr>
        <w:top w:val="none" w:sz="0" w:space="0" w:color="auto"/>
        <w:left w:val="none" w:sz="0" w:space="0" w:color="auto"/>
        <w:bottom w:val="none" w:sz="0" w:space="0" w:color="auto"/>
        <w:right w:val="none" w:sz="0" w:space="0" w:color="auto"/>
      </w:divBdr>
    </w:div>
    <w:div w:id="249312654">
      <w:bodyDiv w:val="1"/>
      <w:marLeft w:val="0"/>
      <w:marRight w:val="0"/>
      <w:marTop w:val="0"/>
      <w:marBottom w:val="0"/>
      <w:divBdr>
        <w:top w:val="none" w:sz="0" w:space="0" w:color="auto"/>
        <w:left w:val="none" w:sz="0" w:space="0" w:color="auto"/>
        <w:bottom w:val="none" w:sz="0" w:space="0" w:color="auto"/>
        <w:right w:val="none" w:sz="0" w:space="0" w:color="auto"/>
      </w:divBdr>
    </w:div>
    <w:div w:id="287778223">
      <w:bodyDiv w:val="1"/>
      <w:marLeft w:val="0"/>
      <w:marRight w:val="0"/>
      <w:marTop w:val="0"/>
      <w:marBottom w:val="0"/>
      <w:divBdr>
        <w:top w:val="none" w:sz="0" w:space="0" w:color="auto"/>
        <w:left w:val="none" w:sz="0" w:space="0" w:color="auto"/>
        <w:bottom w:val="none" w:sz="0" w:space="0" w:color="auto"/>
        <w:right w:val="none" w:sz="0" w:space="0" w:color="auto"/>
      </w:divBdr>
    </w:div>
    <w:div w:id="298876331">
      <w:bodyDiv w:val="1"/>
      <w:marLeft w:val="0"/>
      <w:marRight w:val="0"/>
      <w:marTop w:val="0"/>
      <w:marBottom w:val="0"/>
      <w:divBdr>
        <w:top w:val="none" w:sz="0" w:space="0" w:color="auto"/>
        <w:left w:val="none" w:sz="0" w:space="0" w:color="auto"/>
        <w:bottom w:val="none" w:sz="0" w:space="0" w:color="auto"/>
        <w:right w:val="none" w:sz="0" w:space="0" w:color="auto"/>
      </w:divBdr>
    </w:div>
    <w:div w:id="299921559">
      <w:bodyDiv w:val="1"/>
      <w:marLeft w:val="0"/>
      <w:marRight w:val="0"/>
      <w:marTop w:val="0"/>
      <w:marBottom w:val="0"/>
      <w:divBdr>
        <w:top w:val="none" w:sz="0" w:space="0" w:color="auto"/>
        <w:left w:val="none" w:sz="0" w:space="0" w:color="auto"/>
        <w:bottom w:val="none" w:sz="0" w:space="0" w:color="auto"/>
        <w:right w:val="none" w:sz="0" w:space="0" w:color="auto"/>
      </w:divBdr>
    </w:div>
    <w:div w:id="309411016">
      <w:bodyDiv w:val="1"/>
      <w:marLeft w:val="0"/>
      <w:marRight w:val="0"/>
      <w:marTop w:val="0"/>
      <w:marBottom w:val="0"/>
      <w:divBdr>
        <w:top w:val="none" w:sz="0" w:space="0" w:color="auto"/>
        <w:left w:val="none" w:sz="0" w:space="0" w:color="auto"/>
        <w:bottom w:val="none" w:sz="0" w:space="0" w:color="auto"/>
        <w:right w:val="none" w:sz="0" w:space="0" w:color="auto"/>
      </w:divBdr>
    </w:div>
    <w:div w:id="346373038">
      <w:bodyDiv w:val="1"/>
      <w:marLeft w:val="0"/>
      <w:marRight w:val="0"/>
      <w:marTop w:val="0"/>
      <w:marBottom w:val="0"/>
      <w:divBdr>
        <w:top w:val="none" w:sz="0" w:space="0" w:color="auto"/>
        <w:left w:val="none" w:sz="0" w:space="0" w:color="auto"/>
        <w:bottom w:val="none" w:sz="0" w:space="0" w:color="auto"/>
        <w:right w:val="none" w:sz="0" w:space="0" w:color="auto"/>
      </w:divBdr>
    </w:div>
    <w:div w:id="372195716">
      <w:bodyDiv w:val="1"/>
      <w:marLeft w:val="0"/>
      <w:marRight w:val="0"/>
      <w:marTop w:val="0"/>
      <w:marBottom w:val="0"/>
      <w:divBdr>
        <w:top w:val="none" w:sz="0" w:space="0" w:color="auto"/>
        <w:left w:val="none" w:sz="0" w:space="0" w:color="auto"/>
        <w:bottom w:val="none" w:sz="0" w:space="0" w:color="auto"/>
        <w:right w:val="none" w:sz="0" w:space="0" w:color="auto"/>
      </w:divBdr>
    </w:div>
    <w:div w:id="387607453">
      <w:bodyDiv w:val="1"/>
      <w:marLeft w:val="0"/>
      <w:marRight w:val="0"/>
      <w:marTop w:val="0"/>
      <w:marBottom w:val="0"/>
      <w:divBdr>
        <w:top w:val="none" w:sz="0" w:space="0" w:color="auto"/>
        <w:left w:val="none" w:sz="0" w:space="0" w:color="auto"/>
        <w:bottom w:val="none" w:sz="0" w:space="0" w:color="auto"/>
        <w:right w:val="none" w:sz="0" w:space="0" w:color="auto"/>
      </w:divBdr>
    </w:div>
    <w:div w:id="414009418">
      <w:bodyDiv w:val="1"/>
      <w:marLeft w:val="0"/>
      <w:marRight w:val="0"/>
      <w:marTop w:val="0"/>
      <w:marBottom w:val="0"/>
      <w:divBdr>
        <w:top w:val="none" w:sz="0" w:space="0" w:color="auto"/>
        <w:left w:val="none" w:sz="0" w:space="0" w:color="auto"/>
        <w:bottom w:val="none" w:sz="0" w:space="0" w:color="auto"/>
        <w:right w:val="none" w:sz="0" w:space="0" w:color="auto"/>
      </w:divBdr>
    </w:div>
    <w:div w:id="441462688">
      <w:bodyDiv w:val="1"/>
      <w:marLeft w:val="0"/>
      <w:marRight w:val="0"/>
      <w:marTop w:val="0"/>
      <w:marBottom w:val="0"/>
      <w:divBdr>
        <w:top w:val="none" w:sz="0" w:space="0" w:color="auto"/>
        <w:left w:val="none" w:sz="0" w:space="0" w:color="auto"/>
        <w:bottom w:val="none" w:sz="0" w:space="0" w:color="auto"/>
        <w:right w:val="none" w:sz="0" w:space="0" w:color="auto"/>
      </w:divBdr>
    </w:div>
    <w:div w:id="457917369">
      <w:bodyDiv w:val="1"/>
      <w:marLeft w:val="0"/>
      <w:marRight w:val="0"/>
      <w:marTop w:val="0"/>
      <w:marBottom w:val="0"/>
      <w:divBdr>
        <w:top w:val="none" w:sz="0" w:space="0" w:color="auto"/>
        <w:left w:val="none" w:sz="0" w:space="0" w:color="auto"/>
        <w:bottom w:val="none" w:sz="0" w:space="0" w:color="auto"/>
        <w:right w:val="none" w:sz="0" w:space="0" w:color="auto"/>
      </w:divBdr>
    </w:div>
    <w:div w:id="479462817">
      <w:bodyDiv w:val="1"/>
      <w:marLeft w:val="0"/>
      <w:marRight w:val="0"/>
      <w:marTop w:val="0"/>
      <w:marBottom w:val="0"/>
      <w:divBdr>
        <w:top w:val="none" w:sz="0" w:space="0" w:color="auto"/>
        <w:left w:val="none" w:sz="0" w:space="0" w:color="auto"/>
        <w:bottom w:val="none" w:sz="0" w:space="0" w:color="auto"/>
        <w:right w:val="none" w:sz="0" w:space="0" w:color="auto"/>
      </w:divBdr>
    </w:div>
    <w:div w:id="527910538">
      <w:bodyDiv w:val="1"/>
      <w:marLeft w:val="0"/>
      <w:marRight w:val="0"/>
      <w:marTop w:val="0"/>
      <w:marBottom w:val="0"/>
      <w:divBdr>
        <w:top w:val="none" w:sz="0" w:space="0" w:color="auto"/>
        <w:left w:val="none" w:sz="0" w:space="0" w:color="auto"/>
        <w:bottom w:val="none" w:sz="0" w:space="0" w:color="auto"/>
        <w:right w:val="none" w:sz="0" w:space="0" w:color="auto"/>
      </w:divBdr>
    </w:div>
    <w:div w:id="572737904">
      <w:bodyDiv w:val="1"/>
      <w:marLeft w:val="0"/>
      <w:marRight w:val="0"/>
      <w:marTop w:val="0"/>
      <w:marBottom w:val="0"/>
      <w:divBdr>
        <w:top w:val="none" w:sz="0" w:space="0" w:color="auto"/>
        <w:left w:val="none" w:sz="0" w:space="0" w:color="auto"/>
        <w:bottom w:val="none" w:sz="0" w:space="0" w:color="auto"/>
        <w:right w:val="none" w:sz="0" w:space="0" w:color="auto"/>
      </w:divBdr>
    </w:div>
    <w:div w:id="615449667">
      <w:bodyDiv w:val="1"/>
      <w:marLeft w:val="0"/>
      <w:marRight w:val="0"/>
      <w:marTop w:val="0"/>
      <w:marBottom w:val="0"/>
      <w:divBdr>
        <w:top w:val="none" w:sz="0" w:space="0" w:color="auto"/>
        <w:left w:val="none" w:sz="0" w:space="0" w:color="auto"/>
        <w:bottom w:val="none" w:sz="0" w:space="0" w:color="auto"/>
        <w:right w:val="none" w:sz="0" w:space="0" w:color="auto"/>
      </w:divBdr>
    </w:div>
    <w:div w:id="631322726">
      <w:bodyDiv w:val="1"/>
      <w:marLeft w:val="0"/>
      <w:marRight w:val="0"/>
      <w:marTop w:val="0"/>
      <w:marBottom w:val="0"/>
      <w:divBdr>
        <w:top w:val="none" w:sz="0" w:space="0" w:color="auto"/>
        <w:left w:val="none" w:sz="0" w:space="0" w:color="auto"/>
        <w:bottom w:val="none" w:sz="0" w:space="0" w:color="auto"/>
        <w:right w:val="none" w:sz="0" w:space="0" w:color="auto"/>
      </w:divBdr>
    </w:div>
    <w:div w:id="655572810">
      <w:bodyDiv w:val="1"/>
      <w:marLeft w:val="0"/>
      <w:marRight w:val="0"/>
      <w:marTop w:val="0"/>
      <w:marBottom w:val="0"/>
      <w:divBdr>
        <w:top w:val="none" w:sz="0" w:space="0" w:color="auto"/>
        <w:left w:val="none" w:sz="0" w:space="0" w:color="auto"/>
        <w:bottom w:val="none" w:sz="0" w:space="0" w:color="auto"/>
        <w:right w:val="none" w:sz="0" w:space="0" w:color="auto"/>
      </w:divBdr>
    </w:div>
    <w:div w:id="664821383">
      <w:bodyDiv w:val="1"/>
      <w:marLeft w:val="0"/>
      <w:marRight w:val="0"/>
      <w:marTop w:val="0"/>
      <w:marBottom w:val="0"/>
      <w:divBdr>
        <w:top w:val="none" w:sz="0" w:space="0" w:color="auto"/>
        <w:left w:val="none" w:sz="0" w:space="0" w:color="auto"/>
        <w:bottom w:val="none" w:sz="0" w:space="0" w:color="auto"/>
        <w:right w:val="none" w:sz="0" w:space="0" w:color="auto"/>
      </w:divBdr>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120"/>
          <w:divBdr>
            <w:top w:val="none" w:sz="0" w:space="0" w:color="auto"/>
            <w:left w:val="none" w:sz="0" w:space="0" w:color="auto"/>
            <w:bottom w:val="none" w:sz="0" w:space="0" w:color="auto"/>
            <w:right w:val="none" w:sz="0" w:space="0" w:color="auto"/>
          </w:divBdr>
        </w:div>
      </w:divsChild>
    </w:div>
    <w:div w:id="763722203">
      <w:bodyDiv w:val="1"/>
      <w:marLeft w:val="0"/>
      <w:marRight w:val="0"/>
      <w:marTop w:val="0"/>
      <w:marBottom w:val="0"/>
      <w:divBdr>
        <w:top w:val="none" w:sz="0" w:space="0" w:color="auto"/>
        <w:left w:val="none" w:sz="0" w:space="0" w:color="auto"/>
        <w:bottom w:val="none" w:sz="0" w:space="0" w:color="auto"/>
        <w:right w:val="none" w:sz="0" w:space="0" w:color="auto"/>
      </w:divBdr>
    </w:div>
    <w:div w:id="817191527">
      <w:bodyDiv w:val="1"/>
      <w:marLeft w:val="0"/>
      <w:marRight w:val="0"/>
      <w:marTop w:val="0"/>
      <w:marBottom w:val="0"/>
      <w:divBdr>
        <w:top w:val="none" w:sz="0" w:space="0" w:color="auto"/>
        <w:left w:val="none" w:sz="0" w:space="0" w:color="auto"/>
        <w:bottom w:val="none" w:sz="0" w:space="0" w:color="auto"/>
        <w:right w:val="none" w:sz="0" w:space="0" w:color="auto"/>
      </w:divBdr>
      <w:divsChild>
        <w:div w:id="1350135463">
          <w:marLeft w:val="0"/>
          <w:marRight w:val="0"/>
          <w:marTop w:val="0"/>
          <w:marBottom w:val="0"/>
          <w:divBdr>
            <w:top w:val="none" w:sz="0" w:space="0" w:color="auto"/>
            <w:left w:val="none" w:sz="0" w:space="0" w:color="auto"/>
            <w:bottom w:val="none" w:sz="0" w:space="0" w:color="auto"/>
            <w:right w:val="none" w:sz="0" w:space="0" w:color="auto"/>
          </w:divBdr>
          <w:divsChild>
            <w:div w:id="1752966342">
              <w:marLeft w:val="0"/>
              <w:marRight w:val="0"/>
              <w:marTop w:val="0"/>
              <w:marBottom w:val="0"/>
              <w:divBdr>
                <w:top w:val="none" w:sz="0" w:space="0" w:color="auto"/>
                <w:left w:val="none" w:sz="0" w:space="0" w:color="auto"/>
                <w:bottom w:val="none" w:sz="0" w:space="0" w:color="auto"/>
                <w:right w:val="none" w:sz="0" w:space="0" w:color="auto"/>
              </w:divBdr>
              <w:divsChild>
                <w:div w:id="5741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4501">
      <w:bodyDiv w:val="1"/>
      <w:marLeft w:val="0"/>
      <w:marRight w:val="0"/>
      <w:marTop w:val="0"/>
      <w:marBottom w:val="0"/>
      <w:divBdr>
        <w:top w:val="none" w:sz="0" w:space="0" w:color="auto"/>
        <w:left w:val="none" w:sz="0" w:space="0" w:color="auto"/>
        <w:bottom w:val="none" w:sz="0" w:space="0" w:color="auto"/>
        <w:right w:val="none" w:sz="0" w:space="0" w:color="auto"/>
      </w:divBdr>
    </w:div>
    <w:div w:id="898788980">
      <w:bodyDiv w:val="1"/>
      <w:marLeft w:val="0"/>
      <w:marRight w:val="0"/>
      <w:marTop w:val="0"/>
      <w:marBottom w:val="0"/>
      <w:divBdr>
        <w:top w:val="none" w:sz="0" w:space="0" w:color="auto"/>
        <w:left w:val="none" w:sz="0" w:space="0" w:color="auto"/>
        <w:bottom w:val="none" w:sz="0" w:space="0" w:color="auto"/>
        <w:right w:val="none" w:sz="0" w:space="0" w:color="auto"/>
      </w:divBdr>
    </w:div>
    <w:div w:id="908804582">
      <w:bodyDiv w:val="1"/>
      <w:marLeft w:val="0"/>
      <w:marRight w:val="0"/>
      <w:marTop w:val="0"/>
      <w:marBottom w:val="0"/>
      <w:divBdr>
        <w:top w:val="none" w:sz="0" w:space="0" w:color="auto"/>
        <w:left w:val="none" w:sz="0" w:space="0" w:color="auto"/>
        <w:bottom w:val="none" w:sz="0" w:space="0" w:color="auto"/>
        <w:right w:val="none" w:sz="0" w:space="0" w:color="auto"/>
      </w:divBdr>
    </w:div>
    <w:div w:id="913779508">
      <w:bodyDiv w:val="1"/>
      <w:marLeft w:val="0"/>
      <w:marRight w:val="0"/>
      <w:marTop w:val="0"/>
      <w:marBottom w:val="0"/>
      <w:divBdr>
        <w:top w:val="none" w:sz="0" w:space="0" w:color="auto"/>
        <w:left w:val="none" w:sz="0" w:space="0" w:color="auto"/>
        <w:bottom w:val="none" w:sz="0" w:space="0" w:color="auto"/>
        <w:right w:val="none" w:sz="0" w:space="0" w:color="auto"/>
      </w:divBdr>
    </w:div>
    <w:div w:id="913860269">
      <w:bodyDiv w:val="1"/>
      <w:marLeft w:val="0"/>
      <w:marRight w:val="0"/>
      <w:marTop w:val="0"/>
      <w:marBottom w:val="0"/>
      <w:divBdr>
        <w:top w:val="none" w:sz="0" w:space="0" w:color="auto"/>
        <w:left w:val="none" w:sz="0" w:space="0" w:color="auto"/>
        <w:bottom w:val="none" w:sz="0" w:space="0" w:color="auto"/>
        <w:right w:val="none" w:sz="0" w:space="0" w:color="auto"/>
      </w:divBdr>
    </w:div>
    <w:div w:id="920723363">
      <w:bodyDiv w:val="1"/>
      <w:marLeft w:val="0"/>
      <w:marRight w:val="0"/>
      <w:marTop w:val="0"/>
      <w:marBottom w:val="0"/>
      <w:divBdr>
        <w:top w:val="none" w:sz="0" w:space="0" w:color="auto"/>
        <w:left w:val="none" w:sz="0" w:space="0" w:color="auto"/>
        <w:bottom w:val="none" w:sz="0" w:space="0" w:color="auto"/>
        <w:right w:val="none" w:sz="0" w:space="0" w:color="auto"/>
      </w:divBdr>
      <w:divsChild>
        <w:div w:id="915550800">
          <w:marLeft w:val="169"/>
          <w:marRight w:val="169"/>
          <w:marTop w:val="0"/>
          <w:marBottom w:val="0"/>
          <w:divBdr>
            <w:top w:val="none" w:sz="0" w:space="0" w:color="auto"/>
            <w:left w:val="none" w:sz="0" w:space="0" w:color="auto"/>
            <w:bottom w:val="none" w:sz="0" w:space="0" w:color="auto"/>
            <w:right w:val="none" w:sz="0" w:space="0" w:color="auto"/>
          </w:divBdr>
          <w:divsChild>
            <w:div w:id="125046897">
              <w:marLeft w:val="0"/>
              <w:marRight w:val="0"/>
              <w:marTop w:val="0"/>
              <w:marBottom w:val="360"/>
              <w:divBdr>
                <w:top w:val="none" w:sz="0" w:space="0" w:color="auto"/>
                <w:left w:val="none" w:sz="0" w:space="0" w:color="auto"/>
                <w:bottom w:val="none" w:sz="0" w:space="0" w:color="auto"/>
                <w:right w:val="none" w:sz="0" w:space="0" w:color="auto"/>
              </w:divBdr>
              <w:divsChild>
                <w:div w:id="1611352591">
                  <w:marLeft w:val="0"/>
                  <w:marRight w:val="0"/>
                  <w:marTop w:val="0"/>
                  <w:marBottom w:val="0"/>
                  <w:divBdr>
                    <w:top w:val="none" w:sz="0" w:space="0" w:color="auto"/>
                    <w:left w:val="none" w:sz="0" w:space="0" w:color="auto"/>
                    <w:bottom w:val="none" w:sz="0" w:space="0" w:color="auto"/>
                    <w:right w:val="none" w:sz="0" w:space="0" w:color="auto"/>
                  </w:divBdr>
                </w:div>
                <w:div w:id="1702196699">
                  <w:marLeft w:val="0"/>
                  <w:marRight w:val="0"/>
                  <w:marTop w:val="0"/>
                  <w:marBottom w:val="0"/>
                  <w:divBdr>
                    <w:top w:val="none" w:sz="0" w:space="0" w:color="auto"/>
                    <w:left w:val="none" w:sz="0" w:space="0" w:color="auto"/>
                    <w:bottom w:val="none" w:sz="0" w:space="0" w:color="auto"/>
                    <w:right w:val="none" w:sz="0" w:space="0" w:color="auto"/>
                  </w:divBdr>
                  <w:divsChild>
                    <w:div w:id="820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73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7327071">
      <w:bodyDiv w:val="1"/>
      <w:marLeft w:val="0"/>
      <w:marRight w:val="0"/>
      <w:marTop w:val="0"/>
      <w:marBottom w:val="0"/>
      <w:divBdr>
        <w:top w:val="none" w:sz="0" w:space="0" w:color="auto"/>
        <w:left w:val="none" w:sz="0" w:space="0" w:color="auto"/>
        <w:bottom w:val="none" w:sz="0" w:space="0" w:color="auto"/>
        <w:right w:val="none" w:sz="0" w:space="0" w:color="auto"/>
      </w:divBdr>
    </w:div>
    <w:div w:id="998768933">
      <w:bodyDiv w:val="1"/>
      <w:marLeft w:val="0"/>
      <w:marRight w:val="0"/>
      <w:marTop w:val="0"/>
      <w:marBottom w:val="0"/>
      <w:divBdr>
        <w:top w:val="none" w:sz="0" w:space="0" w:color="auto"/>
        <w:left w:val="none" w:sz="0" w:space="0" w:color="auto"/>
        <w:bottom w:val="none" w:sz="0" w:space="0" w:color="auto"/>
        <w:right w:val="none" w:sz="0" w:space="0" w:color="auto"/>
      </w:divBdr>
    </w:div>
    <w:div w:id="1007096010">
      <w:bodyDiv w:val="1"/>
      <w:marLeft w:val="0"/>
      <w:marRight w:val="0"/>
      <w:marTop w:val="0"/>
      <w:marBottom w:val="0"/>
      <w:divBdr>
        <w:top w:val="none" w:sz="0" w:space="0" w:color="auto"/>
        <w:left w:val="none" w:sz="0" w:space="0" w:color="auto"/>
        <w:bottom w:val="none" w:sz="0" w:space="0" w:color="auto"/>
        <w:right w:val="none" w:sz="0" w:space="0" w:color="auto"/>
      </w:divBdr>
    </w:div>
    <w:div w:id="1035279085">
      <w:bodyDiv w:val="1"/>
      <w:marLeft w:val="0"/>
      <w:marRight w:val="0"/>
      <w:marTop w:val="0"/>
      <w:marBottom w:val="0"/>
      <w:divBdr>
        <w:top w:val="none" w:sz="0" w:space="0" w:color="auto"/>
        <w:left w:val="none" w:sz="0" w:space="0" w:color="auto"/>
        <w:bottom w:val="none" w:sz="0" w:space="0" w:color="auto"/>
        <w:right w:val="none" w:sz="0" w:space="0" w:color="auto"/>
      </w:divBdr>
    </w:div>
    <w:div w:id="1039935448">
      <w:bodyDiv w:val="1"/>
      <w:marLeft w:val="0"/>
      <w:marRight w:val="0"/>
      <w:marTop w:val="0"/>
      <w:marBottom w:val="0"/>
      <w:divBdr>
        <w:top w:val="none" w:sz="0" w:space="0" w:color="auto"/>
        <w:left w:val="none" w:sz="0" w:space="0" w:color="auto"/>
        <w:bottom w:val="none" w:sz="0" w:space="0" w:color="auto"/>
        <w:right w:val="none" w:sz="0" w:space="0" w:color="auto"/>
      </w:divBdr>
    </w:div>
    <w:div w:id="1059282442">
      <w:bodyDiv w:val="1"/>
      <w:marLeft w:val="0"/>
      <w:marRight w:val="0"/>
      <w:marTop w:val="0"/>
      <w:marBottom w:val="0"/>
      <w:divBdr>
        <w:top w:val="none" w:sz="0" w:space="0" w:color="auto"/>
        <w:left w:val="none" w:sz="0" w:space="0" w:color="auto"/>
        <w:bottom w:val="none" w:sz="0" w:space="0" w:color="auto"/>
        <w:right w:val="none" w:sz="0" w:space="0" w:color="auto"/>
      </w:divBdr>
    </w:div>
    <w:div w:id="1083457781">
      <w:bodyDiv w:val="1"/>
      <w:marLeft w:val="0"/>
      <w:marRight w:val="0"/>
      <w:marTop w:val="0"/>
      <w:marBottom w:val="0"/>
      <w:divBdr>
        <w:top w:val="none" w:sz="0" w:space="0" w:color="auto"/>
        <w:left w:val="none" w:sz="0" w:space="0" w:color="auto"/>
        <w:bottom w:val="none" w:sz="0" w:space="0" w:color="auto"/>
        <w:right w:val="none" w:sz="0" w:space="0" w:color="auto"/>
      </w:divBdr>
    </w:div>
    <w:div w:id="1092050697">
      <w:bodyDiv w:val="1"/>
      <w:marLeft w:val="0"/>
      <w:marRight w:val="0"/>
      <w:marTop w:val="0"/>
      <w:marBottom w:val="0"/>
      <w:divBdr>
        <w:top w:val="none" w:sz="0" w:space="0" w:color="auto"/>
        <w:left w:val="none" w:sz="0" w:space="0" w:color="auto"/>
        <w:bottom w:val="none" w:sz="0" w:space="0" w:color="auto"/>
        <w:right w:val="none" w:sz="0" w:space="0" w:color="auto"/>
      </w:divBdr>
    </w:div>
    <w:div w:id="1109276848">
      <w:bodyDiv w:val="1"/>
      <w:marLeft w:val="0"/>
      <w:marRight w:val="0"/>
      <w:marTop w:val="0"/>
      <w:marBottom w:val="0"/>
      <w:divBdr>
        <w:top w:val="none" w:sz="0" w:space="0" w:color="auto"/>
        <w:left w:val="none" w:sz="0" w:space="0" w:color="auto"/>
        <w:bottom w:val="none" w:sz="0" w:space="0" w:color="auto"/>
        <w:right w:val="none" w:sz="0" w:space="0" w:color="auto"/>
      </w:divBdr>
    </w:div>
    <w:div w:id="1194154732">
      <w:bodyDiv w:val="1"/>
      <w:marLeft w:val="0"/>
      <w:marRight w:val="0"/>
      <w:marTop w:val="0"/>
      <w:marBottom w:val="0"/>
      <w:divBdr>
        <w:top w:val="none" w:sz="0" w:space="0" w:color="auto"/>
        <w:left w:val="none" w:sz="0" w:space="0" w:color="auto"/>
        <w:bottom w:val="none" w:sz="0" w:space="0" w:color="auto"/>
        <w:right w:val="none" w:sz="0" w:space="0" w:color="auto"/>
      </w:divBdr>
    </w:div>
    <w:div w:id="1209300316">
      <w:bodyDiv w:val="1"/>
      <w:marLeft w:val="0"/>
      <w:marRight w:val="0"/>
      <w:marTop w:val="0"/>
      <w:marBottom w:val="0"/>
      <w:divBdr>
        <w:top w:val="none" w:sz="0" w:space="0" w:color="auto"/>
        <w:left w:val="none" w:sz="0" w:space="0" w:color="auto"/>
        <w:bottom w:val="none" w:sz="0" w:space="0" w:color="auto"/>
        <w:right w:val="none" w:sz="0" w:space="0" w:color="auto"/>
      </w:divBdr>
      <w:divsChild>
        <w:div w:id="349182392">
          <w:marLeft w:val="0"/>
          <w:marRight w:val="0"/>
          <w:marTop w:val="0"/>
          <w:marBottom w:val="0"/>
          <w:divBdr>
            <w:top w:val="none" w:sz="0" w:space="0" w:color="auto"/>
            <w:left w:val="none" w:sz="0" w:space="0" w:color="auto"/>
            <w:bottom w:val="none" w:sz="0" w:space="0" w:color="auto"/>
            <w:right w:val="none" w:sz="0" w:space="0" w:color="auto"/>
          </w:divBdr>
          <w:divsChild>
            <w:div w:id="242960143">
              <w:marLeft w:val="0"/>
              <w:marRight w:val="0"/>
              <w:marTop w:val="0"/>
              <w:marBottom w:val="0"/>
              <w:divBdr>
                <w:top w:val="none" w:sz="0" w:space="0" w:color="auto"/>
                <w:left w:val="none" w:sz="0" w:space="0" w:color="auto"/>
                <w:bottom w:val="none" w:sz="0" w:space="0" w:color="auto"/>
                <w:right w:val="none" w:sz="0" w:space="0" w:color="auto"/>
              </w:divBdr>
              <w:divsChild>
                <w:div w:id="671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7942">
      <w:bodyDiv w:val="1"/>
      <w:marLeft w:val="0"/>
      <w:marRight w:val="0"/>
      <w:marTop w:val="0"/>
      <w:marBottom w:val="0"/>
      <w:divBdr>
        <w:top w:val="none" w:sz="0" w:space="0" w:color="auto"/>
        <w:left w:val="none" w:sz="0" w:space="0" w:color="auto"/>
        <w:bottom w:val="none" w:sz="0" w:space="0" w:color="auto"/>
        <w:right w:val="none" w:sz="0" w:space="0" w:color="auto"/>
      </w:divBdr>
    </w:div>
    <w:div w:id="1264995495">
      <w:bodyDiv w:val="1"/>
      <w:marLeft w:val="0"/>
      <w:marRight w:val="0"/>
      <w:marTop w:val="0"/>
      <w:marBottom w:val="0"/>
      <w:divBdr>
        <w:top w:val="none" w:sz="0" w:space="0" w:color="auto"/>
        <w:left w:val="none" w:sz="0" w:space="0" w:color="auto"/>
        <w:bottom w:val="none" w:sz="0" w:space="0" w:color="auto"/>
        <w:right w:val="none" w:sz="0" w:space="0" w:color="auto"/>
      </w:divBdr>
    </w:div>
    <w:div w:id="1295793648">
      <w:bodyDiv w:val="1"/>
      <w:marLeft w:val="0"/>
      <w:marRight w:val="0"/>
      <w:marTop w:val="0"/>
      <w:marBottom w:val="0"/>
      <w:divBdr>
        <w:top w:val="none" w:sz="0" w:space="0" w:color="auto"/>
        <w:left w:val="none" w:sz="0" w:space="0" w:color="auto"/>
        <w:bottom w:val="none" w:sz="0" w:space="0" w:color="auto"/>
        <w:right w:val="none" w:sz="0" w:space="0" w:color="auto"/>
      </w:divBdr>
    </w:div>
    <w:div w:id="1301568627">
      <w:bodyDiv w:val="1"/>
      <w:marLeft w:val="0"/>
      <w:marRight w:val="0"/>
      <w:marTop w:val="0"/>
      <w:marBottom w:val="0"/>
      <w:divBdr>
        <w:top w:val="none" w:sz="0" w:space="0" w:color="auto"/>
        <w:left w:val="none" w:sz="0" w:space="0" w:color="auto"/>
        <w:bottom w:val="none" w:sz="0" w:space="0" w:color="auto"/>
        <w:right w:val="none" w:sz="0" w:space="0" w:color="auto"/>
      </w:divBdr>
    </w:div>
    <w:div w:id="1318651640">
      <w:bodyDiv w:val="1"/>
      <w:marLeft w:val="0"/>
      <w:marRight w:val="0"/>
      <w:marTop w:val="0"/>
      <w:marBottom w:val="0"/>
      <w:divBdr>
        <w:top w:val="none" w:sz="0" w:space="0" w:color="auto"/>
        <w:left w:val="none" w:sz="0" w:space="0" w:color="auto"/>
        <w:bottom w:val="none" w:sz="0" w:space="0" w:color="auto"/>
        <w:right w:val="none" w:sz="0" w:space="0" w:color="auto"/>
      </w:divBdr>
    </w:div>
    <w:div w:id="1345746523">
      <w:bodyDiv w:val="1"/>
      <w:marLeft w:val="0"/>
      <w:marRight w:val="0"/>
      <w:marTop w:val="0"/>
      <w:marBottom w:val="0"/>
      <w:divBdr>
        <w:top w:val="none" w:sz="0" w:space="0" w:color="auto"/>
        <w:left w:val="none" w:sz="0" w:space="0" w:color="auto"/>
        <w:bottom w:val="none" w:sz="0" w:space="0" w:color="auto"/>
        <w:right w:val="none" w:sz="0" w:space="0" w:color="auto"/>
      </w:divBdr>
    </w:div>
    <w:div w:id="1378050615">
      <w:bodyDiv w:val="1"/>
      <w:marLeft w:val="0"/>
      <w:marRight w:val="0"/>
      <w:marTop w:val="0"/>
      <w:marBottom w:val="0"/>
      <w:divBdr>
        <w:top w:val="none" w:sz="0" w:space="0" w:color="auto"/>
        <w:left w:val="none" w:sz="0" w:space="0" w:color="auto"/>
        <w:bottom w:val="none" w:sz="0" w:space="0" w:color="auto"/>
        <w:right w:val="none" w:sz="0" w:space="0" w:color="auto"/>
      </w:divBdr>
    </w:div>
    <w:div w:id="1394810174">
      <w:bodyDiv w:val="1"/>
      <w:marLeft w:val="0"/>
      <w:marRight w:val="0"/>
      <w:marTop w:val="0"/>
      <w:marBottom w:val="0"/>
      <w:divBdr>
        <w:top w:val="none" w:sz="0" w:space="0" w:color="auto"/>
        <w:left w:val="none" w:sz="0" w:space="0" w:color="auto"/>
        <w:bottom w:val="none" w:sz="0" w:space="0" w:color="auto"/>
        <w:right w:val="none" w:sz="0" w:space="0" w:color="auto"/>
      </w:divBdr>
    </w:div>
    <w:div w:id="1508982468">
      <w:bodyDiv w:val="1"/>
      <w:marLeft w:val="0"/>
      <w:marRight w:val="0"/>
      <w:marTop w:val="0"/>
      <w:marBottom w:val="0"/>
      <w:divBdr>
        <w:top w:val="none" w:sz="0" w:space="0" w:color="auto"/>
        <w:left w:val="none" w:sz="0" w:space="0" w:color="auto"/>
        <w:bottom w:val="none" w:sz="0" w:space="0" w:color="auto"/>
        <w:right w:val="none" w:sz="0" w:space="0" w:color="auto"/>
      </w:divBdr>
    </w:div>
    <w:div w:id="1571576078">
      <w:bodyDiv w:val="1"/>
      <w:marLeft w:val="0"/>
      <w:marRight w:val="0"/>
      <w:marTop w:val="0"/>
      <w:marBottom w:val="0"/>
      <w:divBdr>
        <w:top w:val="none" w:sz="0" w:space="0" w:color="auto"/>
        <w:left w:val="none" w:sz="0" w:space="0" w:color="auto"/>
        <w:bottom w:val="none" w:sz="0" w:space="0" w:color="auto"/>
        <w:right w:val="none" w:sz="0" w:space="0" w:color="auto"/>
      </w:divBdr>
    </w:div>
    <w:div w:id="1583564269">
      <w:bodyDiv w:val="1"/>
      <w:marLeft w:val="0"/>
      <w:marRight w:val="0"/>
      <w:marTop w:val="0"/>
      <w:marBottom w:val="0"/>
      <w:divBdr>
        <w:top w:val="none" w:sz="0" w:space="0" w:color="auto"/>
        <w:left w:val="none" w:sz="0" w:space="0" w:color="auto"/>
        <w:bottom w:val="none" w:sz="0" w:space="0" w:color="auto"/>
        <w:right w:val="none" w:sz="0" w:space="0" w:color="auto"/>
      </w:divBdr>
    </w:div>
    <w:div w:id="1602911050">
      <w:bodyDiv w:val="1"/>
      <w:marLeft w:val="0"/>
      <w:marRight w:val="0"/>
      <w:marTop w:val="0"/>
      <w:marBottom w:val="0"/>
      <w:divBdr>
        <w:top w:val="none" w:sz="0" w:space="0" w:color="auto"/>
        <w:left w:val="none" w:sz="0" w:space="0" w:color="auto"/>
        <w:bottom w:val="none" w:sz="0" w:space="0" w:color="auto"/>
        <w:right w:val="none" w:sz="0" w:space="0" w:color="auto"/>
      </w:divBdr>
    </w:div>
    <w:div w:id="1649094044">
      <w:bodyDiv w:val="1"/>
      <w:marLeft w:val="0"/>
      <w:marRight w:val="0"/>
      <w:marTop w:val="0"/>
      <w:marBottom w:val="0"/>
      <w:divBdr>
        <w:top w:val="none" w:sz="0" w:space="0" w:color="auto"/>
        <w:left w:val="none" w:sz="0" w:space="0" w:color="auto"/>
        <w:bottom w:val="none" w:sz="0" w:space="0" w:color="auto"/>
        <w:right w:val="none" w:sz="0" w:space="0" w:color="auto"/>
      </w:divBdr>
    </w:div>
    <w:div w:id="1697806081">
      <w:bodyDiv w:val="1"/>
      <w:marLeft w:val="0"/>
      <w:marRight w:val="0"/>
      <w:marTop w:val="0"/>
      <w:marBottom w:val="0"/>
      <w:divBdr>
        <w:top w:val="none" w:sz="0" w:space="0" w:color="auto"/>
        <w:left w:val="none" w:sz="0" w:space="0" w:color="auto"/>
        <w:bottom w:val="none" w:sz="0" w:space="0" w:color="auto"/>
        <w:right w:val="none" w:sz="0" w:space="0" w:color="auto"/>
      </w:divBdr>
    </w:div>
    <w:div w:id="1738896486">
      <w:bodyDiv w:val="1"/>
      <w:marLeft w:val="0"/>
      <w:marRight w:val="0"/>
      <w:marTop w:val="0"/>
      <w:marBottom w:val="0"/>
      <w:divBdr>
        <w:top w:val="none" w:sz="0" w:space="0" w:color="auto"/>
        <w:left w:val="none" w:sz="0" w:space="0" w:color="auto"/>
        <w:bottom w:val="none" w:sz="0" w:space="0" w:color="auto"/>
        <w:right w:val="none" w:sz="0" w:space="0" w:color="auto"/>
      </w:divBdr>
    </w:div>
    <w:div w:id="1767532035">
      <w:bodyDiv w:val="1"/>
      <w:marLeft w:val="0"/>
      <w:marRight w:val="0"/>
      <w:marTop w:val="0"/>
      <w:marBottom w:val="0"/>
      <w:divBdr>
        <w:top w:val="none" w:sz="0" w:space="0" w:color="auto"/>
        <w:left w:val="none" w:sz="0" w:space="0" w:color="auto"/>
        <w:bottom w:val="none" w:sz="0" w:space="0" w:color="auto"/>
        <w:right w:val="none" w:sz="0" w:space="0" w:color="auto"/>
      </w:divBdr>
    </w:div>
    <w:div w:id="1809475334">
      <w:bodyDiv w:val="1"/>
      <w:marLeft w:val="0"/>
      <w:marRight w:val="0"/>
      <w:marTop w:val="0"/>
      <w:marBottom w:val="0"/>
      <w:divBdr>
        <w:top w:val="none" w:sz="0" w:space="0" w:color="auto"/>
        <w:left w:val="none" w:sz="0" w:space="0" w:color="auto"/>
        <w:bottom w:val="none" w:sz="0" w:space="0" w:color="auto"/>
        <w:right w:val="none" w:sz="0" w:space="0" w:color="auto"/>
      </w:divBdr>
    </w:div>
    <w:div w:id="1821190353">
      <w:bodyDiv w:val="1"/>
      <w:marLeft w:val="0"/>
      <w:marRight w:val="0"/>
      <w:marTop w:val="0"/>
      <w:marBottom w:val="0"/>
      <w:divBdr>
        <w:top w:val="none" w:sz="0" w:space="0" w:color="auto"/>
        <w:left w:val="none" w:sz="0" w:space="0" w:color="auto"/>
        <w:bottom w:val="none" w:sz="0" w:space="0" w:color="auto"/>
        <w:right w:val="none" w:sz="0" w:space="0" w:color="auto"/>
      </w:divBdr>
    </w:div>
    <w:div w:id="1856963665">
      <w:bodyDiv w:val="1"/>
      <w:marLeft w:val="0"/>
      <w:marRight w:val="0"/>
      <w:marTop w:val="0"/>
      <w:marBottom w:val="0"/>
      <w:divBdr>
        <w:top w:val="none" w:sz="0" w:space="0" w:color="auto"/>
        <w:left w:val="none" w:sz="0" w:space="0" w:color="auto"/>
        <w:bottom w:val="none" w:sz="0" w:space="0" w:color="auto"/>
        <w:right w:val="none" w:sz="0" w:space="0" w:color="auto"/>
      </w:divBdr>
    </w:div>
    <w:div w:id="1875456390">
      <w:bodyDiv w:val="1"/>
      <w:marLeft w:val="0"/>
      <w:marRight w:val="0"/>
      <w:marTop w:val="0"/>
      <w:marBottom w:val="0"/>
      <w:divBdr>
        <w:top w:val="none" w:sz="0" w:space="0" w:color="auto"/>
        <w:left w:val="none" w:sz="0" w:space="0" w:color="auto"/>
        <w:bottom w:val="none" w:sz="0" w:space="0" w:color="auto"/>
        <w:right w:val="none" w:sz="0" w:space="0" w:color="auto"/>
      </w:divBdr>
    </w:div>
    <w:div w:id="1882134288">
      <w:bodyDiv w:val="1"/>
      <w:marLeft w:val="0"/>
      <w:marRight w:val="0"/>
      <w:marTop w:val="0"/>
      <w:marBottom w:val="0"/>
      <w:divBdr>
        <w:top w:val="none" w:sz="0" w:space="0" w:color="auto"/>
        <w:left w:val="none" w:sz="0" w:space="0" w:color="auto"/>
        <w:bottom w:val="none" w:sz="0" w:space="0" w:color="auto"/>
        <w:right w:val="none" w:sz="0" w:space="0" w:color="auto"/>
      </w:divBdr>
    </w:div>
    <w:div w:id="1894734474">
      <w:bodyDiv w:val="1"/>
      <w:marLeft w:val="0"/>
      <w:marRight w:val="0"/>
      <w:marTop w:val="0"/>
      <w:marBottom w:val="0"/>
      <w:divBdr>
        <w:top w:val="none" w:sz="0" w:space="0" w:color="auto"/>
        <w:left w:val="none" w:sz="0" w:space="0" w:color="auto"/>
        <w:bottom w:val="none" w:sz="0" w:space="0" w:color="auto"/>
        <w:right w:val="none" w:sz="0" w:space="0" w:color="auto"/>
      </w:divBdr>
    </w:div>
    <w:div w:id="1900282726">
      <w:bodyDiv w:val="1"/>
      <w:marLeft w:val="0"/>
      <w:marRight w:val="0"/>
      <w:marTop w:val="0"/>
      <w:marBottom w:val="0"/>
      <w:divBdr>
        <w:top w:val="none" w:sz="0" w:space="0" w:color="auto"/>
        <w:left w:val="none" w:sz="0" w:space="0" w:color="auto"/>
        <w:bottom w:val="none" w:sz="0" w:space="0" w:color="auto"/>
        <w:right w:val="none" w:sz="0" w:space="0" w:color="auto"/>
      </w:divBdr>
    </w:div>
    <w:div w:id="1901558245">
      <w:bodyDiv w:val="1"/>
      <w:marLeft w:val="0"/>
      <w:marRight w:val="0"/>
      <w:marTop w:val="0"/>
      <w:marBottom w:val="0"/>
      <w:divBdr>
        <w:top w:val="none" w:sz="0" w:space="0" w:color="auto"/>
        <w:left w:val="none" w:sz="0" w:space="0" w:color="auto"/>
        <w:bottom w:val="none" w:sz="0" w:space="0" w:color="auto"/>
        <w:right w:val="none" w:sz="0" w:space="0" w:color="auto"/>
      </w:divBdr>
    </w:div>
    <w:div w:id="1990481272">
      <w:bodyDiv w:val="1"/>
      <w:marLeft w:val="0"/>
      <w:marRight w:val="0"/>
      <w:marTop w:val="0"/>
      <w:marBottom w:val="0"/>
      <w:divBdr>
        <w:top w:val="none" w:sz="0" w:space="0" w:color="auto"/>
        <w:left w:val="none" w:sz="0" w:space="0" w:color="auto"/>
        <w:bottom w:val="none" w:sz="0" w:space="0" w:color="auto"/>
        <w:right w:val="none" w:sz="0" w:space="0" w:color="auto"/>
      </w:divBdr>
    </w:div>
    <w:div w:id="1995835857">
      <w:bodyDiv w:val="1"/>
      <w:marLeft w:val="0"/>
      <w:marRight w:val="0"/>
      <w:marTop w:val="0"/>
      <w:marBottom w:val="0"/>
      <w:divBdr>
        <w:top w:val="none" w:sz="0" w:space="0" w:color="auto"/>
        <w:left w:val="none" w:sz="0" w:space="0" w:color="auto"/>
        <w:bottom w:val="none" w:sz="0" w:space="0" w:color="auto"/>
        <w:right w:val="none" w:sz="0" w:space="0" w:color="auto"/>
      </w:divBdr>
    </w:div>
    <w:div w:id="2026247995">
      <w:bodyDiv w:val="1"/>
      <w:marLeft w:val="0"/>
      <w:marRight w:val="0"/>
      <w:marTop w:val="0"/>
      <w:marBottom w:val="0"/>
      <w:divBdr>
        <w:top w:val="none" w:sz="0" w:space="0" w:color="auto"/>
        <w:left w:val="none" w:sz="0" w:space="0" w:color="auto"/>
        <w:bottom w:val="none" w:sz="0" w:space="0" w:color="auto"/>
        <w:right w:val="none" w:sz="0" w:space="0" w:color="auto"/>
      </w:divBdr>
    </w:div>
    <w:div w:id="2035691561">
      <w:bodyDiv w:val="1"/>
      <w:marLeft w:val="0"/>
      <w:marRight w:val="0"/>
      <w:marTop w:val="0"/>
      <w:marBottom w:val="0"/>
      <w:divBdr>
        <w:top w:val="none" w:sz="0" w:space="0" w:color="auto"/>
        <w:left w:val="none" w:sz="0" w:space="0" w:color="auto"/>
        <w:bottom w:val="none" w:sz="0" w:space="0" w:color="auto"/>
        <w:right w:val="none" w:sz="0" w:space="0" w:color="auto"/>
      </w:divBdr>
    </w:div>
    <w:div w:id="2071805592">
      <w:bodyDiv w:val="1"/>
      <w:marLeft w:val="0"/>
      <w:marRight w:val="0"/>
      <w:marTop w:val="0"/>
      <w:marBottom w:val="0"/>
      <w:divBdr>
        <w:top w:val="none" w:sz="0" w:space="0" w:color="auto"/>
        <w:left w:val="none" w:sz="0" w:space="0" w:color="auto"/>
        <w:bottom w:val="none" w:sz="0" w:space="0" w:color="auto"/>
        <w:right w:val="none" w:sz="0" w:space="0" w:color="auto"/>
      </w:divBdr>
      <w:divsChild>
        <w:div w:id="1743719021">
          <w:marLeft w:val="0"/>
          <w:marRight w:val="0"/>
          <w:marTop w:val="0"/>
          <w:marBottom w:val="0"/>
          <w:divBdr>
            <w:top w:val="none" w:sz="0" w:space="0" w:color="auto"/>
            <w:left w:val="none" w:sz="0" w:space="0" w:color="auto"/>
            <w:bottom w:val="none" w:sz="0" w:space="0" w:color="auto"/>
            <w:right w:val="none" w:sz="0" w:space="0" w:color="auto"/>
          </w:divBdr>
          <w:divsChild>
            <w:div w:id="832110751">
              <w:marLeft w:val="0"/>
              <w:marRight w:val="0"/>
              <w:marTop w:val="0"/>
              <w:marBottom w:val="0"/>
              <w:divBdr>
                <w:top w:val="none" w:sz="0" w:space="0" w:color="auto"/>
                <w:left w:val="none" w:sz="0" w:space="0" w:color="auto"/>
                <w:bottom w:val="none" w:sz="0" w:space="0" w:color="auto"/>
                <w:right w:val="none" w:sz="0" w:space="0" w:color="auto"/>
              </w:divBdr>
              <w:divsChild>
                <w:div w:id="1294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8927">
      <w:bodyDiv w:val="1"/>
      <w:marLeft w:val="0"/>
      <w:marRight w:val="0"/>
      <w:marTop w:val="0"/>
      <w:marBottom w:val="0"/>
      <w:divBdr>
        <w:top w:val="none" w:sz="0" w:space="0" w:color="auto"/>
        <w:left w:val="none" w:sz="0" w:space="0" w:color="auto"/>
        <w:bottom w:val="none" w:sz="0" w:space="0" w:color="auto"/>
        <w:right w:val="none" w:sz="0" w:space="0" w:color="auto"/>
      </w:divBdr>
      <w:divsChild>
        <w:div w:id="345714504">
          <w:marLeft w:val="0"/>
          <w:marRight w:val="0"/>
          <w:marTop w:val="0"/>
          <w:marBottom w:val="0"/>
          <w:divBdr>
            <w:top w:val="none" w:sz="0" w:space="0" w:color="auto"/>
            <w:left w:val="none" w:sz="0" w:space="0" w:color="auto"/>
            <w:bottom w:val="none" w:sz="0" w:space="0" w:color="auto"/>
            <w:right w:val="none" w:sz="0" w:space="0" w:color="auto"/>
          </w:divBdr>
        </w:div>
        <w:div w:id="1959679658">
          <w:marLeft w:val="0"/>
          <w:marRight w:val="0"/>
          <w:marTop w:val="0"/>
          <w:marBottom w:val="0"/>
          <w:divBdr>
            <w:top w:val="none" w:sz="0" w:space="0" w:color="auto"/>
            <w:left w:val="none" w:sz="0" w:space="0" w:color="auto"/>
            <w:bottom w:val="none" w:sz="0" w:space="0" w:color="auto"/>
            <w:right w:val="none" w:sz="0" w:space="0" w:color="auto"/>
          </w:divBdr>
        </w:div>
        <w:div w:id="1405565400">
          <w:marLeft w:val="0"/>
          <w:marRight w:val="0"/>
          <w:marTop w:val="0"/>
          <w:marBottom w:val="0"/>
          <w:divBdr>
            <w:top w:val="none" w:sz="0" w:space="0" w:color="auto"/>
            <w:left w:val="none" w:sz="0" w:space="0" w:color="auto"/>
            <w:bottom w:val="none" w:sz="0" w:space="0" w:color="auto"/>
            <w:right w:val="none" w:sz="0" w:space="0" w:color="auto"/>
          </w:divBdr>
        </w:div>
        <w:div w:id="863398956">
          <w:marLeft w:val="0"/>
          <w:marRight w:val="0"/>
          <w:marTop w:val="0"/>
          <w:marBottom w:val="0"/>
          <w:divBdr>
            <w:top w:val="none" w:sz="0" w:space="0" w:color="auto"/>
            <w:left w:val="none" w:sz="0" w:space="0" w:color="auto"/>
            <w:bottom w:val="none" w:sz="0" w:space="0" w:color="auto"/>
            <w:right w:val="none" w:sz="0" w:space="0" w:color="auto"/>
          </w:divBdr>
        </w:div>
        <w:div w:id="1864510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50" Type="http://schemas.openxmlformats.org/officeDocument/2006/relationships/footer" Target="footer7.xml"/><Relationship Id="rId51" Type="http://schemas.openxmlformats.org/officeDocument/2006/relationships/footer" Target="footer8.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ocialequity.unimelb.edu.au/research/projects/disability-and-mental-health/regulating-the-restraint-of-people-with-disabilities" TargetMode="External"/><Relationship Id="rId41" Type="http://schemas.openxmlformats.org/officeDocument/2006/relationships/hyperlink" Target="http://mams.rmit.edu.au/1079myx32meyz.pdf" TargetMode="External"/><Relationship Id="rId42" Type="http://schemas.openxmlformats.org/officeDocument/2006/relationships/hyperlink" Target="http://mams.rmit.edu.au/1079myx32meyz.pdf" TargetMode="External"/><Relationship Id="rId43" Type="http://schemas.openxmlformats.org/officeDocument/2006/relationships/hyperlink" Target="http://socialequity.unimelb.edu.au/research/projects/disability-and-mental-health/unfitness-to-plead" TargetMode="External"/><Relationship Id="rId44" Type="http://schemas.openxmlformats.org/officeDocument/2006/relationships/hyperlink" Target="http://socialequity.unimelb.edu.au/research/projects/disability-and-mental-health/unfitness-to-plead" TargetMode="External"/><Relationship Id="rId45" Type="http://schemas.openxmlformats.org/officeDocument/2006/relationships/hyperlink" Target="http://socialequity.unimelb.edu.au/research/projects/disability-and-mental-health/unfitness-to-plead" TargetMode="External"/><Relationship Id="rId46" Type="http://schemas.openxmlformats.org/officeDocument/2006/relationships/hyperlink" Target="http://socialequity.unimelb.edu.au/research/projects/disability-and-mental-health/unfitness-to-plead" TargetMode="External"/><Relationship Id="rId47" Type="http://schemas.openxmlformats.org/officeDocument/2006/relationships/hyperlink" Target="https://strathprints.strath.ac.uk/view/author/455054.html" TargetMode="External"/><Relationship Id="rId48" Type="http://schemas.openxmlformats.org/officeDocument/2006/relationships/hyperlink" Target="http://mobile.abc.net.au/news/2015-04-16/parents-with-a-disability-treated-almost-like-criminals/6399036" TargetMode="External"/><Relationship Id="rId49" Type="http://schemas.openxmlformats.org/officeDocument/2006/relationships/hyperlink" Target="http://mobile.abc.net.au/news/2015-04-16/parents-with-a-disability-treated-almost-like-criminals/639903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30" Type="http://schemas.openxmlformats.org/officeDocument/2006/relationships/hyperlink" Target="http://www.eu-person.com/" TargetMode="External"/><Relationship Id="rId31" Type="http://schemas.openxmlformats.org/officeDocument/2006/relationships/hyperlink" Target="http://socialequity.unimelb.edu.au/research/projects/disability-and-mental-health/unfitness-to-plead" TargetMode="External"/><Relationship Id="rId32" Type="http://schemas.openxmlformats.org/officeDocument/2006/relationships/hyperlink" Target="http://socialequity.unimelb.edu.au/research/projects/disability-and-mental-health/unfitness-to-plead" TargetMode="External"/><Relationship Id="rId33" Type="http://schemas.openxmlformats.org/officeDocument/2006/relationships/hyperlink" Target="http://socialequity.unimelb.edu.au/research/projects/disability-and-mental-health/National-seclusion-and-restraint-project" TargetMode="External"/><Relationship Id="rId34" Type="http://schemas.openxmlformats.org/officeDocument/2006/relationships/hyperlink" Target="http://socialequity.unimelb.edu.au/research/projects/disability-and-mental-health/National-seclusion-and-restraint-project" TargetMode="External"/><Relationship Id="rId35" Type="http://schemas.openxmlformats.org/officeDocument/2006/relationships/hyperlink" Target="http://www.opa.sa.gov.au/resources/supported_decision_making" TargetMode="External"/><Relationship Id="rId36" Type="http://schemas.openxmlformats.org/officeDocument/2006/relationships/hyperlink" Target="http://www.opa.sa.gov.au/resources/supported_decision_making" TargetMode="External"/><Relationship Id="rId37" Type="http://schemas.openxmlformats.org/officeDocument/2006/relationships/hyperlink" Target="http://www.publicadvocate.vic.gov.au/advocacy-research/supported-decision-making" TargetMode="External"/><Relationship Id="rId38" Type="http://schemas.openxmlformats.org/officeDocument/2006/relationships/hyperlink" Target="http://www.publicadvocate.vic.gov.au/advocacy-research/supported-decision-making" TargetMode="External"/><Relationship Id="rId39" Type="http://schemas.openxmlformats.org/officeDocument/2006/relationships/hyperlink" Target="http://socialequity.unimelb.edu.au/research/projects/disability-and-mental-health/regulating-the-restraint-of-people-with-disabilities" TargetMode="External"/><Relationship Id="rId20" Type="http://schemas.openxmlformats.org/officeDocument/2006/relationships/hyperlink" Target="http://www.adacas.org.au/supported-decision-making/supported-decision-making/" TargetMode="External"/><Relationship Id="rId21" Type="http://schemas.openxmlformats.org/officeDocument/2006/relationships/hyperlink" Target="http://www.adacas.org.au/supported-decision-making/supported-decision-making/" TargetMode="External"/><Relationship Id="rId22" Type="http://schemas.openxmlformats.org/officeDocument/2006/relationships/hyperlink" Target="https://www.adhc.nsw.gov.au/individuals/inclusion_and_participation/supported-decision-making" TargetMode="External"/><Relationship Id="rId23" Type="http://schemas.openxmlformats.org/officeDocument/2006/relationships/hyperlink" Target="https://www.adhc.nsw.gov.au/individuals/inclusion_and_participation/supported-decision-making" TargetMode="External"/><Relationship Id="rId24" Type="http://schemas.openxmlformats.org/officeDocument/2006/relationships/hyperlink" Target="http://zelda.org.lv/en/news/supported-decision-making-bringing-change-to-lives-of-people-with-mental-disabilities-2427" TargetMode="External"/><Relationship Id="rId25" Type="http://schemas.openxmlformats.org/officeDocument/2006/relationships/hyperlink" Target="http://zelda.org.lv/en/news/supported-decision-making-bringing-change-to-lives-of-people-with-mental-disabilities-2427" TargetMode="External"/><Relationship Id="rId26" Type="http://schemas.openxmlformats.org/officeDocument/2006/relationships/hyperlink" Target="http://socialequity.unimelb.edu.au/research/projects/disability-and-mental-health/choice,-control-and-the-ndis" TargetMode="External"/><Relationship Id="rId27" Type="http://schemas.openxmlformats.org/officeDocument/2006/relationships/hyperlink" Target="http://socialequity.unimelb.edu.au/research/projects/disability-and-mental-health/choice,-control-and-the-ndis" TargetMode="External"/><Relationship Id="rId28" Type="http://schemas.openxmlformats.org/officeDocument/2006/relationships/hyperlink" Target="http://research.unimelb.edu.au/hallmark-initiatives/disability-research-initiative/research/networks/access-to-justice-consortium" TargetMode="External"/><Relationship Id="rId29" Type="http://schemas.openxmlformats.org/officeDocument/2006/relationships/hyperlink" Target="http://www.eu-person.com/"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46" Type="http://schemas.openxmlformats.org/officeDocument/2006/relationships/hyperlink" Target="http://www.aph.gov.au/Parliamentary_Business/Committees/Senate/Community_Affairs/IndefiniteDetention45/Report" TargetMode="External"/><Relationship Id="rId47" Type="http://schemas.openxmlformats.org/officeDocument/2006/relationships/hyperlink" Target="http://www.aph.gov.au/Parliamentary_Business/Committees/Senate/Community_Affairs/IndefiniteDetention45/Report" TargetMode="External"/><Relationship Id="rId48" Type="http://schemas.openxmlformats.org/officeDocument/2006/relationships/hyperlink" Target="https://www.parliament.vic.gov.au/fcdc/inquiries/article/1851" TargetMode="External"/><Relationship Id="rId49" Type="http://schemas.openxmlformats.org/officeDocument/2006/relationships/hyperlink" Target="https://www.parliament.vic.gov.au/fcdc/inquiries/article/1851" TargetMode="External"/><Relationship Id="rId20" Type="http://schemas.openxmlformats.org/officeDocument/2006/relationships/hyperlink" Target="http://www.premier.vic.gov.au/supporting-victims-of-crime-in-the-justice-system/" TargetMode="External"/><Relationship Id="rId21" Type="http://schemas.openxmlformats.org/officeDocument/2006/relationships/hyperlink" Target="http://mams.rmit.edu.au/1079myx32meyz.pdf" TargetMode="External"/><Relationship Id="rId22" Type="http://schemas.openxmlformats.org/officeDocument/2006/relationships/hyperlink" Target="http://mams.rmit.edu.au/1079myx32meyz.pdf" TargetMode="External"/><Relationship Id="rId23" Type="http://schemas.openxmlformats.org/officeDocument/2006/relationships/hyperlink" Target="http://socialequity.unimelb.edu.au/research/projects/disability-and-mental-health/unfitness-to-plead" TargetMode="External"/><Relationship Id="rId24" Type="http://schemas.openxmlformats.org/officeDocument/2006/relationships/hyperlink" Target="http://socialequity.unimelb.edu.au/research/projects/disability-and-mental-health/unfitness-to-plead" TargetMode="External"/><Relationship Id="rId25" Type="http://schemas.openxmlformats.org/officeDocument/2006/relationships/hyperlink" Target="http://socialequity.unimelb.edu.au/__data/assets/pdf_file/0007/2277520/Consumer-Transactions-Pilot-Study.pdf" TargetMode="External"/><Relationship Id="rId26" Type="http://schemas.openxmlformats.org/officeDocument/2006/relationships/hyperlink" Target="http://socialequity.unimelb.edu.au/__data/assets/pdf_file/0007/2277520/Consumer-Transactions-Pilot-Study.pdf" TargetMode="External"/><Relationship Id="rId27" Type="http://schemas.openxmlformats.org/officeDocument/2006/relationships/hyperlink" Target="http://socialequity.unimelb.edu.au/__data/assets/pdf_file/0017/2004722/Seclusion-and-Restraint-report.PDF" TargetMode="External"/><Relationship Id="rId28" Type="http://schemas.openxmlformats.org/officeDocument/2006/relationships/hyperlink" Target="http://socialequity.unimelb.edu.au/__data/assets/pdf_file/0017/2004722/Seclusion-and-Restraint-report.PDF" TargetMode="External"/><Relationship Id="rId29" Type="http://schemas.openxmlformats.org/officeDocument/2006/relationships/hyperlink" Target="http://socialequity.unimelb.edu.au/research/projects/disability-and-mental-health/National-seclusion-and-restraint-project" TargetMode="External"/><Relationship Id="rId50" Type="http://schemas.openxmlformats.org/officeDocument/2006/relationships/hyperlink" Target="http://wwda.org.au/wp-content/uploads/2013/12/Think_Piece_Revised_Edition.pdf" TargetMode="External"/><Relationship Id="rId1" Type="http://schemas.openxmlformats.org/officeDocument/2006/relationships/hyperlink" Target="http://research.unimelb.edu.au/hallmark-initiatives/disability-research-initiative/research/networks/access-to-justice-consortium" TargetMode="External"/><Relationship Id="rId2" Type="http://schemas.openxmlformats.org/officeDocument/2006/relationships/hyperlink" Target="http://research.unimelb.edu.au/hallmark-initiatives/disability-research-initiative/research/networks/access-to-justice-consortium" TargetMode="External"/><Relationship Id="rId3" Type="http://schemas.openxmlformats.org/officeDocument/2006/relationships/hyperlink" Target="http://www.eu-person.com/" TargetMode="External"/><Relationship Id="rId4" Type="http://schemas.openxmlformats.org/officeDocument/2006/relationships/hyperlink" Target="http://www.eu-person.com/" TargetMode="External"/><Relationship Id="rId5" Type="http://schemas.openxmlformats.org/officeDocument/2006/relationships/hyperlink" Target="http://zelda.org.lv/en/news/supported-decision-making-bringing-change-to-lives-of-people-with-mental-disabilities-2427" TargetMode="External"/><Relationship Id="rId30" Type="http://schemas.openxmlformats.org/officeDocument/2006/relationships/hyperlink" Target="http://socialequity.unimelb.edu.au/research/projects/disability-and-mental-health/National-seclusion-and-restraint-project" TargetMode="External"/><Relationship Id="rId31" Type="http://schemas.openxmlformats.org/officeDocument/2006/relationships/hyperlink" Target="http://socialequity.unimelb.edu.au/research/projects/disability-and-mental-health/regulating-the-restraint-of-people-with-disabilities" TargetMode="External"/><Relationship Id="rId32" Type="http://schemas.openxmlformats.org/officeDocument/2006/relationships/hyperlink" Target="http://socialequity.unimelb.edu.au/research/projects/disability-and-mental-health/regulating-the-restraint-of-people-with-disabilities" TargetMode="External"/><Relationship Id="rId9" Type="http://schemas.openxmlformats.org/officeDocument/2006/relationships/hyperlink" Target="http://www.publicadvocate.vic.gov.au/advocacy-research/supported-decision-making" TargetMode="External"/><Relationship Id="rId6" Type="http://schemas.openxmlformats.org/officeDocument/2006/relationships/hyperlink" Target="http://zelda.org.lv/en/news/supported-decision-making-bringing-change-to-lives-of-people-with-mental-disabilities-2427" TargetMode="External"/><Relationship Id="rId7" Type="http://schemas.openxmlformats.org/officeDocument/2006/relationships/hyperlink" Target="http://www.opa.sa.gov.au/resources/supported_decision_making" TargetMode="External"/><Relationship Id="rId8" Type="http://schemas.openxmlformats.org/officeDocument/2006/relationships/hyperlink" Target="http://www.opa.sa.gov.au/resources/supported_decision_making" TargetMode="External"/><Relationship Id="rId33" Type="http://schemas.openxmlformats.org/officeDocument/2006/relationships/hyperlink" Target="http://socialequity.unimelb.edu.au/research/projects/disability-and-mental-health/unfitness-to-plead" TargetMode="External"/><Relationship Id="rId34" Type="http://schemas.openxmlformats.org/officeDocument/2006/relationships/hyperlink" Target="http://socialequity.unimelb.edu.au/research/projects/disability-and-mental-health/unfitness-to-plead" TargetMode="External"/><Relationship Id="rId35" Type="http://schemas.openxmlformats.org/officeDocument/2006/relationships/hyperlink" Target="http://www.parentingrc.org.au/case-studies/9-enhancing-service-capacity/46-parenting-young-children-helping-parents-with-an-intellectual-disability-learn-parenting-skills-46" TargetMode="External"/><Relationship Id="rId36" Type="http://schemas.openxmlformats.org/officeDocument/2006/relationships/hyperlink" Target="http://www.parentingrc.org.au/case-studies/9-enhancing-service-capacity/46-parenting-young-children-helping-parents-with-an-intellectual-disability-learn-parenting-skills-46" TargetMode="External"/><Relationship Id="rId10" Type="http://schemas.openxmlformats.org/officeDocument/2006/relationships/hyperlink" Target="http://www.publicadvocate.vic.gov.au/advocacy-research/supported-decision-making" TargetMode="External"/><Relationship Id="rId11" Type="http://schemas.openxmlformats.org/officeDocument/2006/relationships/hyperlink" Target="http://www.adacas.org.au/supported-decision-making/supported-decision-making/" TargetMode="External"/><Relationship Id="rId12" Type="http://schemas.openxmlformats.org/officeDocument/2006/relationships/hyperlink" Target="http://www.adacas.org.au/supported-decision-making/supported-decision-making/" TargetMode="External"/><Relationship Id="rId13" Type="http://schemas.openxmlformats.org/officeDocument/2006/relationships/hyperlink" Target="https://www.adhc.nsw.gov.au/individuals/inclusion_and_participation/supported-decision-making" TargetMode="External"/><Relationship Id="rId14" Type="http://schemas.openxmlformats.org/officeDocument/2006/relationships/hyperlink" Target="https://www.adhc.nsw.gov.au/individuals/inclusion_and_participation/supported-decision-making" TargetMode="External"/><Relationship Id="rId15" Type="http://schemas.openxmlformats.org/officeDocument/2006/relationships/hyperlink" Target="http://socialequity.unimelb.edu.au/research/projects/disability-and-mental-health/unfitness-to-plead" TargetMode="External"/><Relationship Id="rId16" Type="http://schemas.openxmlformats.org/officeDocument/2006/relationships/hyperlink" Target="http://socialequity.unimelb.edu.au/research/projects/disability-and-mental-health/choice,-control-and-the-ndis" TargetMode="External"/><Relationship Id="rId17" Type="http://schemas.openxmlformats.org/officeDocument/2006/relationships/hyperlink" Target="http://socialequity.unimelb.edu.au/research/projects/disability-and-mental-health/choice,-control-and-the-ndis" TargetMode="External"/><Relationship Id="rId18" Type="http://schemas.openxmlformats.org/officeDocument/2006/relationships/hyperlink" Target="http://socialequity.unimelb.edu.au/research/projects/disability-and-mental-health/unfitness-to-plead" TargetMode="External"/><Relationship Id="rId19" Type="http://schemas.openxmlformats.org/officeDocument/2006/relationships/hyperlink" Target="http://www.premier.vic.gov.au/supporting-victims-of-crime-in-the-justice-system/" TargetMode="External"/><Relationship Id="rId37" Type="http://schemas.openxmlformats.org/officeDocument/2006/relationships/hyperlink" Target="http://mobile.abc.net.au/news/2015-04-16/parents-with-a-disability-treated-almost-like-criminals/6399036" TargetMode="External"/><Relationship Id="rId38" Type="http://schemas.openxmlformats.org/officeDocument/2006/relationships/hyperlink" Target="http://mobile.abc.net.au/news/2015-04-16/parents-with-a-disability-treated-almost-like-criminals/6399036" TargetMode="External"/><Relationship Id="rId39" Type="http://schemas.openxmlformats.org/officeDocument/2006/relationships/hyperlink" Target="https://strathprints.strath.ac.uk/view/author/455054.html" TargetMode="External"/><Relationship Id="rId40" Type="http://schemas.openxmlformats.org/officeDocument/2006/relationships/hyperlink" Target="http://www.communitycare.co.uk/2015/08/14/protection-disabled-children-latest-research-tells-us/" TargetMode="External"/><Relationship Id="rId41" Type="http://schemas.openxmlformats.org/officeDocument/2006/relationships/hyperlink" Target="http://www.naaja.org.au/wp-content/uploads/2014/07/A-Kangaroo-Loose-in-the-Top-Paddock-Criminal-Justice-Mental-Impairment-and-Fitness-for-Trial-in-the-Northern-Territory.docx" TargetMode="External"/><Relationship Id="rId42" Type="http://schemas.openxmlformats.org/officeDocument/2006/relationships/hyperlink" Target="http://www.naaja.org.au/wp-content/uploads/2014/07/A-Kangaroo-Loose-in-the-Top-Paddock-Criminal-Justice-Mental-Impairment-and-Fitness-for-Trial-in-the-Northern-Territory.docx" TargetMode="External"/><Relationship Id="rId43" Type="http://schemas.openxmlformats.org/officeDocument/2006/relationships/hyperlink" Target="https://anrows.org.au/sites/default/files/3_3.4%20Landscapes%20Disability.pdf" TargetMode="External"/><Relationship Id="rId44" Type="http://schemas.openxmlformats.org/officeDocument/2006/relationships/hyperlink" Target="http://www.aph.gov.au/Parliamentary_Business/Committees/Senate/Community_Affairs/Violence_abuse_neglect/Report" TargetMode="External"/><Relationship Id="rId45" Type="http://schemas.openxmlformats.org/officeDocument/2006/relationships/hyperlink" Target="http://www.aph.gov.au/Parliamentary_Business/Committees/Senate/Community_Affairs/Violence_abuse_neglec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83789-AAF5-A54E-B7A5-CACF376A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15415</Words>
  <Characters>87870</Characters>
  <Application>Microsoft Macintosh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UTAS</Company>
  <LinksUpToDate>false</LinksUpToDate>
  <CharactersWithSpaces>103079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Rikki Jayne</dc:creator>
  <cp:lastModifiedBy>Emma Blakey</cp:lastModifiedBy>
  <cp:revision>3</cp:revision>
  <cp:lastPrinted>2018-10-20T06:46:00Z</cp:lastPrinted>
  <dcterms:created xsi:type="dcterms:W3CDTF">2018-11-16T22:01:00Z</dcterms:created>
  <dcterms:modified xsi:type="dcterms:W3CDTF">2018-11-22T00:17:00Z</dcterms:modified>
</cp:coreProperties>
</file>